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0F766E"/>
          <w:sz w:val="26"/>
        </w:rPr>
        <w:t>CIVITAS</w:t>
      </w:r>
    </w:p>
    <w:p>
      <w:pPr>
        <w:pStyle w:val="Title"/>
        <w:jc w:val="left"/>
      </w:pPr>
      <w:r>
        <w:t>Architecture Review &amp; Implementation Profile</w:t>
      </w:r>
    </w:p>
    <w:p>
      <w:pPr>
        <w:pStyle w:val="Subtitle"/>
        <w:spacing w:after="320"/>
      </w:pPr>
      <w:r>
        <w:t>Onboarding UI de organizaciones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Documento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Documento derivado 2 de 2 - UI/UX</w:t>
            </w:r>
          </w:p>
        </w:tc>
      </w:tr>
      <w:tr>
        <w:trPr>
          <w:cantSplit/>
        </w:trP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Versión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v1.2.1</w:t>
            </w:r>
          </w:p>
        </w:tc>
      </w:tr>
      <w:tr>
        <w:trPr>
          <w:cantSplit/>
        </w:trP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Estado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Perfil derivado reconciliado del contrato canónico v1.2.1</w:t>
            </w:r>
          </w:p>
        </w:tc>
      </w:tr>
      <w:tr>
        <w:trPr>
          <w:cantSplit/>
        </w:trP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Audiencia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Product, UX, Frontend, Architecture, Security e Implementation</w:t>
            </w:r>
          </w:p>
        </w:tc>
      </w:tr>
      <w:tr>
        <w:trPr>
          <w:cantSplit/>
        </w:trP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Alcance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Experiencia, rutas, navegación, colaboración, responsive y sistema visual</w:t>
            </w:r>
          </w:p>
        </w:tc>
      </w:tr>
      <w:tr>
        <w:trPr>
          <w:cantSplit/>
        </w:trP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Repositorio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didaxus/civitas10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766E"/>
                <w:sz w:val="20"/>
              </w:rPr>
              <w:t>Autoridad documental</w:t>
              <w:br/>
            </w:r>
            <w:r>
              <w:rPr>
                <w:color w:val="1F2937"/>
                <w:sz w:val="18"/>
              </w:rPr>
              <w:t>Este documento implementa y explica el contrato canónico CIVITAS-ORGANIZATION-ONBOARDING-AND-ACTIVATION v1.2.1. No puede redefinir estados, rutas, IDs, billing, authority boundaries, Tenant Resolution ni lifecycles. Cuando exista divergencia, prevalece el Markdown canónico.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t>1. Decisión ejecutiva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766E"/>
                <w:sz w:val="20"/>
              </w:rPr>
              <w:t>Decisión</w:t>
              <w:br/>
            </w:r>
            <w:r>
              <w:rPr>
                <w:color w:val="1F2937"/>
                <w:sz w:val="18"/>
              </w:rPr>
              <w:t>La pantalla Create organization evoluciona a un workspace reanudable de ocho pasos. El wizard actual se conserva como el bloque de bootstrap de los pasos 1 y 2. El mismo lenguaje visual sirve a Owner y Organization Admin, pero las rutas, sesiones y capacidades respetan Tenant Resolution.</w:t>
            </w:r>
          </w:p>
        </w:tc>
      </w:tr>
    </w:tbl>
    <w:p>
      <w:pPr>
        <w:spacing w:after="0"/>
      </w:pPr>
    </w:p>
    <w:p>
      <w:pPr>
        <w:pStyle w:val="CodeBlock"/>
      </w:pPr>
      <w:r>
        <w:t>Flujo actual</w:t>
        <w:br/>
        <w:t>→ se conserva</w:t>
        <w:br/>
        <w:t>→ se integra como bootstrap</w:t>
        <w:br/>
        <w:t>→ no representa onboarding completo</w:t>
      </w:r>
    </w:p>
    <w:p>
      <w:pPr>
        <w:pStyle w:val="Heading1"/>
      </w:pPr>
      <w:r>
        <w:t>2. Rutas y workspaces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Superficie</w:t>
            </w:r>
          </w:p>
        </w:tc>
        <w:tc>
          <w:tcPr>
            <w:tcW w:type="dxa" w:w="5184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Ruta visible</w:t>
            </w:r>
          </w:p>
        </w:tc>
        <w:tc>
          <w:tcPr>
            <w:tcW w:type="dxa" w:w="2304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Manager Owner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/owner/organization-onboardings/:onboardingId/:visibleStepKey</w:t>
            </w:r>
          </w:p>
        </w:tc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Owner/global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 Portal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/onboarding/:visibleStepKey en {tenantSlug}.portal.didaxus.com</w:t>
            </w:r>
          </w:p>
        </w:tc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BFF host-only</w:t>
            </w:r>
          </w:p>
        </w:tc>
      </w:tr>
    </w:tbl>
    <w:p>
      <w:pPr>
        <w:spacing w:after="0"/>
      </w:pPr>
    </w:p>
    <w:p>
      <w:r>
        <w:t>La URL del Organization Portal no contiene organizationId. La UI obtiene organizationId únicamente desde TenantContext y no expone setTenant, selector ni authority en localStorage.</w:t>
      </w:r>
    </w:p>
    <w:p>
      <w:pPr>
        <w:pStyle w:val="Heading1"/>
      </w:pPr>
      <w:r>
        <w:t>3. Principios de experiencia</w:t>
      </w:r>
    </w:p>
    <w:p>
      <w:pPr>
        <w:pStyle w:val="ListBullet"/>
      </w:pPr>
      <w:r>
        <w:t>Una gramática visual; responsabilidades y capacidades distintas.</w:t>
      </w:r>
    </w:p>
    <w:p>
      <w:pPr>
        <w:pStyle w:val="ListBullet"/>
      </w:pPr>
      <w:r>
        <w:t>Visible step no equivale a entidad, domain section, validation group o command.</w:t>
      </w:r>
    </w:p>
    <w:p>
      <w:pPr>
        <w:pStyle w:val="ListBullet"/>
      </w:pPr>
      <w:r>
        <w:t>Completeness, security, commercial y operational readiness se muestran por separado.</w:t>
      </w:r>
    </w:p>
    <w:p>
      <w:pPr>
        <w:pStyle w:val="ListBullet"/>
      </w:pPr>
      <w:r>
        <w:t>Fail closed visible: causa, impacto, responsable y siguiente acción.</w:t>
      </w:r>
    </w:p>
    <w:p>
      <w:pPr>
        <w:pStyle w:val="ListBullet"/>
      </w:pPr>
      <w:r>
        <w:t>Autosave, ETag, handoff y colaboración sin overwrite silencioso.</w:t>
      </w:r>
    </w:p>
    <w:p>
      <w:pPr>
        <w:pStyle w:val="ListBullet"/>
      </w:pPr>
      <w:r>
        <w:t>El onboarding configura inicialmente; Governance administra después.</w:t>
      </w:r>
    </w:p>
    <w:p>
      <w:pPr>
        <w:pStyle w:val="ListBullet"/>
      </w:pPr>
      <w:r>
        <w:t>El actor y modo actual siempre son visibles.</w:t>
      </w:r>
    </w:p>
    <w:p>
      <w:pPr>
        <w:pStyle w:val="Heading1"/>
      </w:pPr>
      <w:r>
        <w:t>4. OnboardingRouteRegistry</w:t>
      </w:r>
    </w:p>
    <w:p>
      <w:pPr>
        <w:pStyle w:val="CodeBlock"/>
      </w:pPr>
      <w:r>
        <w:t>type OnboardingNavigationNode = {</w:t>
        <w:br/>
        <w:t xml:space="preserve">  visibleStepKey: VisibleStepKey;</w:t>
        <w:br/>
        <w:t xml:space="preserve">  labelKey: string;</w:t>
        <w:br/>
        <w:t xml:space="preserve">  defaultSectionKey: string;</w:t>
        <w:br/>
        <w:t xml:space="preserve">  sections: OnboardingSectionNode[];</w:t>
        <w:br/>
        <w:t xml:space="preserve">  actionPolicyRef: string;</w:t>
        <w:br/>
        <w:t xml:space="preserve">  availability: "active" | "conditional" | "blocked" | "complete";</w:t>
        <w:br/>
        <w:t xml:space="preserve">  applicability: "applicable" | "not_applicable";</w:t>
        <w:br/>
        <w:t xml:space="preserve">  surfaces: {</w:t>
        <w:br/>
        <w:t xml:space="preserve">    owner: OnboardingSurfaceRoute | null;</w:t>
        <w:br/>
        <w:t xml:space="preserve">    organizationAdmin: OnboardingSurfaceRoute | null;</w:t>
        <w:br/>
        <w:t xml:space="preserve">  };</w:t>
        <w:br/>
        <w:t>};</w:t>
        <w:br/>
        <w:br/>
        <w:t>type OnboardingSectionNode = {</w:t>
        <w:br/>
        <w:t xml:space="preserve">  sectionKey: string;</w:t>
        <w:br/>
        <w:t xml:space="preserve">  routeSuffix: string;</w:t>
        <w:br/>
        <w:t xml:space="preserve">  findingRouteTemplate: string;</w:t>
        <w:br/>
        <w:t xml:space="preserve">  requiredCapabilities: string[];</w:t>
        <w:br/>
        <w:t xml:space="preserve">  allowedActions: OnboardingAction[];</w:t>
        <w:br/>
        <w:t>};</w:t>
        <w:br/>
        <w:br/>
        <w:t>type OnboardingSurfaceRoute = {</w:t>
        <w:br/>
        <w:t xml:space="preserve">  parentRouteTemplate: string;</w:t>
        <w:br/>
        <w:t xml:space="preserve">  resumeRouteTemplate: string;</w:t>
        <w:br/>
        <w:t xml:space="preserve">  exitRouteTemplate: string;</w:t>
        <w:br/>
        <w:t xml:space="preserve">  breadcrumbSegments: BreadcrumbSegment[];</w:t>
        <w:br/>
        <w:t>};</w:t>
      </w:r>
    </w:p>
    <w:p>
      <w:r>
        <w:t>El registry alimenta router, stepper, selector de secciones, breadcrumbs, deep links, shortcuts, resume, exit, handoff, guards y pruebas. No se mantienen listas de rutas independientes.</w:t>
      </w:r>
    </w:p>
    <w:p>
      <w:pPr>
        <w:pStyle w:val="Heading1"/>
      </w:pPr>
      <w:r>
        <w:t>5. Ocho pasos visibles y labels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Step key</w:t>
            </w:r>
          </w:p>
        </w:tc>
        <w:tc>
          <w:tcPr>
            <w:tcW w:type="dxa" w:w="3024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Label visible</w:t>
            </w:r>
          </w:p>
        </w:tc>
        <w:tc>
          <w:tcPr>
            <w:tcW w:type="dxa" w:w="4464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Contenido principal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organization_portal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Organización y portal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Perfil, tenantSlug, hostname reservado, branding y preview.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initial_administrators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Administradores iniciales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Admins, invitations, roles iniciales y bootstrap confirmation.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access_methods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Inicio de sesión y acceso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OIDC, SAML, managed access, routing y test login.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provisioning_lifecycle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Gestión de usuarios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SCIM, JIT, API/SIS sync y source policies.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identity_structure_mapping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Personas y estructura académica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Mappings, taxonomy, periods y teaching assignments.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authorization_simulation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Accesos y permisos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Role candidates, ceilings, activations, PBAC, Data Scope y preview.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dry_run_review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Revisión antes de activar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Reconciliation, blockers, entitlements, usage y activation plan.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approval_publication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Aprobación y publicación</w:t>
            </w:r>
          </w:p>
        </w:tc>
        <w:tc>
          <w:tcPr>
            <w:tcW w:type="dxa" w:w="44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Approval, run, verification, publication y receipt.</w:t>
            </w:r>
          </w:p>
        </w:tc>
      </w:tr>
    </w:tbl>
    <w:p>
      <w:pPr>
        <w:spacing w:after="0"/>
      </w:pPr>
    </w:p>
    <w:p>
      <w:r>
        <w:t>Las claves técnicas no se muestran directamente al usuario.</w:t>
      </w:r>
    </w:p>
    <w:p>
      <w:pPr>
        <w:pStyle w:val="Heading1"/>
      </w:pPr>
      <w:r>
        <w:t>6. Contexto y orientación</w:t>
      </w:r>
    </w:p>
    <w:p>
      <w:pPr>
        <w:pStyle w:val="CodeBlock"/>
      </w:pPr>
      <w:r>
        <w:t>Administrador Didaxus:</w:t>
        <w:br/>
        <w:t>Organizaciones › Colegio Ejemplo › Configuración inicial › Inicio de sesión y acceso</w:t>
        <w:br/>
        <w:t>Colegio Ejemplo · Administrador Didaxus · En configuración · Puede editar</w:t>
        <w:br/>
        <w:t>Paso 3 de 6 aplicables · 2 no aplican · Guardado hace 2 minutos</w:t>
        <w:br/>
        <w:br/>
        <w:t>Administrador de la organización:</w:t>
        <w:br/>
        <w:t>Inicio › Configuración de la organización › Configuración inicial › Inicio de sesión y acceso</w:t>
        <w:br/>
        <w:t>Colegio Ejemplo · Administrador de la organización · En configuración · Puede editar</w:t>
      </w:r>
    </w:p>
    <w:p>
      <w:pPr>
        <w:pStyle w:val="ListBullet"/>
      </w:pPr>
      <w:r>
        <w:t>Breadcrumbs son links a parent routes y usan aria-current="page".</w:t>
      </w:r>
    </w:p>
    <w:p>
      <w:pPr>
        <w:pStyle w:val="ListBullet"/>
      </w:pPr>
      <w:r>
        <w:t>El nombre humano es principal; IDs técnicos quedan en detalles de soporte.</w:t>
      </w:r>
    </w:p>
    <w:p>
      <w:pPr>
        <w:pStyle w:val="ListBullet"/>
      </w:pPr>
      <w:r>
        <w:t>El modo Administrador Didaxus, consultor o Administrador de la organización es visible.</w:t>
      </w:r>
    </w:p>
    <w:p>
      <w:pPr>
        <w:pStyle w:val="ListBullet"/>
      </w:pPr>
      <w:r>
        <w:t>Solo lectura, puede editar y modo de aprobación se distinguen explícitamente.</w:t>
      </w:r>
    </w:p>
    <w:p>
      <w:pPr>
        <w:pStyle w:val="ListBullet"/>
      </w:pPr>
      <w:r>
        <w:t>No se usa navigate(-1) como única salida.</w:t>
      </w:r>
    </w:p>
    <w:p>
      <w:pPr>
        <w:pStyle w:val="Heading1"/>
      </w:pPr>
      <w:r>
        <w:t>7. Shell y navegación</w:t>
      </w:r>
    </w:p>
    <w:p>
      <w:pPr>
        <w:pStyle w:val="CodeBlock"/>
      </w:pPr>
      <w:r>
        <w:t>&lt;OrganizationOnboardingShell&gt;</w:t>
        <w:br/>
        <w:t xml:space="preserve">  &lt;OnboardingContextHeader /&gt;</w:t>
        <w:br/>
        <w:t xml:space="preserve">  &lt;OnboardingBreadcrumbs /&gt;</w:t>
        <w:br/>
        <w:t xml:space="preserve">  &lt;OnboardingStepRail /&gt;</w:t>
        <w:br/>
        <w:t xml:space="preserve">  &lt;OnboardingStepWorkspace /&gt;</w:t>
        <w:br/>
        <w:t xml:space="preserve">  &lt;OnboardingReadinessPanel /&gt;</w:t>
        <w:br/>
        <w:t xml:space="preserve">  &lt;OnboardingActionBar /&gt;</w:t>
        <w:br/>
        <w:t>&lt;/OrganizationOnboardingShell&gt;</w:t>
      </w:r>
    </w:p>
    <w:p>
      <w:r>
        <w:t>Desktop usa tres columnas y un rail route-backed de secciones. Tablet usa stepper y selector compacto con el mismo registry. Móvil usa selector/drawer de secciones, una sección visible a la vez y action bar que no cubre el foco.</w:t>
      </w:r>
    </w:p>
    <w:p>
      <w:pPr>
        <w:pStyle w:val="Heading1"/>
      </w:pPr>
      <w:r>
        <w:t>8. Integración del wizard actual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168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Etapa actual</w:t>
            </w:r>
          </w:p>
        </w:tc>
        <w:tc>
          <w:tcPr>
            <w:tcW w:type="dxa" w:w="720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Destino v1.2.1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organization_portal / organization_profile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segmentation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organization_portal / legacy segmentation metadata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admins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initial_administrators / bootstrap_admins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initial_administrators / bootstrap confirmation</w:t>
            </w:r>
          </w:p>
        </w:tc>
      </w:tr>
    </w:tbl>
    <w:p>
      <w:pPr>
        <w:spacing w:after="0"/>
      </w:pPr>
    </w:p>
    <w:p>
      <w:r>
        <w:t>Al confirmar el segundo paso se ejecuta el bootstrap existente. La UI muestra el receipt y continúa a access_methods; no declara el onboarding completado.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766E"/>
                <w:sz w:val="20"/>
              </w:rPr>
              <w:t>Copy obligatorio</w:t>
              <w:br/>
              <w:t>Bootstrap completado. La organización y sus administradores iniciales están listos. Continúe con identidad, gestión de usuarios, estructura y configuración de accesos.</w:t>
            </w:r>
            <w:r>
              <w:rPr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9. Portal y Tenant Resolution</w:t>
      </w:r>
    </w:p>
    <w:p>
      <w:pPr>
        <w:pStyle w:val="ListBullet"/>
      </w:pPr>
      <w:r>
        <w:t>Campo principal: tenantSlug.</w:t>
      </w:r>
    </w:p>
    <w:p>
      <w:pPr>
        <w:pStyle w:val="ListBullet"/>
      </w:pPr>
      <w:r>
        <w:t>Preview canónico: https://{tenantSlug}.portal.didaxus.com.</w:t>
      </w:r>
    </w:p>
    <w:p>
      <w:pPr>
        <w:pStyle w:val="ListBullet"/>
      </w:pPr>
      <w:r>
        <w:t>Estado visible: Available, Reserved, Unpublished, Restricted o Published.</w:t>
      </w:r>
    </w:p>
    <w:p>
      <w:pPr>
        <w:pStyle w:val="ListBullet"/>
      </w:pPr>
      <w:r>
        <w:t>appSubdomain/appBaseDomain solo pueden aparecer durante migración y no se muestran como autoridad.</w:t>
      </w:r>
    </w:p>
    <w:p>
      <w:pPr>
        <w:pStyle w:val="ListBullet"/>
      </w:pPr>
      <w:r>
        <w:t>La URL de entrada la comunica cada organización; un discovery Civitas con SSO es secundario y fuera del onboarding base.</w:t>
      </w:r>
    </w:p>
    <w:p>
      <w:pPr>
        <w:pStyle w:val="Heading1"/>
      </w:pPr>
      <w:r>
        <w:t>10. Readiness multidimensional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Tarjeta</w:t>
            </w:r>
          </w:p>
        </w:tc>
        <w:tc>
          <w:tcPr>
            <w:tcW w:type="dxa" w:w="8063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Completeness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Campos aplicables y progreso.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Identity, memberships, ceilings, policies, Data Scope y blockers.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Commercial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Subscriptions, entitlements, límites y proyección por módulo.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Operational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Workers, credenciales, validation runs, publication probes y observed state.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Overall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Resultado derivado y CTA al blocker dominante.</w:t>
            </w:r>
          </w:p>
        </w:tc>
      </w:tr>
    </w:tbl>
    <w:p>
      <w:pPr>
        <w:spacing w:after="0"/>
      </w:pPr>
    </w:p>
    <w:p>
      <w:r>
        <w:t>Warnings son señales secundarias y no un quinto estado del stepper.</w:t>
      </w:r>
    </w:p>
    <w:p>
      <w:pPr>
        <w:pStyle w:val="Heading1"/>
      </w:pPr>
      <w:r>
        <w:t>11. Navegación por permiso y disponibilidad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8208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hidden</w:t>
            </w:r>
          </w:p>
        </w:tc>
        <w:tc>
          <w:tcPr>
            <w:tcW w:type="dxa" w:w="82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se muestra cuando el actor no debe conocer la función o carece de capacidad base.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disabled</w:t>
            </w:r>
          </w:p>
        </w:tc>
        <w:tc>
          <w:tcPr>
            <w:tcW w:type="dxa" w:w="82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muestra con explicación, prerequisite y CTA.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forbidden</w:t>
            </w:r>
          </w:p>
        </w:tc>
        <w:tc>
          <w:tcPr>
            <w:tcW w:type="dxa" w:w="82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Deep link denegado conserva shell, contexto y parent route; no muestra reason interno sensible.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planned</w:t>
            </w:r>
          </w:p>
        </w:tc>
        <w:tc>
          <w:tcPr>
            <w:tcW w:type="dxa" w:w="82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genera Link activo; se oculta o aparece como roadmap explícito.</w:t>
            </w:r>
          </w:p>
        </w:tc>
      </w:tr>
    </w:tbl>
    <w:p>
      <w:pPr>
        <w:spacing w:after="0"/>
      </w:pPr>
    </w:p>
    <w:p>
      <w:r>
        <w:t>La navegación se materializa después de evaluar capacidades. ScreenGate sigue siendo defensa, no mecanismo principal para descubrir que el menú era inaccesible.</w:t>
      </w:r>
    </w:p>
    <w:p>
      <w:pPr>
        <w:pStyle w:val="Heading1"/>
      </w:pPr>
      <w:r>
        <w:t>12. Guardado, salida y colaboración</w:t>
      </w:r>
    </w:p>
    <w:p>
      <w:pPr>
        <w:pStyle w:val="CodeBlock"/>
      </w:pPr>
      <w:r>
        <w:t>Guardar borrador</w:t>
        <w:br/>
        <w:t>Guardar y salir</w:t>
        <w:br/>
        <w:t>Continuar</w:t>
        <w:br/>
        <w:t>Abrir resumen</w:t>
        <w:br/>
        <w:t>Copiar enlace</w:t>
        <w:br/>
        <w:t>Transferir configuración</w:t>
      </w:r>
    </w:p>
    <w:p>
      <w:pPr>
        <w:pStyle w:val="ListBullet"/>
      </w:pPr>
      <w:r>
        <w:t>Continuar espera confirmación durable del guardado.</w:t>
      </w:r>
    </w:p>
    <w:p>
      <w:pPr>
        <w:pStyle w:val="ListBullet"/>
      </w:pPr>
      <w:r>
        <w:t>Cambios sin guardar activan confirmación de salida.</w:t>
      </w:r>
    </w:p>
    <w:p>
      <w:pPr>
        <w:pStyle w:val="ListBullet"/>
      </w:pPr>
      <w:r>
        <w:t>ETag mismatch muestra diff y permite reload, merge permitido o conservar copia.</w:t>
      </w:r>
    </w:p>
    <w:p>
      <w:pPr>
        <w:pStyle w:val="ListBullet"/>
      </w:pPr>
      <w:r>
        <w:t>Transferir configuración preserva onboardingId, step, section y finding.</w:t>
      </w:r>
    </w:p>
    <w:p>
      <w:pPr>
        <w:pStyle w:val="ListBullet"/>
      </w:pPr>
      <w:r>
        <w:t>El estado de guardado se anuncia con aria-live/status message.</w:t>
      </w:r>
    </w:p>
    <w:p>
      <w:pPr>
        <w:pStyle w:val="Heading1"/>
      </w:pPr>
      <w:r>
        <w:t>13. Identity, structure y authorization</w:t>
      </w:r>
    </w:p>
    <w:p>
      <w:pPr>
        <w:pStyle w:val="ListBullet"/>
      </w:pPr>
      <w:r>
        <w:t>OIDC, SAML y managed access usan tarjetas equivalentes.</w:t>
      </w:r>
    </w:p>
    <w:p>
      <w:pPr>
        <w:pStyle w:val="ListBullet"/>
      </w:pPr>
      <w:r>
        <w:t>SCIM credentials son reveal-once y nunca se generan en navegador.</w:t>
      </w:r>
    </w:p>
    <w:p>
      <w:pPr>
        <w:pStyle w:val="ListBullet"/>
      </w:pPr>
      <w:r>
        <w:t>Teaching assignments conservan editor propio dentro del paso 5.</w:t>
      </w:r>
    </w:p>
    <w:p>
      <w:pPr>
        <w:pStyle w:val="ListBullet"/>
      </w:pPr>
      <w:r>
        <w:t>DerivedScopePreview muestra el Data Scope resultante.</w:t>
      </w:r>
    </w:p>
    <w:p>
      <w:pPr>
        <w:pStyle w:val="ListBullet"/>
      </w:pPr>
      <w:r>
        <w:t>Access Decision Preview explica reason codes sin secretos ni PII.</w:t>
      </w:r>
    </w:p>
    <w:p>
      <w:pPr>
        <w:pStyle w:val="ListBullet"/>
      </w:pPr>
      <w:r>
        <w:t>Administradores bootstrap reconciliados por SCIM no se duplican.</w:t>
      </w:r>
    </w:p>
    <w:p>
      <w:pPr>
        <w:pStyle w:val="Heading1"/>
      </w:pPr>
      <w:r>
        <w:t>14. Módulos y modelo comercial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7776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Tratamiento UI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Subscription</w:t>
            </w:r>
          </w:p>
        </w:tc>
        <w:tc>
          <w:tcPr>
            <w:tcW w:type="dxa" w:w="77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Estado contractual; edición solo por actor autorizado.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Entitlement</w:t>
            </w:r>
          </w:p>
        </w:tc>
        <w:tc>
          <w:tcPr>
            <w:tcW w:type="dxa" w:w="77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Capacidades y límites aprobados.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Installation</w:t>
            </w:r>
          </w:p>
        </w:tc>
        <w:tc>
          <w:tcPr>
            <w:tcW w:type="dxa" w:w="77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pending_configuration no se presenta como activo.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Runtime binding</w:t>
            </w:r>
          </w:p>
        </w:tc>
        <w:tc>
          <w:tcPr>
            <w:tcW w:type="dxa" w:w="77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Subflujo posterior del módulo.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Usage projection</w:t>
            </w:r>
          </w:p>
        </w:tc>
        <w:tc>
          <w:tcPr>
            <w:tcW w:type="dxa" w:w="777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moduleId + dimensionKey.</w:t>
            </w:r>
          </w:p>
        </w:tc>
      </w:tr>
    </w:tbl>
    <w:p>
      <w:pPr>
        <w:spacing w:after="0"/>
      </w:pPr>
    </w:p>
    <w:p>
      <w:r>
        <w:t>Métricas base: planning.author_teacher y planning.additional_course. organization.active_membership_count puede mostrarse como dato operativo, no como precio o silla global.</w:t>
      </w:r>
    </w:p>
    <w:p>
      <w:pPr>
        <w:pStyle w:val="Heading1"/>
      </w:pPr>
      <w:r>
        <w:t>15. Activation plan, aprobación y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168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720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t>Generar plan de activación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 plan inmutable y diff; no aprueba ni ejecuta.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t>Aprobar plan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t>Administrador Didaxus selecciona el objetivo, reautentica y registra el motivo.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t>Ejecutar activación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la aprobación vigente y muestra checkpoints.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t>Solicitar cambios / Rechazar</w:t>
            </w:r>
          </w:p>
        </w:tc>
        <w:tc>
          <w:tcPr>
            <w:tcW w:type="dxa" w:w="72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Cambia review state y conserva evidencia.</w:t>
            </w:r>
          </w:p>
        </w:tc>
      </w:tr>
    </w:tbl>
    <w:p>
      <w:pPr>
        <w:spacing w:after="0"/>
      </w:pPr>
    </w:p>
    <w:p>
      <w:r>
        <w:t>No usar un único CTA Activate production.</w:t>
      </w:r>
    </w:p>
    <w:p>
      <w:pPr>
        <w:pStyle w:val="Heading1"/>
      </w:pPr>
      <w:r>
        <w:t>16. Errores y recuperación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311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7056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Respuesta UI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Bootstrap parcial</w:t>
            </w:r>
          </w:p>
        </w:tc>
        <w:tc>
          <w:tcPr>
            <w:tcW w:type="dxa" w:w="70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Receipt de checkpoints, retry idempotente y soporte.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 Logto creada sin vínculo Civitas</w:t>
            </w:r>
          </w:p>
        </w:tc>
        <w:tc>
          <w:tcPr>
            <w:tcW w:type="dxa" w:w="70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Estado blocked; reconciliar IDs antes de continuar.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Permiso revocado</w:t>
            </w:r>
          </w:p>
        </w:tc>
        <w:tc>
          <w:tcPr>
            <w:tcW w:type="dxa" w:w="70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Runtime boundary, requests cancelados y parent route segura.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 durante autosave</w:t>
            </w:r>
          </w:p>
        </w:tc>
        <w:tc>
          <w:tcPr>
            <w:tcW w:type="dxa" w:w="70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Estado local temporal, retry explícito y no avanzar.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Activation plan stale</w:t>
            </w:r>
          </w:p>
        </w:tc>
        <w:tc>
          <w:tcPr>
            <w:tcW w:type="dxa" w:w="70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Diff obligatorio y regeneración.</w:t>
            </w:r>
          </w:p>
        </w:tc>
      </w:tr>
      <w:tr>
        <w:trPr>
          <w:cantSplit/>
        </w:trPr>
        <w:tc>
          <w:tcPr>
            <w:tcW w:type="dxa" w:w="331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 context mismatch</w:t>
            </w:r>
          </w:p>
        </w:tc>
        <w:tc>
          <w:tcPr>
            <w:tcW w:type="dxa" w:w="70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Detener módulos y recarga completa; nunca cambiar tenant.</w:t>
            </w:r>
          </w:p>
        </w:tc>
      </w:tr>
    </w:tbl>
    <w:p>
      <w:pPr>
        <w:spacing w:after="0"/>
      </w:pPr>
    </w:p>
    <w:p>
      <w:pPr>
        <w:pStyle w:val="Heading1"/>
      </w:pPr>
      <w:r>
        <w:t>17. Responsive y accesibilidad</w:t>
      </w:r>
    </w:p>
    <w:p>
      <w:pPr>
        <w:pStyle w:val="ListBullet"/>
      </w:pPr>
      <w:r>
        <w:t>Breadcrumbs semánticos y aria-current.</w:t>
      </w:r>
    </w:p>
    <w:p>
      <w:pPr>
        <w:pStyle w:val="ListBullet"/>
      </w:pPr>
      <w:r>
        <w:t>Focus visible y movido al encabezado al cambiar de paso.</w:t>
      </w:r>
    </w:p>
    <w:p>
      <w:pPr>
        <w:pStyle w:val="ListBullet"/>
      </w:pPr>
      <w:r>
        <w:t>Sticky action bar no oculta campos enfocados.</w:t>
      </w:r>
    </w:p>
    <w:p>
      <w:pPr>
        <w:pStyle w:val="ListBullet"/>
      </w:pPr>
      <w:r>
        <w:t>Targets móviles suficientes y tablas transformadas en cards.</w:t>
      </w:r>
    </w:p>
    <w:p>
      <w:pPr>
        <w:pStyle w:val="ListBullet"/>
      </w:pPr>
      <w:r>
        <w:t>Error summary enlazado a campos.</w:t>
      </w:r>
    </w:p>
    <w:p>
      <w:pPr>
        <w:pStyle w:val="ListBullet"/>
      </w:pPr>
      <w:r>
        <w:t>Estados no dependen solo del color.</w:t>
      </w:r>
    </w:p>
    <w:p>
      <w:pPr>
        <w:pStyle w:val="ListBullet"/>
      </w:pPr>
      <w:r>
        <w:t>Readiness drawer probado con teclado, zoom 200% y lector de pantalla.</w:t>
      </w:r>
    </w:p>
    <w:p>
      <w:pPr>
        <w:pStyle w:val="Heading1"/>
      </w:pPr>
      <w:r>
        <w:t>18. Scope de actores posteriores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Frontera</w:t>
              <w:br/>
            </w:r>
            <w:r>
              <w:rPr>
                <w:color w:val="1F2937"/>
                <w:sz w:val="18"/>
              </w:rPr>
              <w:t>Teacher, Student y Parent no participan en onboarding. El Activation Receipt entrega la organización a Governance, Modules, Operations, Audit y a los workspaces operativos definidos por otros contratos.</w:t>
            </w:r>
          </w:p>
        </w:tc>
      </w:tr>
    </w:tbl>
    <w:p>
      <w:pPr>
        <w:spacing w:after="0"/>
      </w:pPr>
    </w:p>
    <w:p>
      <w:pPr>
        <w:pStyle w:val="Heading1"/>
      </w:pPr>
      <w:r>
        <w:t>19. Backlog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type="dxa" w:w="792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Entregable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UI-0 Foundation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Route registry, context header, breadcrumbs, autosave, ETag, collaborators y readiness.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UI-1 Bootstrap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Migrar wizard actual a pasos 1-2, tenantSlug, hostname reservation y receipt.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UI-2 Tenant surface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 Portal host-local y BFF clients.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UI-3 Identity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OIDC/SAML editors, routing, tests y claims.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UI-4 Provisioning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SCIM lifecycle, source authority y conflicts.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UI-5 Structure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Mappings, taxonomy, periods y teaching assignments.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UI-6 Authorization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Ceilings, activations, PBAC, Data Scope y preview.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UI-7 Commercial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Subscriptions, entitlements y usage projection.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UI-8 Activation</w:t>
            </w:r>
          </w:p>
        </w:tc>
        <w:tc>
          <w:tcPr>
            <w:tcW w:type="dxa" w:w="79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Plan/diff, approval, run, verification y receipt.</w:t>
            </w:r>
          </w:p>
        </w:tc>
      </w:tr>
    </w:tbl>
    <w:p>
      <w:pPr>
        <w:spacing w:after="0"/>
      </w:pPr>
    </w:p>
    <w:p>
      <w:pPr>
        <w:pStyle w:val="Heading1"/>
      </w:pPr>
      <w:r>
        <w:t>20. Criterios de aceptación</w:t>
      </w:r>
    </w:p>
    <w:p>
      <w:pPr>
        <w:pStyle w:val="ListBullet"/>
      </w:pPr>
      <w:r>
        <w:t>El Administrador Didaxus crea el aggregate, ejecuta bootstrap y reanuda desde otra sesión.</w:t>
      </w:r>
    </w:p>
    <w:p>
      <w:pPr>
        <w:pStyle w:val="ListBullet"/>
      </w:pPr>
      <w:r>
        <w:t>El Administrador de la organización entra desde su portal host-local y edita sin permisos de Administrador Didaxus.</w:t>
      </w:r>
    </w:p>
    <w:p>
      <w:pPr>
        <w:pStyle w:val="ListBullet"/>
      </w:pPr>
      <w:r>
        <w:t>Las rutas visibles no contienen organizationId.</w:t>
      </w:r>
    </w:p>
    <w:p>
      <w:pPr>
        <w:pStyle w:val="ListBullet"/>
      </w:pPr>
      <w:r>
        <w:t>El wizard actual permanece operativo dentro de los pasos 1-2.</w:t>
      </w:r>
    </w:p>
    <w:p>
      <w:pPr>
        <w:pStyle w:val="ListBullet"/>
      </w:pPr>
      <w:r>
        <w:t>El bootstrap no se presenta como finalización.</w:t>
      </w:r>
    </w:p>
    <w:p>
      <w:pPr>
        <w:pStyle w:val="ListBullet"/>
      </w:pPr>
      <w:r>
        <w:t>Actor, workspace, estado y editability son visibles.</w:t>
      </w:r>
    </w:p>
    <w:p>
      <w:pPr>
        <w:pStyle w:val="ListBullet"/>
      </w:pPr>
      <w:r>
        <w:t>Guardar y salir, parent routes y breadcrumbs funcionan con deep links.</w:t>
      </w:r>
    </w:p>
    <w:p>
      <w:pPr>
        <w:pStyle w:val="ListBullet"/>
      </w:pPr>
      <w:r>
        <w:t>Menú y acciones se filtran por capacidad antes de renderizar.</w:t>
      </w:r>
    </w:p>
    <w:p>
      <w:pPr>
        <w:pStyle w:val="ListBullet"/>
      </w:pPr>
      <w:r>
        <w:t>El responsive y la accesibilidad se verifican, no solo se describen.</w:t>
      </w:r>
    </w:p>
    <w:p>
      <w:pPr>
        <w:pStyle w:val="ListBullet"/>
      </w:pPr>
      <w:r>
        <w:t>El receipt enlaza Gobierno, Módulos, Operaciones y Auditoría.</w:t>
      </w:r>
    </w:p>
    <w:p>
      <w:pPr>
        <w:pStyle w:val="Heading1"/>
      </w:pPr>
      <w:r>
        <w:t>21. Contrato de navegación reconciliado v1.2.1</w:t>
      </w:r>
    </w:p>
    <w:p>
      <w:r>
        <w:t>Esta sección reemplaza cualquier ejemplo ambiguo anterior y convierte los hallazgos P0/P1 de la auditoría UX en decisiones implementables.</w:t>
      </w:r>
    </w:p>
    <w:p>
      <w:pPr>
        <w:pStyle w:val="Heading2"/>
      </w:pPr>
      <w:r>
        <w:t>21.1 Breadcrumbs por superficie</w:t>
      </w:r>
    </w:p>
    <w:p>
      <w:pPr>
        <w:pStyle w:val="CodeBlock"/>
      </w:pPr>
      <w:r>
        <w:t>Administrador Didaxus</w:t>
        <w:br/>
        <w:t>Organizaciones → Colegio Ejemplo → Configuración inicial → Paso → Sección</w:t>
        <w:br/>
        <w:br/>
        <w:t>Administrador de la organización</w:t>
        <w:br/>
        <w:t>Inicio → Configuración de la organización → Configuración inicial → Paso → Sección</w:t>
      </w:r>
    </w:p>
    <w:p>
      <w:pPr>
        <w:pStyle w:val="ListBullet"/>
      </w:pPr>
      <w:r>
        <w:t>Los roots y links son distintos por superficie.</w:t>
      </w:r>
    </w:p>
    <w:p>
      <w:pPr>
        <w:pStyle w:val="ListBullet"/>
      </w:pPr>
      <w:r>
        <w:t>El portal tenant nunca enlaza al directorio global de organizaciones.</w:t>
      </w:r>
    </w:p>
    <w:p>
      <w:pPr>
        <w:pStyle w:val="ListBullet"/>
      </w:pPr>
      <w:r>
        <w:t>Todos los breadcrumbs usan aria-current="page" y parent routes reales.</w:t>
      </w:r>
    </w:p>
    <w:p>
      <w:pPr>
        <w:pStyle w:val="Heading2"/>
      </w:pPr>
      <w:r>
        <w:t>21.2 Rutas y retorno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Owner parent/exit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Admin parent/exit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Resumen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/owner/organization-onboardings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/settings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Punto de salida actor-aware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Step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resumen del onboarding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/onboarding → /settings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navigate(-1)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Section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step correspondiente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step correspondiente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URL propia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Finding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section correspondiente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section correspondiente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Preserva findingId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Receipt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detalle de organización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/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Acción principal actor-aware</w:t>
            </w:r>
          </w:p>
        </w:tc>
      </w:tr>
    </w:tbl>
    <w:p>
      <w:pPr>
        <w:pStyle w:val="Heading2"/>
      </w:pPr>
      <w:r>
        <w:t>21.3 Registry jerárquico</w:t>
      </w:r>
    </w:p>
    <w:p>
      <w:pPr>
        <w:pStyle w:val="CodeBlock"/>
      </w:pPr>
      <w:r>
        <w:t>visibleStepKey</w:t>
        <w:br/>
        <w:t>defaultSectionKey</w:t>
        <w:br/>
        <w:t>sections[]</w:t>
        <w:br/>
        <w:t>sectionKey</w:t>
        <w:br/>
        <w:t>sectionRoute</w:t>
        <w:br/>
        <w:t>findingRoute</w:t>
        <w:br/>
        <w:t>parentRoute</w:t>
        <w:br/>
        <w:t>resumeRoute</w:t>
        <w:br/>
        <w:t>exitRoute</w:t>
        <w:br/>
        <w:t>breadcrumbSegments</w:t>
        <w:br/>
        <w:t>requiredCapabilities</w:t>
        <w:br/>
        <w:t>allowedActions</w:t>
        <w:br/>
        <w:t>availability</w:t>
        <w:br/>
        <w:t>applicability</w:t>
      </w:r>
    </w:p>
    <w:p>
      <w:r>
        <w:t>El mismo registry alimenta router, stepper, selector de secciones, breadcrumbs, shortcuts, handoff y tests.</w:t>
      </w:r>
    </w:p>
    <w:p>
      <w:pPr>
        <w:pStyle w:val="Heading2"/>
      </w:pPr>
      <w:r>
        <w:t>21.4 Navegación dentro de pasos complejos</w:t>
      </w:r>
    </w:p>
    <w:p>
      <w:pPr>
        <w:pStyle w:val="ListBullet"/>
      </w:pPr>
      <w:r>
        <w:t>Desktop: rail vertical de secciones dentro del workspace.</w:t>
      </w:r>
    </w:p>
    <w:p>
      <w:pPr>
        <w:pStyle w:val="ListBullet"/>
      </w:pPr>
      <w:r>
        <w:t>Tablet: selector compacto con el mismo orden y estados.</w:t>
      </w:r>
    </w:p>
    <w:p>
      <w:pPr>
        <w:pStyle w:val="ListBullet"/>
      </w:pPr>
      <w:r>
        <w:t>Móvil: selector/drawer; una sección visible a la vez.</w:t>
      </w:r>
    </w:p>
    <w:p>
      <w:pPr>
        <w:pStyle w:val="ListBullet"/>
      </w:pPr>
      <w:r>
        <w:t>La ruta de step abre defaultSectionKey.</w:t>
      </w:r>
    </w:p>
    <w:p>
      <w:pPr>
        <w:pStyle w:val="ListBullet"/>
      </w:pPr>
      <w:r>
        <w:t>Anterior/siguiente sigue el registry y conserva ETag y cambios pendientes.</w:t>
      </w:r>
    </w:p>
    <w:p>
      <w:pPr>
        <w:pStyle w:val="CodeBlock"/>
      </w:pPr>
      <w:r>
        <w:t>Organización y portal</w:t>
        <w:br/>
        <w:t>Información institucional → Contactos → Portal y dirección → Identidad visual → Revisión</w:t>
        <w:br/>
        <w:br/>
        <w:t>Personas y estructura académica</w:t>
        <w:br/>
        <w:t>Atributos → Grupos → Taxonomía → Periodos → Asignaciones docentes</w:t>
        <w:br/>
        <w:br/>
        <w:t>Accesos y permisos</w:t>
        <w:br/>
        <w:t>Roles candidatos → Límites Owner → Activaciones → PBAC → Alcance de datos → Vista previa</w:t>
        <w:br/>
        <w:br/>
        <w:t>Revisión antes de activar</w:t>
        <w:br/>
        <w:t>Reconciliación → Autorización → Entitlements → Uso → Preparación → Plan</w:t>
      </w:r>
    </w:p>
    <w:p>
      <w:pPr>
        <w:pStyle w:val="Heading2"/>
      </w:pPr>
      <w:r>
        <w:t>21.5 Aplicabilidad y comportamiento de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Se puede abrir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Edición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Resultado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active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Sí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Según capacidad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Puede continuar si valida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conditional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Sí, solo lectura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Solo resolver prerequisites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avanza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Sí, con evidencia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Acciones autorizadas de resolución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avanza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complete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Sí, solo lectura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Editar etapa reabre e invalida derivados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Debe revalidar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not_applicable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Sí, explicación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cuenta ni bloquea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planned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como link funcional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Roadmap u oculto</w:t>
            </w:r>
          </w:p>
        </w:tc>
      </w:tr>
    </w:tbl>
    <w:p>
      <w:r>
        <w:t>Progreso visible: “Paso 3 de 6 aplicables · 2 no aplican”. Los ocho pasos siguen presentes en el rail.</w:t>
      </w:r>
    </w:p>
    <w:p>
      <w:pPr>
        <w:pStyle w:val="Heading2"/>
      </w:pPr>
      <w:r>
        <w:t>21.6 Matriz de actor y acciones</w:t>
      </w:r>
    </w:p>
    <w:p>
      <w:pPr>
        <w:pStyle w:val="ListBullet"/>
      </w:pPr>
      <w:r>
        <w:t>Administrador Didaxus: edita, genera plan, aprueba y ejecuta según capability y reautenticación.</w:t>
      </w:r>
    </w:p>
    <w:p>
      <w:pPr>
        <w:pStyle w:val="ListBullet"/>
      </w:pPr>
      <w:r>
        <w:t>Consultor: edita secciones asignadas y solicita revisión; no aprueba ni ejecuta.</w:t>
      </w:r>
    </w:p>
    <w:p>
      <w:pPr>
        <w:pStyle w:val="ListBullet"/>
      </w:pPr>
      <w:r>
        <w:t>Administrador de la organización: edita secciones tenant, solicita revisión/regeneración y ve progreso/receipt; no aprueba, ejecuta ni ve excepciones internas.</w:t>
      </w:r>
    </w:p>
    <w:p>
      <w:pPr>
        <w:pStyle w:val="ListBullet"/>
      </w:pPr>
      <w:r>
        <w:t>Las acciones no autorizadas no se renderizan. Deep links forbidden conservan shell y regreso seguro.</w:t>
      </w:r>
    </w:p>
    <w:p>
      <w:pPr>
        <w:pStyle w:val="Heading2"/>
      </w:pPr>
      <w:r>
        <w:t>21.7 Blockers role-aware</w:t>
      </w:r>
    </w:p>
    <w:p>
      <w:pPr>
        <w:pStyle w:val="ListBullet"/>
      </w:pPr>
      <w:r>
        <w:t>Si el actor puede resolver, el CTA abre la section/finding exacta.</w:t>
      </w:r>
    </w:p>
    <w:p>
      <w:pPr>
        <w:pStyle w:val="ListBullet"/>
      </w:pPr>
      <w:r>
        <w:t>Si no puede, muestra responsable, impacto y “Solicitar intervención” o “Notificar responsable”.</w:t>
      </w:r>
    </w:p>
    <w:p>
      <w:pPr>
        <w:pStyle w:val="ListBullet"/>
      </w:pPr>
      <w:r>
        <w:t>El CTA dominante nunca abre una acción forbidden.</w:t>
      </w:r>
    </w:p>
    <w:p>
      <w:pPr>
        <w:pStyle w:val="Heading2"/>
      </w:pPr>
      <w:r>
        <w:t>21.8 Guardado y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Semántica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r>
              <w:rPr>
                <w:b/>
              </w:rPr>
              <w:t>Destino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Autosave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Guarda cambios de sección; no valida ni avanza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Permanece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Guardar borrador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Flush durable y nuevo ETag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Permanece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Continuar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Guarda + valida prerequisites + navega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Siguiente section/step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Guardar y salir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Guarda y cierra el workspace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Owner: summary; Admin: /settings</w:t>
            </w:r>
          </w:p>
        </w:tc>
      </w:tr>
    </w:tbl>
    <w:p>
      <w:pPr>
        <w:pStyle w:val="Heading2"/>
      </w:pPr>
      <w:r>
        <w:t>21.9 Política de idioma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Término técnico o inglés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DEB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Copy visible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Owner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Administrador Didaxus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Organization Admin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Administrador de la organización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Organizations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Organizaciones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Onboarding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Configuración inicial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Governance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Gobierno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Readiness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Preparación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Handoff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Transferir configuración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Save and exit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Guardar y salir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Open summary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Abrir resumen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Saved 2 min ago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Guardado hace 2 minutos</w:t>
            </w:r>
          </w:p>
        </w:tc>
      </w:tr>
    </w:tbl>
    <w:p>
      <w:r>
        <w:t>OIDC, SAML, SCIM, API, PBAC y Data Scope conservan siglas cuando el público es técnico y siempre incluyen una explicación funcional en español.</w:t>
      </w:r>
    </w:p>
    <w:p>
      <w:pPr>
        <w:pStyle w:val="Heading2"/>
        <w:keepNext/>
      </w:pPr>
      <w:r>
        <w:t>21.10 Responsive y receipt</w:t>
      </w:r>
    </w:p>
    <w:p>
      <w:pPr>
        <w:pStyle w:val="ListBullet"/>
      </w:pPr>
      <w:r>
        <w:t>Móvil prioriza contexto, step, section, blocker dominante, contenido y una acción primaria.</w:t>
      </w:r>
    </w:p>
    <w:p>
      <w:pPr>
        <w:pStyle w:val="ListBullet"/>
      </w:pPr>
      <w:r>
        <w:t>Acciones secundarias se agrupan en overflow; no se muestran seis botones simultáneos.</w:t>
      </w:r>
    </w:p>
    <w:p>
      <w:pPr>
        <w:pStyle w:val="ListBullet"/>
      </w:pPr>
      <w:r>
        <w:t>El receipt Owner prioriza “Abrir vista general de la organización”.</w:t>
      </w:r>
    </w:p>
    <w:p>
      <w:pPr>
        <w:pStyle w:val="ListBullet"/>
      </w:pPr>
      <w:r>
        <w:t>El receipt tenant prioriza “Ir al inicio de la organización”.</w:t>
      </w:r>
    </w:p>
    <w:p>
      <w:pPr>
        <w:pStyle w:val="ListBullet"/>
      </w:pPr>
      <w:r>
        <w:t>Gobierno, Módulos, Operaciones y Auditoría son enlaces secundarios filtrados por capacidad.</w:t>
      </w:r>
    </w:p>
    <w:p>
      <w:pPr>
        <w:pStyle w:val="Heading2"/>
      </w:pPr>
      <w:r>
        <w:t>21.11 Criterios de aceptación adicionales</w:t>
      </w:r>
    </w:p>
    <w:p>
      <w:pPr>
        <w:pStyle w:val="ListBullet"/>
      </w:pPr>
      <w:r>
        <w:t>Owner y Admin nunca comparten un breadcrumb root incorrecto.</w:t>
      </w:r>
    </w:p>
    <w:p>
      <w:pPr>
        <w:pStyle w:val="ListBullet"/>
      </w:pPr>
      <w:r>
        <w:t>Deep links restauran step, section y finding.</w:t>
      </w:r>
    </w:p>
    <w:p>
      <w:pPr>
        <w:pStyle w:val="ListBullet"/>
      </w:pPr>
      <w:r>
        <w:t>not_applicable no infla el contador ni bloquea readiness.</w:t>
      </w:r>
    </w:p>
    <w:p>
      <w:pPr>
        <w:pStyle w:val="ListBullet"/>
      </w:pPr>
      <w:r>
        <w:t>Un step complete reabierto invalida plan/approval derivados.</w:t>
      </w:r>
    </w:p>
    <w:p>
      <w:pPr>
        <w:pStyle w:val="ListBullet"/>
      </w:pPr>
      <w:r>
        <w:t>Save and exit usa destino actor-aware.</w:t>
      </w:r>
    </w:p>
    <w:p>
      <w:pPr>
        <w:pStyle w:val="ListBullet"/>
      </w:pPr>
      <w:r>
        <w:t>La interfaz no mezcla copy español e inglés salvo siglas técnicas explicadas.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070"/>
        <w:sz w:val="15"/>
      </w:rPr>
      <w:t>CIVITAS-ONB-UI · v1.2.1 · Didaxus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80"/>
    </w:pPr>
    <w:rPr>
      <w:rFonts w:asciiTheme="majorHAnsi" w:eastAsiaTheme="majorEastAsia" w:hAnsiTheme="majorHAnsi" w:cstheme="majorBidi" w:ascii="Aptos" w:hAnsi="Aptos"/>
      <w:b w:val="0"/>
      <w:i/>
      <w:iCs/>
      <w:color w:val="0F76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30" w:right="115"/>
      <w:shd w:fill="F4F6F8"/>
    </w:pPr>
    <w:rPr>
      <w:rFonts w:ascii="Liberation Mono" w:hAnsi="Liberation Mono"/>
      <w:color w:val="1D2C3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