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color w:val="2E74B5"/>
          <w:sz w:val="18"/>
        </w:rPr>
        <w:t>REFERENCIA DE ANALÍTICA</w:t>
      </w:r>
    </w:p>
    <w:p>
      <w:pPr>
        <w:keepNext/>
        <w:spacing w:before="0" w:after="100"/>
      </w:pPr>
      <w:r>
        <w:rPr>
          <w:rFonts w:ascii="Calibri" w:hAnsi="Calibri"/>
          <w:b/>
          <w:color w:val="1F4D78"/>
          <w:sz w:val="48"/>
        </w:rPr>
        <w:t>Eventos rastreados en GA4</w:t>
      </w:r>
    </w:p>
    <w:p>
      <w:pPr>
        <w:spacing w:before="0" w:after="320"/>
      </w:pPr>
      <w:r>
        <w:rPr>
          <w:rFonts w:ascii="Calibri" w:hAnsi="Calibri"/>
          <w:i/>
          <w:color w:val="606972"/>
          <w:sz w:val="25"/>
        </w:rPr>
        <w:t>Inventario técnico con descripciones provisionales para documentación interna</w:t>
      </w:r>
    </w:p>
    <w:p>
      <w:pPr>
        <w:spacing w:before="0" w:after="40"/>
      </w:pPr>
      <w:r>
        <w:rPr>
          <w:rFonts w:ascii="Calibri" w:hAnsi="Calibri"/>
          <w:b/>
          <w:color w:val="242A30"/>
          <w:sz w:val="20"/>
        </w:rPr>
        <w:t xml:space="preserve">Proyecto: </w:t>
      </w:r>
      <w:r>
        <w:rPr>
          <w:rFonts w:ascii="Calibri" w:hAnsi="Calibri"/>
          <w:color w:val="242A30"/>
          <w:sz w:val="20"/>
        </w:rPr>
        <w:t>Ashley Leon — blog, comunidad y productos digitales</w:t>
      </w:r>
    </w:p>
    <w:p>
      <w:pPr>
        <w:spacing w:before="0" w:after="40"/>
      </w:pPr>
      <w:r>
        <w:rPr>
          <w:rFonts w:ascii="Calibri" w:hAnsi="Calibri"/>
          <w:b/>
          <w:color w:val="242A30"/>
          <w:sz w:val="20"/>
        </w:rPr>
        <w:t xml:space="preserve">Fecha de revisión: </w:t>
      </w:r>
      <w:r>
        <w:rPr>
          <w:rFonts w:ascii="Calibri" w:hAnsi="Calibri"/>
          <w:color w:val="242A30"/>
          <w:sz w:val="20"/>
        </w:rPr>
        <w:t>17 de julio de 2026</w:t>
      </w:r>
    </w:p>
    <w:p>
      <w:pPr>
        <w:spacing w:before="0" w:after="40"/>
      </w:pPr>
      <w:r>
        <w:rPr>
          <w:rFonts w:ascii="Calibri" w:hAnsi="Calibri"/>
          <w:b/>
          <w:color w:val="242A30"/>
          <w:sz w:val="20"/>
        </w:rPr>
        <w:t xml:space="preserve">Alcance: </w:t>
      </w:r>
      <w:r>
        <w:rPr>
          <w:rFonts w:ascii="Calibri" w:hAnsi="Calibri"/>
          <w:color w:val="242A30"/>
          <w:sz w:val="20"/>
        </w:rPr>
        <w:t>Eventos enviados explícitamente desde la aplicación mediante la integración de GA4</w:t>
      </w:r>
    </w:p>
    <w:p>
      <w:pPr>
        <w:pStyle w:val="Heading1"/>
      </w:pPr>
      <w:r>
        <w:t>Alcance y criterio</w:t>
      </w:r>
    </w:p>
    <w:p>
      <w:pPr>
        <w:spacing w:after="200"/>
      </w:pPr>
      <w:r>
        <w:t>Este inventario incluye los eventos con un punto de envío activo en el código. Las descripciones son provisionales. Todos requieren consentimiento analítico y la etiqueta solo se carga en producción. No se incluyen eventos automáticos o de Medición mejorada, cuya configuración debe confirmarse directamente en la propiedad de GA4.</w:t>
      </w:r>
    </w:p>
    <w:p>
      <w:pPr>
        <w:pStyle w:val="Heading1"/>
      </w:pPr>
      <w:r>
        <w:t>Eventos activos</w:t>
      </w:r>
    </w:p>
    <w:p>
      <w:pPr>
        <w:spacing w:after="160"/>
      </w:pPr>
      <w:r>
        <w:t>Se identificaron 10 eventos con disparadores activos en la aplicación.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80"/>
        <w:gridCol w:w="2340"/>
        <w:gridCol w:w="3140"/>
      </w:tblGrid>
      <w:tr>
        <w:trPr>
          <w:tblHeader w:val="true"/>
        </w:trPr>
        <w:tc>
          <w:tcPr>
            <w:tcW w:type="dxa" w:w="2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11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3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Cuándo se dispara</w:t>
            </w:r>
          </w:p>
        </w:tc>
        <w:tc>
          <w:tcPr>
            <w:tcW w:type="dxa" w:w="31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Descripción dummy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blog_product_cta_view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Contenido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al menos 50% de un CTA de producto dentro de un artículo entra en el área visible.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una exposición relevante al bloque promocional de un producto dentro del blog.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blog_product_cta_click</w:t>
            </w:r>
          </w:p>
        </w:tc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Contenido</w:t>
            </w:r>
          </w:p>
        </w:tc>
        <w:tc>
          <w:tcPr>
            <w:tcW w:type="dxa" w:w="23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la persona hace clic en el enlace principal del CTA de producto de un artículo.</w:t>
            </w:r>
          </w:p>
        </w:tc>
        <w:tc>
          <w:tcPr>
            <w:tcW w:type="dxa" w:w="31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interés activo en pasar del contenido editorial a la página del producto recomendado.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pillar_workbook_cta_view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Pilar SEO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al menos 50% del CTA del workbook del pilar entra en el área visible.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Mide cuántas personas llegan a ver la oferta del workbook desde la página pilar.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pillar_workbook_cta_click</w:t>
            </w:r>
          </w:p>
        </w:tc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Pilar SEO</w:t>
            </w:r>
          </w:p>
        </w:tc>
        <w:tc>
          <w:tcPr>
            <w:tcW w:type="dxa" w:w="23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la persona hace clic en el CTA del workbook dentro de la página pilar.</w:t>
            </w:r>
          </w:p>
        </w:tc>
        <w:tc>
          <w:tcPr>
            <w:tcW w:type="dxa" w:w="31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Mide la intención de continuar desde el pilar hacia el recurso Rebuilding Reverence.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pillar_community_cta_view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Pilar SEO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al menos 50% del CTA de comunidad del pilar entra en el área visible.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la exposición a la invitación de comunidad ubicada al final de la página pilar.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pillar_community_cta_click</w:t>
            </w:r>
          </w:p>
        </w:tc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Pilar SEO</w:t>
            </w:r>
          </w:p>
        </w:tc>
        <w:tc>
          <w:tcPr>
            <w:tcW w:type="dxa" w:w="23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la persona hace clic en el CTA de comunidad dentro de la página pilar.</w:t>
            </w:r>
          </w:p>
        </w:tc>
        <w:tc>
          <w:tcPr>
            <w:tcW w:type="dxa" w:w="31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Mide el interés en pasar del contenido pilar a la experiencia de comunidad The In-Between.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newsletter_signup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Newsletter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Después de que la suscripción enviada desde el formulario del pie de página termina correctamente.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una alta confirmada al newsletter y permite atribuirla a la ubicación del formulario.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view_item</w:t>
            </w:r>
          </w:p>
        </w:tc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Ecommerce</w:t>
            </w:r>
          </w:p>
        </w:tc>
        <w:tc>
          <w:tcPr>
            <w:tcW w:type="dxa" w:w="23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Al cargar una página de workbook, círculo o comunidad que incorpora el componente de analítica de producto.</w:t>
            </w:r>
          </w:p>
        </w:tc>
        <w:tc>
          <w:tcPr>
            <w:tcW w:type="dxa" w:w="31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la visualización de un producto u oferta para analizar el inicio del embudo comercial.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begin_checkout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Ecommerce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En el primer intento de enviar el formulario de pago, antes de confirmar el pago con Stripe.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el inicio efectivo del proceso de checkout para un producto determinado.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6"/>
              </w:rPr>
              <w:t>purchase</w:t>
            </w:r>
          </w:p>
        </w:tc>
        <w:tc>
          <w:tcPr>
            <w:tcW w:type="dxa" w:w="11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Ecommerce</w:t>
            </w:r>
          </w:p>
        </w:tc>
        <w:tc>
          <w:tcPr>
            <w:tcW w:type="dxa" w:w="23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Cuando se muestra la página de éxito y existe una compra completada asociada a la transacción.</w:t>
            </w:r>
          </w:p>
        </w:tc>
        <w:tc>
          <w:tcPr>
            <w:tcW w:type="dxa" w:w="31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6"/>
              </w:rPr>
              <w:t>Registra una compra confirmada con su identificador, valor, moneda y producto.</w:t>
            </w:r>
          </w:p>
        </w:tc>
      </w:tr>
    </w:tbl>
    <w:p>
      <w:pPr>
        <w:pStyle w:val="Heading1"/>
      </w:pPr>
      <w:r>
        <w:t>Parámetros enviados</w:t>
      </w:r>
    </w:p>
    <w:p>
      <w:pPr>
        <w:spacing w:after="160"/>
      </w:pPr>
      <w:r>
        <w:t>Los valores ausentes se eliminan antes del envío. La instrumentación evita incluir correo electrónico, nombre u otros datos personales en GA4.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40"/>
        <w:gridCol w:w="6920"/>
      </w:tblGrid>
      <w:tr>
        <w:trPr>
          <w:tblHeader w:val="true"/>
        </w:trPr>
        <w:tc>
          <w:tcPr>
            <w:tcW w:type="dxa" w:w="24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69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Parámetros principales</w:t>
            </w:r>
          </w:p>
        </w:tc>
      </w:tr>
      <w:tr>
        <w:trPr>
          <w:cantSplit/>
        </w:trPr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CTA de artículos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article_slug, article_category, primary_keyword (opcional), cta_product, cta_placement y locale.</w:t>
            </w:r>
          </w:p>
        </w:tc>
      </w:tr>
      <w:tr>
        <w:trPr>
          <w:cantSplit/>
        </w:trPr>
        <w:tc>
          <w:tcPr>
            <w:tcW w:type="dxa" w:w="2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CTA del pilar</w:t>
            </w:r>
          </w:p>
        </w:tc>
        <w:tc>
          <w:tcPr>
            <w:tcW w:type="dxa" w:w="69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page_slug, page_type, cta_destination, cta_placement y locale.</w:t>
            </w:r>
          </w:p>
        </w:tc>
      </w:tr>
      <w:tr>
        <w:trPr>
          <w:cantSplit/>
        </w:trPr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Newsletter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source_location y locale. El correo electrónico no se envía a GA4.</w:t>
            </w:r>
          </w:p>
        </w:tc>
      </w:tr>
      <w:tr>
        <w:trPr>
          <w:cantSplit/>
        </w:trPr>
        <w:tc>
          <w:tcPr>
            <w:tcW w:type="dxa" w:w="2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Ecommerce</w:t>
            </w:r>
          </w:p>
        </w:tc>
        <w:tc>
          <w:tcPr>
            <w:tcW w:type="dxa" w:w="69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locale, value, currency e items (item_id, item_name, item_category); purchase añade transaction_id.</w:t>
            </w:r>
          </w:p>
        </w:tc>
      </w:tr>
    </w:tbl>
    <w:p>
      <w:pPr>
        <w:pStyle w:val="Heading1"/>
      </w:pPr>
      <w:r>
        <w:t>Eventos declarados, sin disparador activo encontrado</w:t>
      </w:r>
    </w:p>
    <w:p>
      <w:pPr>
        <w:spacing w:after="160"/>
      </w:pPr>
      <w:r>
        <w:t>Estos nombres están permitidos por la capa de analítica, pero no tienen una llamada de envío localizada. No deben reportarse todavía como activos.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Evento reservado</w:t>
            </w:r>
          </w:p>
        </w:tc>
        <w:tc>
          <w:tcPr>
            <w:tcW w:type="dxa" w:w="5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Uso provisional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8"/>
              </w:rPr>
              <w:t>related_post_click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Reservado para clics en contenido relacionado.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8"/>
              </w:rPr>
              <w:t>community_cta_click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Reservado para clics en un CTA general de comunidad.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8"/>
              </w:rPr>
              <w:t>circle_cta_click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Reservado para clics en un CTA del círculo.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42A30"/>
                <w:sz w:val="18"/>
              </w:rPr>
              <w:t>newsletter_cta_click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DE3EA"/>
              <w:left w:val="single" w:sz="6" w:color="DDE3EA"/>
              <w:bottom w:val="single" w:sz="6" w:color="DDE3EA"/>
              <w:right w:val="single" w:sz="6" w:color="DDE3EA"/>
              <w:insideH w:val="single" w:sz="6" w:color="DDE3EA"/>
              <w:insideV w:val="single" w:sz="6" w:color="DDE3E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42A30"/>
                <w:sz w:val="18"/>
              </w:rPr>
              <w:t>Reservado para clics en un CTA que dirige al newsletter.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06972"/>
        <w:sz w:val="17"/>
      </w:rPr>
      <w:t xml:space="preserve">Ashley Leon  |  Página </w:t>
    </w:r>
    <w:r>
      <w:rPr>
        <w:rFonts w:ascii="Calibri" w:hAnsi="Calibri"/>
        <w:color w:val="606972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606972"/>
        <w:sz w:val="17"/>
      </w:rPr>
      <w:t xml:space="preserve"> de </w:t>
    </w:r>
    <w:r>
      <w:rPr>
        <w:rFonts w:ascii="Calibri" w:hAnsi="Calibri"/>
        <w:color w:val="606972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06972"/>
        <w:sz w:val="17"/>
      </w:rPr>
      <w:t>INVENTARIO DE MEDICIÓN  |  GA4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Eventos rastreados en GA4</dc:title>
  <dc:subject>Inventario de eventos de analítica con descripciones provisionales</dc:subject>
  <dc:creator>Ashley Leon</dc:creator>
  <cp:keywords>GA4, analítica, eventos, ecommerce, CTA, newsletter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