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pPr>
      <w:r>
        <w:rPr>
          <w:rFonts w:ascii="Calibri" w:hAnsi="Calibri" w:eastAsia="Calibri"/>
          <w:b/>
          <w:color w:val="9A6A08"/>
          <w:sz w:val="22"/>
        </w:rPr>
        <w:t>EDITORIAL + GEO CONTENT BRIEF</w:t>
      </w:r>
    </w:p>
    <w:p>
      <w:pPr>
        <w:spacing w:before="0" w:after="80"/>
      </w:pPr>
      <w:r>
        <w:rPr>
          <w:rFonts w:ascii="Calibri" w:hAnsi="Calibri" w:eastAsia="Calibri"/>
          <w:b/>
          <w:color w:val="255A7E"/>
          <w:sz w:val="58"/>
        </w:rPr>
        <w:t>Deconstructing Christianity</w:t>
      </w:r>
    </w:p>
    <w:p>
      <w:pPr>
        <w:spacing w:after="360"/>
      </w:pPr>
      <w:r>
        <w:rPr>
          <w:rFonts w:ascii="Calibri" w:hAnsi="Calibri" w:eastAsia="Calibri"/>
          <w:b/>
          <w:color w:val="2F7DBA"/>
          <w:sz w:val="32"/>
        </w:rPr>
        <w:t>/en/deconstructing-christianity</w:t>
      </w:r>
    </w:p>
    <w:p>
      <w:pPr>
        <w:spacing w:after="40"/>
      </w:pPr>
      <w:r>
        <w:rPr>
          <w:rFonts w:ascii="Calibri" w:hAnsi="Calibri" w:eastAsia="Calibri"/>
          <w:b/>
          <w:color w:val="263746"/>
          <w:sz w:val="21"/>
        </w:rPr>
        <w:t xml:space="preserve">Prepared for: </w:t>
      </w:r>
      <w:r>
        <w:rPr>
          <w:rFonts w:ascii="Calibri" w:hAnsi="Calibri" w:eastAsia="Calibri"/>
          <w:color w:val="5E6E7D"/>
          <w:sz w:val="21"/>
        </w:rPr>
        <w:t>Ashley Leon</w:t>
      </w:r>
    </w:p>
    <w:p>
      <w:pPr>
        <w:spacing w:after="40"/>
      </w:pPr>
      <w:r>
        <w:rPr>
          <w:rFonts w:ascii="Calibri" w:hAnsi="Calibri" w:eastAsia="Calibri"/>
          <w:b/>
          <w:color w:val="263746"/>
          <w:sz w:val="21"/>
        </w:rPr>
        <w:t xml:space="preserve">Purpose: </w:t>
      </w:r>
      <w:r>
        <w:rPr>
          <w:rFonts w:ascii="Calibri" w:hAnsi="Calibri" w:eastAsia="Calibri"/>
          <w:color w:val="5E6E7D"/>
          <w:sz w:val="21"/>
        </w:rPr>
        <w:t>Collect editorial approvals and source material for the first English draft</w:t>
      </w:r>
    </w:p>
    <w:p>
      <w:pPr>
        <w:spacing w:after="40"/>
      </w:pPr>
      <w:r>
        <w:rPr>
          <w:rFonts w:ascii="Calibri" w:hAnsi="Calibri" w:eastAsia="Calibri"/>
          <w:b/>
          <w:color w:val="263746"/>
          <w:sz w:val="21"/>
        </w:rPr>
        <w:t xml:space="preserve">Status: </w:t>
      </w:r>
      <w:r>
        <w:rPr>
          <w:rFonts w:ascii="Calibri" w:hAnsi="Calibri" w:eastAsia="Calibri"/>
          <w:color w:val="5E6E7D"/>
          <w:sz w:val="21"/>
        </w:rPr>
        <w:t>Core strategy approved; Ashley input requested</w:t>
      </w:r>
    </w:p>
    <w:p>
      <w:pPr>
        <w:spacing w:after="40"/>
      </w:pPr>
      <w:r>
        <w:rPr>
          <w:rFonts w:ascii="Calibri" w:hAnsi="Calibri" w:eastAsia="Calibri"/>
          <w:b/>
          <w:color w:val="263746"/>
          <w:sz w:val="21"/>
        </w:rPr>
        <w:t xml:space="preserve">Date: </w:t>
      </w:r>
      <w:r>
        <w:rPr>
          <w:rFonts w:ascii="Calibri" w:hAnsi="Calibri" w:eastAsia="Calibri"/>
          <w:color w:val="5E6E7D"/>
          <w:sz w:val="21"/>
        </w:rPr>
        <w:t>July 13, 2026</w:t>
      </w:r>
    </w:p>
    <w:p>
      <w:pPr>
        <w:spacing w:before="240" w:after="240"/>
        <w:pBdr>
          <w:bottom w:val="single" w:sz="14" w:space="1" w:color="2F7DBA"/>
        </w:pBdr>
      </w:pPr>
    </w:p>
    <w:p>
      <w:pPr>
        <w:spacing w:before="100" w:after="180" w:line="269" w:lineRule="auto"/>
        <w:ind w:left="173" w:right="115"/>
        <w:shd w:fill="EAF2F8"/>
        <w:pBdr>
          <w:left w:val="single" w:sz="16" w:space="10" w:color="2F7DBA"/>
        </w:pBdr>
      </w:pPr>
      <w:r>
        <w:rPr>
          <w:rFonts w:ascii="Calibri" w:hAnsi="Calibri" w:eastAsia="Calibri"/>
          <w:b/>
          <w:color w:val="255A7E"/>
          <w:sz w:val="21"/>
        </w:rPr>
        <w:t xml:space="preserve">Decision: </w:t>
      </w:r>
      <w:r>
        <w:rPr>
          <w:rFonts w:ascii="Calibri" w:hAnsi="Calibri" w:eastAsia="Calibri"/>
          <w:color w:val="263746"/>
          <w:sz w:val="21"/>
        </w:rPr>
        <w:t>Proceed with one English pillar page. This brief is not the finished page copy. It is the writing and implementation blueprint we will use to produce the first full draft after Ashley confirms the items marked 'Ashley input needed.' The site already has an advanced technical SEO/GEO foundation; this page will extend that system rather than start from zero.</w:t>
      </w:r>
    </w:p>
    <w:p>
      <w:pPr>
        <w:pStyle w:val="Heading1"/>
      </w:pPr>
      <w:r>
        <w:t>1. How to use this brief</w:t>
      </w:r>
    </w:p>
    <w:p>
      <w:pPr>
        <w:keepLines w:val="0"/>
        <w:spacing w:after="120" w:line="264" w:lineRule="auto"/>
      </w:pPr>
      <w:r>
        <w:rPr>
          <w:rFonts w:ascii="Calibri" w:hAnsi="Calibri" w:eastAsia="Calibri"/>
          <w:color w:val="263746"/>
          <w:sz w:val="22"/>
        </w:rPr>
        <w:t>Ashley does not need to write the entire page from scratch unless she prefers to. The most valuable input is her language, lived perspective, boundaries, and approval of the brand concepts that only she can define. The content team will turn those inputs into a complete draft.</w:t>
      </w:r>
    </w:p>
    <w:p>
      <w:pPr>
        <w:numPr>
          <w:ilvl w:val="0"/>
          <w:numId w:val="10"/>
        </w:numPr>
        <w:spacing w:after="160" w:line="280" w:lineRule="auto"/>
      </w:pPr>
      <w:r>
        <w:rPr>
          <w:rFonts w:ascii="Calibri" w:hAnsi="Calibri" w:eastAsia="Calibri"/>
          <w:b/>
          <w:i w:val="0"/>
          <w:color w:val="263746"/>
          <w:sz w:val="22"/>
        </w:rPr>
        <w:t>Approve or revise</w:t>
      </w:r>
      <w:r>
        <w:rPr>
          <w:rFonts w:ascii="Calibri" w:hAnsi="Calibri" w:eastAsia="Calibri"/>
          <w:b w:val="0"/>
          <w:i w:val="0"/>
          <w:color w:val="263746"/>
          <w:sz w:val="22"/>
        </w:rPr>
        <w:t xml:space="preserve"> the working definitions and section direction.</w:t>
      </w:r>
    </w:p>
    <w:p>
      <w:pPr>
        <w:numPr>
          <w:ilvl w:val="0"/>
          <w:numId w:val="10"/>
        </w:numPr>
        <w:spacing w:after="160" w:line="280" w:lineRule="auto"/>
      </w:pPr>
      <w:r>
        <w:rPr>
          <w:rFonts w:ascii="Calibri" w:hAnsi="Calibri" w:eastAsia="Calibri"/>
          <w:b/>
          <w:i w:val="0"/>
          <w:color w:val="263746"/>
          <w:sz w:val="22"/>
        </w:rPr>
        <w:t>Add Ashley's perspective</w:t>
      </w:r>
      <w:r>
        <w:rPr>
          <w:rFonts w:ascii="Calibri" w:hAnsi="Calibri" w:eastAsia="Calibri"/>
          <w:b w:val="0"/>
          <w:i w:val="0"/>
          <w:color w:val="263746"/>
          <w:sz w:val="22"/>
        </w:rPr>
        <w:t xml:space="preserve"> where the brief asks for examples, language, or lived context.</w:t>
      </w:r>
    </w:p>
    <w:p>
      <w:pPr>
        <w:numPr>
          <w:ilvl w:val="0"/>
          <w:numId w:val="10"/>
        </w:numPr>
        <w:spacing w:after="160" w:line="280" w:lineRule="auto"/>
      </w:pPr>
      <w:r>
        <w:rPr>
          <w:rFonts w:ascii="Calibri" w:hAnsi="Calibri" w:eastAsia="Calibri"/>
          <w:b/>
          <w:i w:val="0"/>
          <w:color w:val="263746"/>
          <w:sz w:val="22"/>
        </w:rPr>
        <w:t>Confirm the boundaries</w:t>
      </w:r>
      <w:r>
        <w:rPr>
          <w:rFonts w:ascii="Calibri" w:hAnsi="Calibri" w:eastAsia="Calibri"/>
          <w:b w:val="0"/>
          <w:i w:val="0"/>
          <w:color w:val="263746"/>
          <w:sz w:val="22"/>
        </w:rPr>
        <w:t xml:space="preserve"> around religious harm, trauma language, community, and product claims.</w:t>
      </w:r>
    </w:p>
    <w:p>
      <w:pPr>
        <w:numPr>
          <w:ilvl w:val="0"/>
          <w:numId w:val="10"/>
        </w:numPr>
        <w:spacing w:after="160" w:line="280" w:lineRule="auto"/>
      </w:pPr>
      <w:r>
        <w:rPr>
          <w:rFonts w:ascii="Calibri" w:hAnsi="Calibri" w:eastAsia="Calibri"/>
          <w:b/>
          <w:i w:val="0"/>
          <w:color w:val="263746"/>
          <w:sz w:val="22"/>
        </w:rPr>
        <w:t>Return comments</w:t>
      </w:r>
      <w:r>
        <w:rPr>
          <w:rFonts w:ascii="Calibri" w:hAnsi="Calibri" w:eastAsia="Calibri"/>
          <w:b w:val="0"/>
          <w:i w:val="0"/>
          <w:color w:val="263746"/>
          <w:sz w:val="22"/>
        </w:rPr>
        <w:t xml:space="preserve"> in this document or in an email; short answers are enough.</w:t>
      </w:r>
    </w:p>
    <w:p>
      <w:pPr>
        <w:pStyle w:val="Heading1"/>
      </w:pPr>
      <w:r>
        <w:t>2. Direction already confirmed</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2100"/>
        <w:gridCol w:w="7260"/>
      </w:tblGrid>
      <w:tr>
        <w:trPr>
          <w:cantSplit/>
          <w:tblHeader w:val="true"/>
          <w:cantSplit/>
        </w:trPr>
        <w:tc>
          <w:tcPr>
            <w:tcW w:type="dxa" w:w="21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9"/>
              </w:rPr>
              <w:t>Element</w:t>
            </w:r>
          </w:p>
        </w:tc>
        <w:tc>
          <w:tcPr>
            <w:tcW w:type="dxa" w:w="726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9"/>
              </w:rPr>
              <w:t>Confirmed direction</w:t>
            </w:r>
          </w:p>
        </w:tc>
      </w:tr>
      <w:tr>
        <w:trPr>
          <w:cantSplit/>
          <w:cantSplit/>
        </w:trPr>
        <w:tc>
          <w:tcPr>
            <w:tcW w:type="dxa" w:w="210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Page</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One evergreen pillar guide; not 26 near-duplicate articles</w:t>
            </w:r>
          </w:p>
        </w:tc>
      </w:tr>
      <w:tr>
        <w:trPr>
          <w:cantSplit/>
          <w:cantSplit/>
        </w:trPr>
        <w:tc>
          <w:tcPr>
            <w:tcW w:type="dxa" w:w="21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URL</w:t>
            </w:r>
          </w:p>
        </w:tc>
        <w:tc>
          <w:tcPr>
            <w:tcW w:type="dxa" w:w="72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/en/deconstructing-christianity</w:t>
            </w:r>
          </w:p>
        </w:tc>
      </w:tr>
      <w:tr>
        <w:trPr>
          <w:cantSplit/>
          <w:cantSplit/>
        </w:trPr>
        <w:tc>
          <w:tcPr>
            <w:tcW w:type="dxa" w:w="210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H1</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Deconstructing Christianity: What It Means and What Comes Next</w:t>
            </w:r>
          </w:p>
        </w:tc>
      </w:tr>
      <w:tr>
        <w:trPr>
          <w:cantSplit/>
          <w:cantSplit/>
        </w:trPr>
        <w:tc>
          <w:tcPr>
            <w:tcW w:type="dxa" w:w="21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Title tag</w:t>
            </w:r>
          </w:p>
        </w:tc>
        <w:tc>
          <w:tcPr>
            <w:tcW w:type="dxa" w:w="72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Deconstructing Christianity: Meaning, Process &amp; What Comes Next | Ashley Leon</w:t>
            </w:r>
          </w:p>
        </w:tc>
      </w:tr>
      <w:tr>
        <w:trPr>
          <w:cantSplit/>
          <w:cantSplit/>
        </w:trPr>
        <w:tc>
          <w:tcPr>
            <w:tcW w:type="dxa" w:w="210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Primary intent</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Informational: meaning, process, experience, and possible outcomes</w:t>
            </w:r>
          </w:p>
        </w:tc>
      </w:tr>
      <w:tr>
        <w:trPr>
          <w:cantSplit/>
          <w:cantSplit/>
        </w:trPr>
        <w:tc>
          <w:tcPr>
            <w:tcW w:type="dxa" w:w="21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Primary CTA</w:t>
            </w:r>
          </w:p>
        </w:tc>
        <w:tc>
          <w:tcPr>
            <w:tcW w:type="dxa" w:w="72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Rebuilding Reverence, introduced as a reflective resource without clinical promises</w:t>
            </w:r>
          </w:p>
        </w:tc>
      </w:tr>
      <w:tr>
        <w:trPr>
          <w:cantSplit/>
          <w:cantSplit/>
        </w:trPr>
        <w:tc>
          <w:tcPr>
            <w:tcW w:type="dxa" w:w="210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Language</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color w:val="263746"/>
                <w:sz w:val="19"/>
              </w:rPr>
              <w:t>English only at launch; no Spanish hreflang until equivalent approved content exists</w:t>
            </w:r>
          </w:p>
        </w:tc>
      </w:tr>
    </w:tbl>
    <w:p>
      <w:pPr>
        <w:spacing w:after="40"/>
      </w:pPr>
    </w:p>
    <w:p>
      <w:pPr>
        <w:spacing w:before="100" w:after="180" w:line="269" w:lineRule="auto"/>
        <w:ind w:left="173" w:right="115"/>
        <w:shd w:fill="FFF7E3"/>
        <w:pBdr>
          <w:left w:val="single" w:sz="16" w:space="10" w:color="9A6A08"/>
        </w:pBdr>
      </w:pPr>
      <w:r>
        <w:rPr>
          <w:rFonts w:ascii="Calibri" w:hAnsi="Calibri" w:eastAsia="Calibri"/>
          <w:b/>
          <w:color w:val="9A6A08"/>
          <w:sz w:val="21"/>
        </w:rPr>
        <w:t xml:space="preserve">SEO boundary: </w:t>
      </w:r>
      <w:r>
        <w:rPr>
          <w:rFonts w:ascii="Calibri" w:hAnsi="Calibri" w:eastAsia="Calibri"/>
          <w:color w:val="263746"/>
          <w:sz w:val="21"/>
        </w:rPr>
        <w:t>The phrase 'deconstruction of Christianity' has strong demand but mixed search intent because it also refers to a specific resource. We will use it naturally where useful, but it will not control the URL or voice.</w:t>
      </w:r>
    </w:p>
    <w:p>
      <w:pPr>
        <w:pStyle w:val="Heading1"/>
      </w:pPr>
      <w:r>
        <w:t>3. Search opportunity and reader intent</w:t>
      </w:r>
    </w:p>
    <w:p>
      <w:pPr>
        <w:keepLines w:val="0"/>
        <w:spacing w:after="120" w:line="264" w:lineRule="auto"/>
      </w:pPr>
      <w:r>
        <w:rPr>
          <w:rFonts w:ascii="Calibri" w:hAnsi="Calibri" w:eastAsia="Calibri"/>
          <w:color w:val="263746"/>
          <w:sz w:val="22"/>
        </w:rPr>
        <w:t>The keyword and SERP research points to one shared reader need: understand what deconstruction means, why it happens, what it can feel like, and what may come next. The terms should guide coverage, not be repeated mechanically.</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1900"/>
        <w:gridCol w:w="1400"/>
        <w:gridCol w:w="2200"/>
        <w:gridCol w:w="3860"/>
      </w:tblGrid>
      <w:tr>
        <w:trPr>
          <w:cantSplit/>
          <w:tblHeader w:val="true"/>
          <w:cantSplit/>
        </w:trPr>
        <w:tc>
          <w:tcPr>
            <w:tcW w:type="dxa" w:w="19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Cluster</w:t>
            </w:r>
          </w:p>
        </w:tc>
        <w:tc>
          <w:tcPr>
            <w:tcW w:type="dxa" w:w="14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Demand</w:t>
            </w:r>
          </w:p>
        </w:tc>
        <w:tc>
          <w:tcPr>
            <w:tcW w:type="dxa" w:w="22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Intent</w:t>
            </w:r>
          </w:p>
        </w:tc>
        <w:tc>
          <w:tcPr>
            <w:tcW w:type="dxa" w:w="386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Content destination</w:t>
            </w:r>
          </w:p>
        </w:tc>
      </w:tr>
      <w:tr>
        <w:trPr>
          <w:cantSplit/>
          <w:cantSplit/>
        </w:trP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C1 - 26 variants</w:t>
            </w:r>
          </w:p>
        </w:tc>
        <w:tc>
          <w:tcPr>
            <w:tcW w:type="dxa" w:w="14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11,200</w:t>
            </w:r>
          </w:p>
        </w:tc>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Informational</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This pillar page</w:t>
            </w:r>
          </w:p>
        </w:tc>
      </w:tr>
      <w:tr>
        <w:trPr>
          <w:cantSplit/>
          <w:cantSplit/>
        </w:trPr>
        <w:tc>
          <w:tcPr>
            <w:tcW w:type="dxa" w:w="19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C1-B - 1 boundary term</w:t>
            </w:r>
          </w:p>
        </w:tc>
        <w:tc>
          <w:tcPr>
            <w:tcW w:type="dxa" w:w="14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5,000</w:t>
            </w:r>
          </w:p>
        </w:tc>
        <w:tc>
          <w:tcPr>
            <w:tcW w:type="dxa" w:w="22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Mixed</w:t>
            </w:r>
          </w:p>
        </w:tc>
        <w:tc>
          <w:tcPr>
            <w:tcW w:type="dxa" w:w="38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Natural use on the pillar</w:t>
            </w:r>
          </w:p>
        </w:tc>
      </w:tr>
      <w:tr>
        <w:trPr>
          <w:cantSplit/>
          <w:cantSplit/>
        </w:trPr>
        <w:tc>
          <w:tcPr>
            <w:tcW w:type="dxa" w:w="19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C2 - religious trauma workbook</w:t>
            </w:r>
          </w:p>
        </w:tc>
        <w:tc>
          <w:tcPr>
            <w:tcW w:type="dxa" w:w="14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50</w:t>
            </w:r>
          </w:p>
        </w:tc>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Commercial</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Rebuilding Reverence page</w:t>
            </w:r>
          </w:p>
        </w:tc>
      </w:tr>
      <w:tr>
        <w:trPr>
          <w:cantSplit/>
          <w:cantSplit/>
        </w:trPr>
        <w:tc>
          <w:tcPr>
            <w:tcW w:type="dxa" w:w="19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Reported total</w:t>
            </w:r>
          </w:p>
        </w:tc>
        <w:tc>
          <w:tcPr>
            <w:tcW w:type="dxa" w:w="14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16,250</w:t>
            </w:r>
          </w:p>
        </w:tc>
        <w:tc>
          <w:tcPr>
            <w:tcW w:type="dxa" w:w="22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Overlapping demand</w:t>
            </w:r>
          </w:p>
        </w:tc>
        <w:tc>
          <w:tcPr>
            <w:tcW w:type="dxa" w:w="38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Not a count of unique people</w:t>
            </w:r>
          </w:p>
        </w:tc>
      </w:tr>
    </w:tbl>
    <w:p>
      <w:pPr>
        <w:spacing w:after="40"/>
      </w:pPr>
    </w:p>
    <w:p>
      <w:pPr>
        <w:spacing w:before="100" w:after="180" w:line="269" w:lineRule="auto"/>
        <w:ind w:left="173" w:right="115"/>
        <w:shd w:fill="FFF7E3"/>
        <w:pBdr>
          <w:left w:val="single" w:sz="16" w:space="10" w:color="9A6A08"/>
        </w:pBdr>
      </w:pPr>
      <w:r>
        <w:rPr>
          <w:rFonts w:ascii="Calibri" w:hAnsi="Calibri" w:eastAsia="Calibri"/>
          <w:b/>
          <w:color w:val="9A6A08"/>
          <w:sz w:val="21"/>
        </w:rPr>
        <w:t xml:space="preserve">Interpretation: </w:t>
      </w:r>
      <w:r>
        <w:rPr>
          <w:rFonts w:ascii="Calibri" w:hAnsi="Calibri" w:eastAsia="Calibri"/>
          <w:color w:val="263746"/>
          <w:sz w:val="21"/>
        </w:rPr>
        <w:t>The 16,250 figure is the sum of Keyword Planner estimates across overlapping queries. It is a prioritization signal, not a traffic forecast and not 16,250 different people.</w:t>
      </w:r>
    </w:p>
    <w:p>
      <w:pPr>
        <w:pStyle w:val="Heading1"/>
      </w:pPr>
      <w:r>
        <w:t>4. Reader brief</w:t>
      </w:r>
    </w:p>
    <w:p>
      <w:pPr>
        <w:keepLines w:val="0"/>
        <w:spacing w:after="80" w:line="264" w:lineRule="auto"/>
      </w:pPr>
      <w:r>
        <w:rPr>
          <w:rFonts w:ascii="Calibri" w:hAnsi="Calibri" w:eastAsia="Calibri"/>
          <w:b/>
          <w:color w:val="263746"/>
          <w:sz w:val="22"/>
        </w:rPr>
        <w:t xml:space="preserve">Primary reader. </w:t>
      </w:r>
      <w:r>
        <w:rPr>
          <w:rFonts w:ascii="Calibri" w:hAnsi="Calibri" w:eastAsia="Calibri"/>
          <w:color w:val="263746"/>
          <w:sz w:val="22"/>
        </w:rPr>
        <w:t>A person examining inherited Christian beliefs while navigating questions of identity, belonging, conscience, community, harm, or meaning. They may not know whether they want to remain, rebuild, or leave.</w:t>
      </w:r>
    </w:p>
    <w:p>
      <w:pPr>
        <w:keepLines w:val="0"/>
        <w:spacing w:after="80" w:line="264" w:lineRule="auto"/>
      </w:pPr>
      <w:r>
        <w:rPr>
          <w:rFonts w:ascii="Calibri" w:hAnsi="Calibri" w:eastAsia="Calibri"/>
          <w:b/>
          <w:color w:val="263746"/>
          <w:sz w:val="22"/>
        </w:rPr>
        <w:t xml:space="preserve">What they need from this page. </w:t>
      </w:r>
      <w:r>
        <w:rPr>
          <w:rFonts w:ascii="Calibri" w:hAnsi="Calibri" w:eastAsia="Calibri"/>
          <w:color w:val="263746"/>
          <w:sz w:val="22"/>
        </w:rPr>
        <w:t>Clear definitions, language that does not decide their outcome for them, recognition of emotional complexity, and practical next steps that do not turn vulnerability into a sales pitch.</w:t>
      </w:r>
    </w:p>
    <w:p>
      <w:pPr>
        <w:keepLines w:val="0"/>
        <w:spacing w:after="80" w:line="264" w:lineRule="auto"/>
      </w:pPr>
      <w:r>
        <w:rPr>
          <w:rFonts w:ascii="Calibri" w:hAnsi="Calibri" w:eastAsia="Calibri"/>
          <w:b/>
          <w:color w:val="263746"/>
          <w:sz w:val="22"/>
        </w:rPr>
        <w:t xml:space="preserve">Likely questions. </w:t>
      </w:r>
      <w:r>
        <w:rPr>
          <w:rFonts w:ascii="Calibri" w:hAnsi="Calibri" w:eastAsia="Calibri"/>
          <w:color w:val="263746"/>
          <w:sz w:val="22"/>
        </w:rPr>
        <w:t>What is happening to me? Does questioning mean I am leaving Christianity? Is my experience valid? What can I keep? What support is appropriate?</w:t>
      </w:r>
    </w:p>
    <w:p>
      <w:pPr>
        <w:pStyle w:val="Heading1"/>
      </w:pPr>
      <w:r>
        <w:t>5. Editorial voice and safety guardrails</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4680"/>
        <w:gridCol w:w="4680"/>
      </w:tblGrid>
      <w:tr>
        <w:trPr>
          <w:cantSplit/>
          <w:tblHeader w:val="true"/>
          <w:cantSplit/>
        </w:trPr>
        <w:tc>
          <w:tcPr>
            <w:tcW w:type="dxa" w:w="468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Use</w:t>
            </w:r>
          </w:p>
        </w:tc>
        <w:tc>
          <w:tcPr>
            <w:tcW w:type="dxa" w:w="468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Avoid</w:t>
            </w:r>
          </w:p>
        </w:tc>
      </w:tr>
      <w:tr>
        <w:trPr>
          <w:cantSplit/>
          <w:cantSplit/>
        </w:trPr>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Compassionate, emotionally safe language</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Alarmist, combative, or condescending language</w:t>
            </w:r>
          </w:p>
        </w:tc>
      </w:tr>
      <w:tr>
        <w:trPr>
          <w:cantSplit/>
          <w:cantSplit/>
        </w:trPr>
        <w:tc>
          <w:tcPr>
            <w:tcW w:type="dxa" w:w="468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Clear explanations in everyday words</w:t>
            </w:r>
          </w:p>
        </w:tc>
        <w:tc>
          <w:tcPr>
            <w:tcW w:type="dxa" w:w="468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Academic terminology without explanation</w:t>
            </w:r>
          </w:p>
        </w:tc>
      </w:tr>
      <w:tr>
        <w:trPr>
          <w:cantSplit/>
          <w:cantSplit/>
        </w:trPr>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Room for remaining, rebuilding, or leaving</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Assuming one correct ending</w:t>
            </w:r>
          </w:p>
        </w:tc>
      </w:tr>
      <w:tr>
        <w:trPr>
          <w:cantSplit/>
          <w:cantSplit/>
        </w:trPr>
        <w:tc>
          <w:tcPr>
            <w:tcW w:type="dxa" w:w="468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Specific examples with careful qualifiers</w:t>
            </w:r>
          </w:p>
        </w:tc>
        <w:tc>
          <w:tcPr>
            <w:tcW w:type="dxa" w:w="468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Generalizations about all churches or believers</w:t>
            </w:r>
          </w:p>
        </w:tc>
      </w:tr>
      <w:tr>
        <w:trPr>
          <w:cantSplit/>
          <w:cantSplit/>
        </w:trPr>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Trauma-informed awareness</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Diagnosis, treatment promises, or universal trauma claims</w:t>
            </w:r>
          </w:p>
        </w:tc>
      </w:tr>
      <w:tr>
        <w:trPr>
          <w:cantSplit/>
          <w:cantSplit/>
        </w:trPr>
        <w:tc>
          <w:tcPr>
            <w:tcW w:type="dxa" w:w="468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Inclusive language across identities</w:t>
            </w:r>
          </w:p>
        </w:tc>
        <w:tc>
          <w:tcPr>
            <w:tcW w:type="dxa" w:w="468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 Christian-versus-ex-Christian debate</w:t>
            </w:r>
          </w:p>
        </w:tc>
      </w:tr>
    </w:tbl>
    <w:p>
      <w:pPr>
        <w:spacing w:after="40"/>
      </w:pPr>
    </w:p>
    <w:p>
      <w:pPr>
        <w:spacing w:before="100" w:after="180" w:line="269" w:lineRule="auto"/>
        <w:ind w:left="173" w:right="115"/>
        <w:shd w:fill="EAF2F8"/>
        <w:pBdr>
          <w:left w:val="single" w:sz="16" w:space="10" w:color="2F7DBA"/>
        </w:pBdr>
      </w:pPr>
      <w:r>
        <w:rPr>
          <w:rFonts w:ascii="Calibri" w:hAnsi="Calibri" w:eastAsia="Calibri"/>
          <w:b/>
          <w:color w:val="255A7E"/>
          <w:sz w:val="21"/>
        </w:rPr>
        <w:t xml:space="preserve">Voice principle: </w:t>
      </w:r>
      <w:r>
        <w:rPr>
          <w:rFonts w:ascii="Calibri" w:hAnsi="Calibri" w:eastAsia="Calibri"/>
          <w:color w:val="263746"/>
          <w:sz w:val="21"/>
        </w:rPr>
        <w:t>Explain without labeling the reader, accompany without directing their conclusion, and offer resources without turning vulnerability into sales pressure.</w:t>
      </w:r>
    </w:p>
    <w:p>
      <w:pPr>
        <w:pStyle w:val="Heading1"/>
      </w:pPr>
      <w:r>
        <w:t>6. GEO writing approach</w:t>
      </w:r>
    </w:p>
    <w:p>
      <w:pPr>
        <w:keepLines w:val="0"/>
        <w:spacing w:after="120" w:line="264" w:lineRule="auto"/>
      </w:pPr>
      <w:r>
        <w:rPr>
          <w:rFonts w:ascii="Calibri" w:hAnsi="Calibri" w:eastAsia="Calibri"/>
          <w:color w:val="263746"/>
          <w:sz w:val="22"/>
        </w:rPr>
        <w:t>For this project, GEO means making the visible page easy for people and answer systems to understand, quote, and connect to a clearly identified author. It is an editorial clarity layer built on normal SEO fundamentals. It does not guarantee an AI citation, a featured result, or a ranking.</w:t>
      </w:r>
    </w:p>
    <w:p>
      <w:pPr>
        <w:numPr>
          <w:ilvl w:val="0"/>
          <w:numId w:val="11"/>
        </w:numPr>
        <w:spacing w:after="160" w:line="280" w:lineRule="auto"/>
      </w:pPr>
      <w:r>
        <w:rPr>
          <w:rFonts w:ascii="Calibri" w:hAnsi="Calibri" w:eastAsia="Calibri"/>
          <w:b/>
          <w:i w:val="0"/>
          <w:color w:val="263746"/>
          <w:sz w:val="22"/>
        </w:rPr>
        <w:t xml:space="preserve">Answer first. </w:t>
      </w:r>
      <w:r>
        <w:rPr>
          <w:rFonts w:ascii="Calibri" w:hAnsi="Calibri" w:eastAsia="Calibri"/>
          <w:b w:val="0"/>
          <w:i w:val="0"/>
          <w:color w:val="263746"/>
          <w:sz w:val="22"/>
        </w:rPr>
        <w:t>Open each major H2 with a self-contained one- or two-sentence answer before reflection or narrative.</w:t>
      </w:r>
    </w:p>
    <w:p>
      <w:pPr>
        <w:numPr>
          <w:ilvl w:val="0"/>
          <w:numId w:val="11"/>
        </w:numPr>
        <w:spacing w:after="160" w:line="280" w:lineRule="auto"/>
      </w:pPr>
      <w:r>
        <w:rPr>
          <w:rFonts w:ascii="Calibri" w:hAnsi="Calibri" w:eastAsia="Calibri"/>
          <w:b/>
          <w:i w:val="0"/>
          <w:color w:val="263746"/>
          <w:sz w:val="22"/>
        </w:rPr>
        <w:t xml:space="preserve">Add nuance next. </w:t>
      </w:r>
      <w:r>
        <w:rPr>
          <w:rFonts w:ascii="Calibri" w:hAnsi="Calibri" w:eastAsia="Calibri"/>
          <w:b w:val="0"/>
          <w:i w:val="0"/>
          <w:color w:val="263746"/>
          <w:sz w:val="22"/>
        </w:rPr>
        <w:t>Explain exceptions, emotional complexity, and multiple possible outcomes without weakening the initial answer.</w:t>
      </w:r>
    </w:p>
    <w:p>
      <w:pPr>
        <w:numPr>
          <w:ilvl w:val="0"/>
          <w:numId w:val="11"/>
        </w:numPr>
        <w:spacing w:after="160" w:line="280" w:lineRule="auto"/>
      </w:pPr>
      <w:r>
        <w:rPr>
          <w:rFonts w:ascii="Calibri" w:hAnsi="Calibri" w:eastAsia="Calibri"/>
          <w:b/>
          <w:i w:val="0"/>
          <w:color w:val="263746"/>
          <w:sz w:val="22"/>
        </w:rPr>
        <w:t xml:space="preserve">Make Ashley's contribution distinct. </w:t>
      </w:r>
      <w:r>
        <w:rPr>
          <w:rFonts w:ascii="Calibri" w:hAnsi="Calibri" w:eastAsia="Calibri"/>
          <w:b w:val="0"/>
          <w:i w:val="0"/>
          <w:color w:val="263746"/>
          <w:sz w:val="22"/>
        </w:rPr>
        <w:t>Name The In-Between as Ashley's framework and add first-hand language or examples that cannot be reproduced by a generic article.</w:t>
      </w:r>
    </w:p>
    <w:p>
      <w:pPr>
        <w:numPr>
          <w:ilvl w:val="0"/>
          <w:numId w:val="11"/>
        </w:numPr>
        <w:spacing w:after="160" w:line="280" w:lineRule="auto"/>
      </w:pPr>
      <w:r>
        <w:rPr>
          <w:rFonts w:ascii="Calibri" w:hAnsi="Calibri" w:eastAsia="Calibri"/>
          <w:b/>
          <w:i w:val="0"/>
          <w:color w:val="263746"/>
          <w:sz w:val="22"/>
        </w:rPr>
        <w:t xml:space="preserve">Use descriptive headings. </w:t>
      </w:r>
      <w:r>
        <w:rPr>
          <w:rFonts w:ascii="Calibri" w:hAnsi="Calibri" w:eastAsia="Calibri"/>
          <w:b w:val="0"/>
          <w:i w:val="0"/>
          <w:color w:val="263746"/>
          <w:sz w:val="22"/>
        </w:rPr>
        <w:t>Headings should reflect real questions while still sounding natural in Ashley's voice.</w:t>
      </w:r>
    </w:p>
    <w:p>
      <w:pPr>
        <w:numPr>
          <w:ilvl w:val="0"/>
          <w:numId w:val="11"/>
        </w:numPr>
        <w:spacing w:after="160" w:line="280" w:lineRule="auto"/>
      </w:pPr>
      <w:r>
        <w:rPr>
          <w:rFonts w:ascii="Calibri" w:hAnsi="Calibri" w:eastAsia="Calibri"/>
          <w:b/>
          <w:i w:val="0"/>
          <w:color w:val="263746"/>
          <w:sz w:val="22"/>
        </w:rPr>
        <w:t xml:space="preserve">Keep structured data honest. </w:t>
      </w:r>
      <w:r>
        <w:rPr>
          <w:rFonts w:ascii="Calibri" w:hAnsi="Calibri" w:eastAsia="Calibri"/>
          <w:b w:val="0"/>
          <w:i w:val="0"/>
          <w:color w:val="263746"/>
          <w:sz w:val="22"/>
        </w:rPr>
        <w:t>Schema will describe visible content and authorship; it will not contain answers that readers cannot see.</w:t>
      </w:r>
    </w:p>
    <w:p>
      <w:pPr>
        <w:spacing w:before="100" w:after="180" w:line="269" w:lineRule="auto"/>
        <w:ind w:left="173" w:right="115"/>
        <w:shd w:fill="EAF2F8"/>
        <w:pBdr>
          <w:left w:val="single" w:sz="16" w:space="10" w:color="2F7DBA"/>
        </w:pBdr>
      </w:pPr>
      <w:r>
        <w:rPr>
          <w:rFonts w:ascii="Calibri" w:hAnsi="Calibri" w:eastAsia="Calibri"/>
          <w:b/>
          <w:color w:val="255A7E"/>
          <w:sz w:val="21"/>
        </w:rPr>
        <w:t xml:space="preserve">Recommended section pattern: </w:t>
      </w:r>
      <w:r>
        <w:rPr>
          <w:rFonts w:ascii="Calibri" w:hAnsi="Calibri" w:eastAsia="Calibri"/>
          <w:color w:val="263746"/>
          <w:sz w:val="21"/>
        </w:rPr>
        <w:t>H2 question -&gt; direct answer -&gt; explanation and nuance -&gt; Ashley's perspective or example -&gt; practical next step or relevant internal link.</w:t>
      </w:r>
    </w:p>
    <w:p>
      <w:pPr>
        <w:spacing w:before="100" w:after="180" w:line="269" w:lineRule="auto"/>
        <w:ind w:left="173" w:right="115"/>
        <w:shd w:fill="FFF7E3"/>
        <w:pBdr>
          <w:left w:val="single" w:sz="16" w:space="10" w:color="9A6A08"/>
        </w:pBdr>
      </w:pPr>
      <w:r>
        <w:rPr>
          <w:rFonts w:ascii="Calibri" w:hAnsi="Calibri" w:eastAsia="Calibri"/>
          <w:b/>
          <w:color w:val="9A6A08"/>
          <w:sz w:val="21"/>
        </w:rPr>
        <w:t xml:space="preserve">FAQ note: </w:t>
      </w:r>
      <w:r>
        <w:rPr>
          <w:rFonts w:ascii="Calibri" w:hAnsi="Calibri" w:eastAsia="Calibri"/>
          <w:color w:val="263746"/>
          <w:sz w:val="21"/>
        </w:rPr>
        <w:t>A visible FAQ can be useful for readers. FAQPage markup is optional and must match the visible answers. Google currently limits FAQ rich results mainly to authoritative government and health sites, so we will not present it as a guaranteed visibility tactic.</w:t>
      </w:r>
    </w:p>
    <w:p>
      <w:pPr>
        <w:pStyle w:val="Heading1"/>
      </w:pPr>
      <w:r>
        <w:t>7. GEO foundation already implemented</w:t>
      </w:r>
    </w:p>
    <w:p>
      <w:pPr>
        <w:keepLines w:val="0"/>
        <w:spacing w:after="120" w:line="264" w:lineRule="auto"/>
      </w:pPr>
      <w:r>
        <w:rPr>
          <w:rFonts w:ascii="Calibri" w:hAnsi="Calibri" w:eastAsia="Calibri"/>
          <w:color w:val="263746"/>
          <w:sz w:val="22"/>
        </w:rPr>
        <w:t>Ashley's site is not beginning from a blank technical foundation. A substantial part of the SEO/GEO infrastructure is already implemented across the production codebase. The new pillar page can reuse these systems, which makes the remaining work focused and feasible.</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3300"/>
        <w:gridCol w:w="6060"/>
      </w:tblGrid>
      <w:tr>
        <w:trPr>
          <w:cantSplit/>
          <w:tblHeader w:val="true"/>
          <w:cantSplit/>
        </w:trPr>
        <w:tc>
          <w:tcPr>
            <w:tcW w:type="dxa" w:w="33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Already implemented across the site</w:t>
            </w:r>
          </w:p>
        </w:tc>
        <w:tc>
          <w:tcPr>
            <w:tcW w:type="dxa" w:w="606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What it provides</w:t>
            </w:r>
          </w:p>
        </w:tc>
      </w:tr>
      <w:tr>
        <w:trPr>
          <w:cantSplit/>
          <w:cantSplit/>
        </w:trPr>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Reusable JSON-LD system</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Organization, WebSite, Person, editorial authorship, product/book, event, FAQ, and breadcrumb patterns can be applied consistently</w:t>
            </w:r>
          </w:p>
        </w:tc>
      </w:tr>
      <w:tr>
        <w:trPr>
          <w:cantSplit/>
          <w:cantSplit/>
        </w:trPr>
        <w:tc>
          <w:tcPr>
            <w:tcW w:type="dxa" w:w="3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Author and entity foundation</w:t>
            </w:r>
          </w:p>
        </w:tc>
        <w:tc>
          <w:tcPr>
            <w:tcW w:type="dxa" w:w="60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Ashley is represented as a Person entity, and editorial pages already have an author-markup pattern</w:t>
            </w:r>
          </w:p>
        </w:tc>
      </w:tr>
      <w:tr>
        <w:trPr>
          <w:cantSplit/>
          <w:cantSplit/>
        </w:trPr>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Canonical and language architecture</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Self-canonical URLs, localized alternatives, and sitemap generation are centralized for the bilingual site</w:t>
            </w:r>
          </w:p>
        </w:tc>
      </w:tr>
      <w:tr>
        <w:trPr>
          <w:cantSplit/>
          <w:cantSplit/>
        </w:trPr>
        <w:tc>
          <w:tcPr>
            <w:tcW w:type="dxa" w:w="3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Crawl access</w:t>
            </w:r>
          </w:p>
        </w:tc>
        <w:tc>
          <w:tcPr>
            <w:tcW w:type="dxa" w:w="60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Robots rules permit normal search crawling and intentionally allow major search/AI crawlers</w:t>
            </w:r>
          </w:p>
        </w:tc>
      </w:tr>
      <w:tr>
        <w:trPr>
          <w:cantSplit/>
          <w:cantSplit/>
        </w:trPr>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Breadcrumb patterns</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Visible breadcrumbs and BreadcrumbList structured data already exist on relevant content types</w:t>
            </w:r>
          </w:p>
        </w:tc>
      </w:tr>
      <w:tr>
        <w:trPr>
          <w:cantSplit/>
          <w:cantSplit/>
        </w:trPr>
        <w:tc>
          <w:tcPr>
            <w:tcW w:type="dxa" w:w="3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Consent-aware measurement</w:t>
            </w:r>
          </w:p>
        </w:tc>
        <w:tc>
          <w:tcPr>
            <w:tcW w:type="dxa" w:w="60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GA4 and custom conversion events are gated by the site's consent flow; Vercel Analytics remains the aggregate traffic layer</w:t>
            </w:r>
          </w:p>
        </w:tc>
      </w:tr>
      <w:tr>
        <w:trPr>
          <w:cantSplit/>
          <w:cantSplit/>
        </w:trPr>
        <w:tc>
          <w:tcPr>
            <w:tcW w:type="dxa" w:w="3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Testing foundation</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Metadata, canonical, hreflang, analytics sanitation, CTA behavior, and indexing rules already have automated coverage</w:t>
            </w:r>
          </w:p>
        </w:tc>
      </w:tr>
    </w:tbl>
    <w:p>
      <w:pPr>
        <w:spacing w:after="40"/>
      </w:pPr>
    </w:p>
    <w:p>
      <w:pPr>
        <w:spacing w:before="100" w:after="180" w:line="269" w:lineRule="auto"/>
        <w:ind w:left="173" w:right="115"/>
        <w:shd w:fill="EAF2F8"/>
        <w:pBdr>
          <w:left w:val="single" w:sz="16" w:space="10" w:color="2F7DBA"/>
        </w:pBdr>
      </w:pPr>
      <w:r>
        <w:rPr>
          <w:rFonts w:ascii="Calibri" w:hAnsi="Calibri" w:eastAsia="Calibri"/>
          <w:b/>
          <w:color w:val="255A7E"/>
          <w:sz w:val="21"/>
        </w:rPr>
        <w:t xml:space="preserve">What this means: </w:t>
      </w:r>
      <w:r>
        <w:rPr>
          <w:rFonts w:ascii="Calibri" w:hAnsi="Calibri" w:eastAsia="Calibri"/>
          <w:color w:val="263746"/>
          <w:sz w:val="21"/>
        </w:rPr>
        <w:t>We are not selling GEO as a new technical package that must be built from scratch. The strongest remaining work is page-specific: approved content, answer-first definitions, Ashley's original framework, internal links, and the correct structured data and events for this URL.</w:t>
      </w:r>
    </w:p>
    <w:p>
      <w:pPr>
        <w:pStyle w:val="Heading2"/>
      </w:pPr>
      <w:r>
        <w:t>What remains specific to this pillar</w:t>
      </w:r>
    </w:p>
    <w:p>
      <w:pPr>
        <w:numPr>
          <w:ilvl w:val="0"/>
          <w:numId w:val="10"/>
        </w:numPr>
        <w:spacing w:after="160" w:line="280" w:lineRule="auto"/>
      </w:pPr>
      <w:r>
        <w:rPr>
          <w:rFonts w:ascii="Calibri" w:hAnsi="Calibri" w:eastAsia="Calibri"/>
          <w:b/>
          <w:i w:val="0"/>
          <w:color w:val="263746"/>
          <w:sz w:val="22"/>
        </w:rPr>
        <w:t xml:space="preserve">Editorial source material. </w:t>
      </w:r>
      <w:r>
        <w:rPr>
          <w:rFonts w:ascii="Calibri" w:hAnsi="Calibri" w:eastAsia="Calibri"/>
          <w:b w:val="0"/>
          <w:i w:val="0"/>
          <w:color w:val="263746"/>
          <w:sz w:val="22"/>
        </w:rPr>
        <w:t>Ashley's canonical definition of The In-Between, lived perspective, and sensitive-language boundaries.</w:t>
      </w:r>
    </w:p>
    <w:p>
      <w:pPr>
        <w:numPr>
          <w:ilvl w:val="0"/>
          <w:numId w:val="10"/>
        </w:numPr>
        <w:spacing w:after="160" w:line="280" w:lineRule="auto"/>
      </w:pPr>
      <w:r>
        <w:rPr>
          <w:rFonts w:ascii="Calibri" w:hAnsi="Calibri" w:eastAsia="Calibri"/>
          <w:b/>
          <w:i w:val="0"/>
          <w:color w:val="263746"/>
          <w:sz w:val="22"/>
        </w:rPr>
        <w:t xml:space="preserve">Page content. </w:t>
      </w:r>
      <w:r>
        <w:rPr>
          <w:rFonts w:ascii="Calibri" w:hAnsi="Calibri" w:eastAsia="Calibri"/>
          <w:b w:val="0"/>
          <w:i w:val="0"/>
          <w:color w:val="263746"/>
          <w:sz w:val="22"/>
        </w:rPr>
        <w:t>The complete English draft, visible definitions, section answers, FAQ, and conversion bridge.</w:t>
      </w:r>
    </w:p>
    <w:p>
      <w:pPr>
        <w:numPr>
          <w:ilvl w:val="0"/>
          <w:numId w:val="10"/>
        </w:numPr>
        <w:spacing w:after="160" w:line="280" w:lineRule="auto"/>
      </w:pPr>
      <w:r>
        <w:rPr>
          <w:rFonts w:ascii="Calibri" w:hAnsi="Calibri" w:eastAsia="Calibri"/>
          <w:b/>
          <w:i w:val="0"/>
          <w:color w:val="263746"/>
          <w:sz w:val="22"/>
        </w:rPr>
        <w:t xml:space="preserve">Page-specific markup. </w:t>
      </w:r>
      <w:r>
        <w:rPr>
          <w:rFonts w:ascii="Calibri" w:hAnsi="Calibri" w:eastAsia="Calibri"/>
          <w:b w:val="0"/>
          <w:i w:val="0"/>
          <w:color w:val="263746"/>
          <w:sz w:val="22"/>
        </w:rPr>
        <w:t>Article authorship, BreadcrumbList, and optional FAQPage data matched to the final visible content.</w:t>
      </w:r>
    </w:p>
    <w:p>
      <w:pPr>
        <w:numPr>
          <w:ilvl w:val="0"/>
          <w:numId w:val="10"/>
        </w:numPr>
        <w:spacing w:after="160" w:line="280" w:lineRule="auto"/>
      </w:pPr>
      <w:r>
        <w:rPr>
          <w:rFonts w:ascii="Calibri" w:hAnsi="Calibri" w:eastAsia="Calibri"/>
          <w:b/>
          <w:i w:val="0"/>
          <w:color w:val="263746"/>
          <w:sz w:val="22"/>
        </w:rPr>
        <w:t xml:space="preserve">Discovery paths. </w:t>
      </w:r>
      <w:r>
        <w:rPr>
          <w:rFonts w:ascii="Calibri" w:hAnsi="Calibri" w:eastAsia="Calibri"/>
          <w:b w:val="0"/>
          <w:i w:val="0"/>
          <w:color w:val="263746"/>
          <w:sz w:val="22"/>
        </w:rPr>
        <w:t>New internal links, sitemap entry, and links between the pillar, Rebuilding Reverence, and the community if approved.</w:t>
      </w:r>
    </w:p>
    <w:p>
      <w:pPr>
        <w:numPr>
          <w:ilvl w:val="0"/>
          <w:numId w:val="10"/>
        </w:numPr>
        <w:spacing w:after="160" w:line="280" w:lineRule="auto"/>
      </w:pPr>
      <w:r>
        <w:rPr>
          <w:rFonts w:ascii="Calibri" w:hAnsi="Calibri" w:eastAsia="Calibri"/>
          <w:b/>
          <w:i w:val="0"/>
          <w:color w:val="263746"/>
          <w:sz w:val="22"/>
        </w:rPr>
        <w:t xml:space="preserve">Page-specific measurement. </w:t>
      </w:r>
      <w:r>
        <w:rPr>
          <w:rFonts w:ascii="Calibri" w:hAnsi="Calibri" w:eastAsia="Calibri"/>
          <w:b w:val="0"/>
          <w:i w:val="0"/>
          <w:color w:val="263746"/>
          <w:sz w:val="22"/>
        </w:rPr>
        <w:t>CTA view/click events and a Search Console/GA4 baseline for this new URL.</w:t>
      </w:r>
    </w:p>
    <w:p>
      <w:pPr>
        <w:spacing w:before="100" w:after="180" w:line="269" w:lineRule="auto"/>
        <w:ind w:left="173" w:right="115"/>
        <w:shd w:fill="FFF7E3"/>
        <w:pBdr>
          <w:left w:val="single" w:sz="16" w:space="10" w:color="9A6A08"/>
        </w:pBdr>
      </w:pPr>
      <w:r>
        <w:rPr>
          <w:rFonts w:ascii="Calibri" w:hAnsi="Calibri" w:eastAsia="Calibri"/>
          <w:b/>
          <w:color w:val="9A6A08"/>
          <w:sz w:val="21"/>
        </w:rPr>
        <w:t xml:space="preserve">Expectation: </w:t>
      </w:r>
      <w:r>
        <w:rPr>
          <w:rFonts w:ascii="Calibri" w:hAnsi="Calibri" w:eastAsia="Calibri"/>
          <w:color w:val="263746"/>
          <w:sz w:val="21"/>
        </w:rPr>
        <w:t>This foundation improves implementation quality and speed, but it does not guarantee rankings or AI citations. The page still needs original, useful, approved content and time to be crawled and evaluated.</w:t>
      </w:r>
    </w:p>
    <w:p>
      <w:pPr>
        <w:pStyle w:val="Heading1"/>
      </w:pPr>
      <w:r>
        <w:t>8. Recommended page outline</w:t>
      </w:r>
    </w:p>
    <w:p>
      <w:pPr>
        <w:keepLines w:val="0"/>
        <w:spacing w:after="120" w:line="264" w:lineRule="auto"/>
      </w:pPr>
      <w:r>
        <w:rPr>
          <w:rFonts w:ascii="Calibri" w:hAnsi="Calibri" w:eastAsia="Calibri"/>
          <w:color w:val="263746"/>
          <w:sz w:val="22"/>
        </w:rPr>
        <w:t>The working language below is deliberately concise. It gives Ashley something concrete to approve or revise, but it is not the final article copy. The complete draft will add transitions, examples, and Ashley's voice after this review.</w:t>
      </w:r>
    </w:p>
    <w:p>
      <w:pPr>
        <w:pStyle w:val="Heading2"/>
      </w:pPr>
      <w:r>
        <w:t>0. Hero and opening definition</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Satisfy the main query immediately and establish a neutral, non-prescriptive frame.</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Deconstructing Christianity is the process of examining inherited Christian beliefs, practices, and systems to decide what still feels honest, what needs reinterpretation, and what may need to be released. It does not prescribe a single destination: a person may remain Christian, reconstruct faith differently, or step away.</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Use the approved H1 and a short introductory paragraph before any personal narrative.</w:t>
      </w:r>
    </w:p>
    <w:p>
      <w:pPr>
        <w:numPr>
          <w:ilvl w:val="0"/>
          <w:numId w:val="10"/>
        </w:numPr>
        <w:spacing w:after="160" w:line="280" w:lineRule="auto"/>
      </w:pPr>
      <w:r>
        <w:rPr>
          <w:rFonts w:ascii="Calibri" w:hAnsi="Calibri" w:eastAsia="Calibri"/>
          <w:b w:val="0"/>
          <w:i w:val="0"/>
          <w:color w:val="263746"/>
          <w:sz w:val="22"/>
        </w:rPr>
        <w:t>Introduce the page as a guide, not a diagnosis or argument for one outcome.</w:t>
      </w:r>
    </w:p>
    <w:p>
      <w:pPr>
        <w:numPr>
          <w:ilvl w:val="0"/>
          <w:numId w:val="10"/>
        </w:numPr>
        <w:spacing w:after="160" w:line="280" w:lineRule="auto"/>
      </w:pPr>
      <w:r>
        <w:rPr>
          <w:rFonts w:ascii="Calibri" w:hAnsi="Calibri" w:eastAsia="Calibri"/>
          <w:b w:val="0"/>
          <w:i w:val="0"/>
          <w:color w:val="263746"/>
          <w:sz w:val="22"/>
        </w:rPr>
        <w:t>Naturally cover 'deconstruction Christianity' and 'what is Christian deconstruction.'</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Approve or revise the definition. Which words feel unmistakably like Ashley, and which words should never be used?</w:t>
      </w:r>
    </w:p>
    <w:p>
      <w:pPr>
        <w:pStyle w:val="Heading2"/>
      </w:pPr>
      <w:r>
        <w:t>1. What does deconstructing Christianity mean?</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Define the concept and clarify how Christian, faith, and religious deconstruction overlap without treating every phrase as a separate topic.</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Christian deconstruction is a form of faith or religious deconstruction focused on beliefs, teachings, authority structures, and practices learned within Christianity. The terms overlap, but a person's experience may be shaped by a particular tradition, church culture, identity, or community.</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Distinguish examining beliefs from automatically rejecting them.</w:t>
      </w:r>
    </w:p>
    <w:p>
      <w:pPr>
        <w:numPr>
          <w:ilvl w:val="0"/>
          <w:numId w:val="10"/>
        </w:numPr>
        <w:spacing w:after="160" w:line="280" w:lineRule="auto"/>
      </w:pPr>
      <w:r>
        <w:rPr>
          <w:rFonts w:ascii="Calibri" w:hAnsi="Calibri" w:eastAsia="Calibri"/>
          <w:b w:val="0"/>
          <w:i w:val="0"/>
          <w:color w:val="263746"/>
          <w:sz w:val="22"/>
        </w:rPr>
        <w:t>Use 'deconstruction of Christianity' naturally once where it fits; do not force exact-match repetition.</w:t>
      </w:r>
    </w:p>
    <w:p>
      <w:pPr>
        <w:numPr>
          <w:ilvl w:val="0"/>
          <w:numId w:val="10"/>
        </w:numPr>
        <w:spacing w:after="160" w:line="280" w:lineRule="auto"/>
      </w:pPr>
      <w:r>
        <w:rPr>
          <w:rFonts w:ascii="Calibri" w:hAnsi="Calibri" w:eastAsia="Calibri"/>
          <w:b w:val="0"/>
          <w:i w:val="0"/>
          <w:color w:val="263746"/>
          <w:sz w:val="22"/>
        </w:rPr>
        <w:t>Explain that the term is used differently across communities and is not a clinical label.</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Does Ashley use 'faith deconstruction,' 'religious deconstruction,' and 'Christian deconstruction' interchangeably, or does she make a meaningful distinction?</w:t>
      </w:r>
    </w:p>
    <w:p>
      <w:pPr>
        <w:pStyle w:val="Heading2"/>
      </w:pPr>
      <w:r>
        <w:t>2. Why do people deconstruct their faith?</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Answer the reader's motivation question with breadth and care, then introduce Ashley's distinctive lens early.</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People may begin deconstructing when inherited teachings no longer align with lived experience, conscience, identity, evidence, or their understanding of love and justice. For some, religious harm is part of the story; for others, the process begins with questions, change, or a need for greater integrity.</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Possible drivers: doubt, contradiction, exclusion, power, identity, community, grief, curiosity, or changing values.</w:t>
      </w:r>
    </w:p>
    <w:p>
      <w:pPr>
        <w:numPr>
          <w:ilvl w:val="0"/>
          <w:numId w:val="10"/>
        </w:numPr>
        <w:spacing w:after="160" w:line="280" w:lineRule="auto"/>
      </w:pPr>
      <w:r>
        <w:rPr>
          <w:rFonts w:ascii="Calibri" w:hAnsi="Calibri" w:eastAsia="Calibri"/>
          <w:b w:val="0"/>
          <w:i w:val="0"/>
          <w:color w:val="263746"/>
          <w:sz w:val="22"/>
        </w:rPr>
        <w:t>Do not imply that every person deconstructs because of trauma or that all religious communities cause harm.</w:t>
      </w:r>
    </w:p>
    <w:p>
      <w:pPr>
        <w:numPr>
          <w:ilvl w:val="0"/>
          <w:numId w:val="10"/>
        </w:numPr>
        <w:spacing w:after="160" w:line="280" w:lineRule="auto"/>
      </w:pPr>
      <w:r>
        <w:rPr>
          <w:rFonts w:ascii="Calibri" w:hAnsi="Calibri" w:eastAsia="Calibri"/>
          <w:b w:val="0"/>
          <w:i w:val="0"/>
          <w:color w:val="263746"/>
          <w:sz w:val="22"/>
        </w:rPr>
        <w:t>Transition from the neutral explanation into The In-Between as Ashley's named framework.</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Which two or three reasons are most central to Ashley's own work? Is there a brief personal moment or observation she wants included here?</w:t>
      </w:r>
    </w:p>
    <w:p>
      <w:pPr>
        <w:pStyle w:val="Heading2"/>
      </w:pPr>
      <w:r>
        <w:t>3. The In-Between: space beyond a false binary</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Establish the brand concept as Ashley's original perspective without interrupting the informational usefulness of the page.</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The In-Between names the space beyond the false choice between accepting a harmful version of faith unchanged and abandoning every part of spiritual life. In Ashley's framework, the forced binary itself can deepen the wound; the work is to make room for an honest, self-directed relationship to faith, meaning, or no faith at all.</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Define the concept in one canonical one- or two-sentence statement that can be reused consistently.</w:t>
      </w:r>
    </w:p>
    <w:p>
      <w:pPr>
        <w:numPr>
          <w:ilvl w:val="0"/>
          <w:numId w:val="10"/>
        </w:numPr>
        <w:spacing w:after="160" w:line="280" w:lineRule="auto"/>
      </w:pPr>
      <w:r>
        <w:rPr>
          <w:rFonts w:ascii="Calibri" w:hAnsi="Calibri" w:eastAsia="Calibri"/>
          <w:b w:val="0"/>
          <w:i w:val="0"/>
          <w:color w:val="263746"/>
          <w:sz w:val="22"/>
        </w:rPr>
        <w:t>Explain what the framework offers: permission, complexity, honesty, agency, and room to move without a forced deadline.</w:t>
      </w:r>
    </w:p>
    <w:p>
      <w:pPr>
        <w:numPr>
          <w:ilvl w:val="0"/>
          <w:numId w:val="10"/>
        </w:numPr>
        <w:spacing w:after="160" w:line="280" w:lineRule="auto"/>
      </w:pPr>
      <w:r>
        <w:rPr>
          <w:rFonts w:ascii="Calibri" w:hAnsi="Calibri" w:eastAsia="Calibri"/>
          <w:b w:val="0"/>
          <w:i w:val="0"/>
          <w:color w:val="263746"/>
          <w:sz w:val="22"/>
        </w:rPr>
        <w:t>Clarify whether The In-Between is a lens, a community, a method, or a combination of these.</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This definition is the most important approval in the brief. Please revise it into the exact language Ashley wants associated with The In-Between and confirm capitalization.</w:t>
      </w:r>
    </w:p>
    <w:p>
      <w:pPr>
        <w:pStyle w:val="Heading2"/>
      </w:pPr>
      <w:r>
        <w:t>4. What can faith deconstruction feel like?</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Name the emotional and relational complexity so readers feel recognized without being told what they must feel.</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Faith deconstruction can involve grief, relief, anger, fear, curiosity, loneliness, liberation, or several of these at once. It may affect identity, relationships, community, daily practices, and a person's sense of safety or meaning, but no two experiences follow the same sequence.</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Use qualifiers such as 'can,' 'may,' and 'for some people' where experience varies.</w:t>
      </w:r>
    </w:p>
    <w:p>
      <w:pPr>
        <w:numPr>
          <w:ilvl w:val="0"/>
          <w:numId w:val="10"/>
        </w:numPr>
        <w:spacing w:after="160" w:line="280" w:lineRule="auto"/>
      </w:pPr>
      <w:r>
        <w:rPr>
          <w:rFonts w:ascii="Calibri" w:hAnsi="Calibri" w:eastAsia="Calibri"/>
          <w:b w:val="0"/>
          <w:i w:val="0"/>
          <w:color w:val="263746"/>
          <w:sz w:val="22"/>
        </w:rPr>
        <w:t>Include relational effects: family, partners, friendships, church community, and belonging.</w:t>
      </w:r>
    </w:p>
    <w:p>
      <w:pPr>
        <w:numPr>
          <w:ilvl w:val="0"/>
          <w:numId w:val="10"/>
        </w:numPr>
        <w:spacing w:after="160" w:line="280" w:lineRule="auto"/>
      </w:pPr>
      <w:r>
        <w:rPr>
          <w:rFonts w:ascii="Calibri" w:hAnsi="Calibri" w:eastAsia="Calibri"/>
          <w:b w:val="0"/>
          <w:i w:val="0"/>
          <w:color w:val="263746"/>
          <w:sz w:val="22"/>
        </w:rPr>
        <w:t>Avoid a rigid stage model unless Ashley explicitly uses one.</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Which emotions or relational consequences does Ashley most often hear from her audience? Please add one short phrase, image, or example in her own words.</w:t>
      </w:r>
    </w:p>
    <w:p>
      <w:pPr>
        <w:pStyle w:val="Heading2"/>
      </w:pPr>
      <w:r>
        <w:t>5. Does deconstruction always mean leaving Christianity?</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Correct a common assumption and protect the page's non-dogmatic positioning.</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No. Deconstruction is a process of examination, not a predetermined conclusion. Some people remain Christian with changed beliefs, some reconstruct a different spiritual life, some leave Christianity, and others stay in an unresolved or evolving middle.</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Describe possible outcomes without ranking them morally or spiritually.</w:t>
      </w:r>
    </w:p>
    <w:p>
      <w:pPr>
        <w:numPr>
          <w:ilvl w:val="0"/>
          <w:numId w:val="10"/>
        </w:numPr>
        <w:spacing w:after="160" w:line="280" w:lineRule="auto"/>
      </w:pPr>
      <w:r>
        <w:rPr>
          <w:rFonts w:ascii="Calibri" w:hAnsi="Calibri" w:eastAsia="Calibri"/>
          <w:b w:val="0"/>
          <w:i w:val="0"/>
          <w:color w:val="263746"/>
          <w:sz w:val="22"/>
        </w:rPr>
        <w:t>Use 'deconstructed Christian' only as a self-description some people choose, not a label applied to the reader.</w:t>
      </w:r>
    </w:p>
    <w:p>
      <w:pPr>
        <w:numPr>
          <w:ilvl w:val="0"/>
          <w:numId w:val="10"/>
        </w:numPr>
        <w:spacing w:after="160" w:line="280" w:lineRule="auto"/>
      </w:pPr>
      <w:r>
        <w:rPr>
          <w:rFonts w:ascii="Calibri" w:hAnsi="Calibri" w:eastAsia="Calibri"/>
          <w:b w:val="0"/>
          <w:i w:val="0"/>
          <w:color w:val="263746"/>
          <w:sz w:val="22"/>
        </w:rPr>
        <w:t>Connect naturally back to the freedom and complexity of The In-Between.</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Are there outcomes or labels Ashley does not want normalized on this page? Is 'deconstructed Christian' language she personally uses?</w:t>
      </w:r>
    </w:p>
    <w:p>
      <w:pPr>
        <w:pStyle w:val="Heading2"/>
      </w:pPr>
      <w:r>
        <w:t>6. What may come next?</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Offer practical orientation without prescribing a timeline or presenting the page as mental-health treatment.</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There is no universal timeline or correct next step after faith deconstruction. A helpful next move may be to slow down, name what feels true, set boundaries, explore reflective practices, find safer community, or seek qualified professional support when distress or trauma is present.</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Possible practices: journaling, values clarification, rest, boundaries, reading, conversation, community, and professional support.</w:t>
      </w:r>
    </w:p>
    <w:p>
      <w:pPr>
        <w:numPr>
          <w:ilvl w:val="0"/>
          <w:numId w:val="10"/>
        </w:numPr>
        <w:spacing w:after="160" w:line="280" w:lineRule="auto"/>
      </w:pPr>
      <w:r>
        <w:rPr>
          <w:rFonts w:ascii="Calibri" w:hAnsi="Calibri" w:eastAsia="Calibri"/>
          <w:b w:val="0"/>
          <w:i w:val="0"/>
          <w:color w:val="263746"/>
          <w:sz w:val="22"/>
        </w:rPr>
        <w:t>Separate spiritual reflection from therapy and avoid implying that a workbook replaces clinical care.</w:t>
      </w:r>
    </w:p>
    <w:p>
      <w:pPr>
        <w:numPr>
          <w:ilvl w:val="0"/>
          <w:numId w:val="10"/>
        </w:numPr>
        <w:spacing w:after="160" w:line="280" w:lineRule="auto"/>
      </w:pPr>
      <w:r>
        <w:rPr>
          <w:rFonts w:ascii="Calibri" w:hAnsi="Calibri" w:eastAsia="Calibri"/>
          <w:b w:val="0"/>
          <w:i w:val="0"/>
          <w:color w:val="263746"/>
          <w:sz w:val="22"/>
        </w:rPr>
        <w:t>Let the reader choose pace and direction.</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Which practices does Ashley actively recommend? Are there resources, safety notes, or referral boundaries she wants named?</w:t>
      </w:r>
    </w:p>
    <w:p>
      <w:pPr>
        <w:pStyle w:val="Heading2"/>
      </w:pPr>
      <w:r>
        <w:t>7. A reflective next step</w:t>
      </w:r>
    </w:p>
    <w:p>
      <w:pPr>
        <w:keepNext/>
        <w:keepLines w:val="0"/>
        <w:spacing w:after="80" w:line="264" w:lineRule="auto"/>
      </w:pPr>
      <w:r>
        <w:rPr>
          <w:rFonts w:ascii="Calibri" w:hAnsi="Calibri" w:eastAsia="Calibri"/>
          <w:b/>
          <w:color w:val="263746"/>
          <w:sz w:val="22"/>
        </w:rPr>
        <w:t xml:space="preserve">Purpose: </w:t>
      </w:r>
      <w:r>
        <w:rPr>
          <w:rFonts w:ascii="Calibri" w:hAnsi="Calibri" w:eastAsia="Calibri"/>
          <w:color w:val="263746"/>
          <w:sz w:val="22"/>
        </w:rPr>
        <w:t>Create an ethical bridge from information to Rebuilding Reverence after the guide has fully answered the reader's main questions.</w:t>
      </w:r>
    </w:p>
    <w:p>
      <w:pPr>
        <w:keepLines/>
        <w:spacing w:before="60" w:after="140" w:line="269" w:lineRule="auto"/>
        <w:ind w:left="173" w:right="115"/>
        <w:shd w:fill="EAF2F8"/>
        <w:pBdr>
          <w:left w:val="single" w:sz="16" w:space="10" w:color="2F7DBA"/>
        </w:pBdr>
      </w:pPr>
      <w:r>
        <w:rPr>
          <w:rFonts w:ascii="Calibri" w:hAnsi="Calibri" w:eastAsia="Calibri"/>
          <w:b/>
          <w:color w:val="255A7E"/>
          <w:sz w:val="18"/>
        </w:rPr>
        <w:t>WORKING LANGUAGE - NOT FINAL COPY</w:t>
        <w:br/>
      </w:r>
      <w:r>
        <w:rPr>
          <w:rFonts w:ascii="Calibri" w:hAnsi="Calibri" w:eastAsia="Calibri"/>
          <w:i/>
          <w:color w:val="263746"/>
          <w:sz w:val="21"/>
        </w:rPr>
        <w:t>If you want a structured way to explore what remains meaningful without rushing toward a conclusion, Rebuilding Reverence offers reflective prompts for listening to yourself, naming your values, and approaching what comes next with greater intention.</w:t>
      </w:r>
    </w:p>
    <w:p>
      <w:pPr>
        <w:keepLines w:val="0"/>
        <w:spacing w:after="60" w:line="264" w:lineRule="auto"/>
      </w:pPr>
      <w:r>
        <w:rPr>
          <w:rFonts w:ascii="Calibri" w:hAnsi="Calibri" w:eastAsia="Calibri"/>
          <w:b/>
          <w:color w:val="255A7E"/>
          <w:sz w:val="21"/>
        </w:rPr>
        <w:t>Include:</w:t>
      </w:r>
    </w:p>
    <w:p>
      <w:pPr>
        <w:numPr>
          <w:ilvl w:val="0"/>
          <w:numId w:val="10"/>
        </w:numPr>
        <w:spacing w:after="160" w:line="280" w:lineRule="auto"/>
      </w:pPr>
      <w:r>
        <w:rPr>
          <w:rFonts w:ascii="Calibri" w:hAnsi="Calibri" w:eastAsia="Calibri"/>
          <w:b w:val="0"/>
          <w:i w:val="0"/>
          <w:color w:val="263746"/>
          <w:sz w:val="22"/>
        </w:rPr>
        <w:t>Primary CTA label: 'Explore Rebuilding Reverence.'</w:t>
      </w:r>
    </w:p>
    <w:p>
      <w:pPr>
        <w:numPr>
          <w:ilvl w:val="0"/>
          <w:numId w:val="10"/>
        </w:numPr>
        <w:spacing w:after="160" w:line="280" w:lineRule="auto"/>
      </w:pPr>
      <w:r>
        <w:rPr>
          <w:rFonts w:ascii="Calibri" w:hAnsi="Calibri" w:eastAsia="Calibri"/>
          <w:b w:val="0"/>
          <w:i w:val="0"/>
          <w:color w:val="263746"/>
          <w:sz w:val="22"/>
        </w:rPr>
        <w:t>Do not call the workbook treatment, promise healing, or use 'religious trauma workbook' as a product claim unless the visible product content supports that description.</w:t>
      </w:r>
    </w:p>
    <w:p>
      <w:pPr>
        <w:numPr>
          <w:ilvl w:val="0"/>
          <w:numId w:val="10"/>
        </w:numPr>
        <w:spacing w:after="160" w:line="280" w:lineRule="auto"/>
      </w:pPr>
      <w:r>
        <w:rPr>
          <w:rFonts w:ascii="Calibri" w:hAnsi="Calibri" w:eastAsia="Calibri"/>
          <w:b w:val="0"/>
          <w:i w:val="0"/>
          <w:color w:val="263746"/>
          <w:sz w:val="22"/>
        </w:rPr>
        <w:t>Optional secondary CTA: 'Join The In-Between community' for readers who are not ready to buy.</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Primary CTA is confirmed. Please approve or decline the secondary community CTA and revise the bridge language if it overstates what the workbook provides.</w:t>
      </w:r>
    </w:p>
    <w:p>
      <w:pPr>
        <w:pStyle w:val="Heading1"/>
      </w:pPr>
      <w:r>
        <w:t>9. Proposed visible FAQ</w:t>
      </w:r>
    </w:p>
    <w:p>
      <w:pPr>
        <w:keepLines w:val="0"/>
        <w:spacing w:after="120" w:line="264" w:lineRule="auto"/>
      </w:pPr>
      <w:r>
        <w:rPr>
          <w:rFonts w:ascii="Calibri" w:hAnsi="Calibri" w:eastAsia="Calibri"/>
          <w:color w:val="263746"/>
          <w:sz w:val="22"/>
        </w:rPr>
        <w:t>The FAQ should answer real reader questions in visible text. We recommend five to seven concise answers. Only approved, visible Q&amp;A will be eligible for matching FAQPage structured data.</w:t>
      </w:r>
    </w:p>
    <w:p>
      <w:pPr>
        <w:numPr>
          <w:ilvl w:val="0"/>
          <w:numId w:val="10"/>
        </w:numPr>
        <w:spacing w:after="160" w:line="280" w:lineRule="auto"/>
      </w:pPr>
      <w:r>
        <w:rPr>
          <w:rFonts w:ascii="Calibri" w:hAnsi="Calibri" w:eastAsia="Calibri"/>
          <w:b/>
          <w:i w:val="0"/>
          <w:color w:val="263746"/>
          <w:sz w:val="22"/>
        </w:rPr>
        <w:t>What is faith deconstruction?</w:t>
      </w:r>
    </w:p>
    <w:p>
      <w:pPr>
        <w:numPr>
          <w:ilvl w:val="0"/>
          <w:numId w:val="10"/>
        </w:numPr>
        <w:spacing w:after="160" w:line="280" w:lineRule="auto"/>
      </w:pPr>
      <w:r>
        <w:rPr>
          <w:rFonts w:ascii="Calibri" w:hAnsi="Calibri" w:eastAsia="Calibri"/>
          <w:b/>
          <w:i w:val="0"/>
          <w:color w:val="263746"/>
          <w:sz w:val="22"/>
        </w:rPr>
        <w:t>What does deconstructing Christianity mean?</w:t>
      </w:r>
    </w:p>
    <w:p>
      <w:pPr>
        <w:numPr>
          <w:ilvl w:val="0"/>
          <w:numId w:val="10"/>
        </w:numPr>
        <w:spacing w:after="160" w:line="280" w:lineRule="auto"/>
      </w:pPr>
      <w:r>
        <w:rPr>
          <w:rFonts w:ascii="Calibri" w:hAnsi="Calibri" w:eastAsia="Calibri"/>
          <w:b/>
          <w:i w:val="0"/>
          <w:color w:val="263746"/>
          <w:sz w:val="22"/>
        </w:rPr>
        <w:t>Is faith deconstruction the same as leaving Christianity?</w:t>
      </w:r>
    </w:p>
    <w:p>
      <w:pPr>
        <w:numPr>
          <w:ilvl w:val="0"/>
          <w:numId w:val="10"/>
        </w:numPr>
        <w:spacing w:after="160" w:line="280" w:lineRule="auto"/>
      </w:pPr>
      <w:r>
        <w:rPr>
          <w:rFonts w:ascii="Calibri" w:hAnsi="Calibri" w:eastAsia="Calibri"/>
          <w:b/>
          <w:i w:val="0"/>
          <w:color w:val="263746"/>
          <w:sz w:val="22"/>
        </w:rPr>
        <w:t>Can someone deconstruct and still identify as Christian?</w:t>
      </w:r>
    </w:p>
    <w:p>
      <w:pPr>
        <w:numPr>
          <w:ilvl w:val="0"/>
          <w:numId w:val="10"/>
        </w:numPr>
        <w:spacing w:after="160" w:line="280" w:lineRule="auto"/>
      </w:pPr>
      <w:r>
        <w:rPr>
          <w:rFonts w:ascii="Calibri" w:hAnsi="Calibri" w:eastAsia="Calibri"/>
          <w:b/>
          <w:i w:val="0"/>
          <w:color w:val="263746"/>
          <w:sz w:val="22"/>
        </w:rPr>
        <w:t>Can religious harm be part of faith deconstruction?</w:t>
      </w:r>
    </w:p>
    <w:p>
      <w:pPr>
        <w:numPr>
          <w:ilvl w:val="0"/>
          <w:numId w:val="10"/>
        </w:numPr>
        <w:spacing w:after="160" w:line="280" w:lineRule="auto"/>
      </w:pPr>
      <w:r>
        <w:rPr>
          <w:rFonts w:ascii="Calibri" w:hAnsi="Calibri" w:eastAsia="Calibri"/>
          <w:b/>
          <w:i w:val="0"/>
          <w:color w:val="263746"/>
          <w:sz w:val="22"/>
        </w:rPr>
        <w:t>How long does faith deconstruction take?</w:t>
      </w:r>
    </w:p>
    <w:p>
      <w:pPr>
        <w:numPr>
          <w:ilvl w:val="0"/>
          <w:numId w:val="10"/>
        </w:numPr>
        <w:spacing w:after="160" w:line="280" w:lineRule="auto"/>
      </w:pPr>
      <w:r>
        <w:rPr>
          <w:rFonts w:ascii="Calibri" w:hAnsi="Calibri" w:eastAsia="Calibri"/>
          <w:b/>
          <w:i w:val="0"/>
          <w:color w:val="263746"/>
          <w:sz w:val="22"/>
        </w:rPr>
        <w:t>What can come after faith deconstruction?</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Select, remove, or add questions. If Ashley has short preferred answers, include them; otherwise the content team will draft answers for her review.</w:t>
      </w:r>
    </w:p>
    <w:p>
      <w:pPr>
        <w:pStyle w:val="Heading1"/>
      </w:pPr>
      <w:r>
        <w:t>10. What we need from Ashley</w:t>
      </w:r>
    </w:p>
    <w:p>
      <w:pPr>
        <w:keepLines w:val="0"/>
        <w:spacing w:after="120" w:line="264" w:lineRule="auto"/>
      </w:pPr>
      <w:r>
        <w:rPr>
          <w:rFonts w:ascii="Calibri" w:hAnsi="Calibri" w:eastAsia="Calibri"/>
          <w:color w:val="263746"/>
          <w:sz w:val="22"/>
        </w:rPr>
        <w:t>Short answers are enough. These inputs are more important than a polished manuscript because they protect Ashley's voice and give the first draft something genuinely original to say.</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1300"/>
        <w:gridCol w:w="2600"/>
        <w:gridCol w:w="5460"/>
      </w:tblGrid>
      <w:tr>
        <w:trPr>
          <w:cantSplit/>
          <w:tblHeader w:val="true"/>
          <w:cantSplit/>
        </w:trPr>
        <w:tc>
          <w:tcPr>
            <w:tcW w:type="dxa" w:w="13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Priority</w:t>
            </w:r>
          </w:p>
        </w:tc>
        <w:tc>
          <w:tcPr>
            <w:tcW w:type="dxa" w:w="26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Input</w:t>
            </w:r>
          </w:p>
        </w:tc>
        <w:tc>
          <w:tcPr>
            <w:tcW w:type="dxa" w:w="546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What to provide</w:t>
            </w:r>
          </w:p>
        </w:tc>
      </w:tr>
      <w:tr>
        <w:trPr>
          <w:cantSplit/>
          <w:cantSplit/>
        </w:trPr>
        <w:tc>
          <w:tcPr>
            <w:tcW w:type="dxa" w:w="1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Critical</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The In-Between definition</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One or two canonical sentences; capitalization; whether it is a lens, community, method, or combination</w:t>
            </w:r>
          </w:p>
        </w:tc>
      </w:tr>
      <w:tr>
        <w:trPr>
          <w:cantSplit/>
          <w:cantSplit/>
        </w:trPr>
        <w:tc>
          <w:tcPr>
            <w:tcW w:type="dxa" w:w="1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Critical</w:t>
            </w:r>
          </w:p>
        </w:tc>
        <w:tc>
          <w:tcPr>
            <w:tcW w:type="dxa" w:w="26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Editorial boundaries</w:t>
            </w:r>
          </w:p>
        </w:tc>
        <w:tc>
          <w:tcPr>
            <w:tcW w:type="dxa" w:w="54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Terms, claims, theological frames, labels, or generalizations to avoid</w:t>
            </w:r>
          </w:p>
        </w:tc>
      </w:tr>
      <w:tr>
        <w:trPr>
          <w:cantSplit/>
          <w:cantSplit/>
        </w:trPr>
        <w:tc>
          <w:tcPr>
            <w:tcW w:type="dxa" w:w="1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High</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First-hand perspective</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Two or three short moments, observations, phrases, or recurring audience questions</w:t>
            </w:r>
          </w:p>
        </w:tc>
      </w:tr>
      <w:tr>
        <w:trPr>
          <w:cantSplit/>
          <w:cantSplit/>
        </w:trPr>
        <w:tc>
          <w:tcPr>
            <w:tcW w:type="dxa" w:w="1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High</w:t>
            </w:r>
          </w:p>
        </w:tc>
        <w:tc>
          <w:tcPr>
            <w:tcW w:type="dxa" w:w="26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Workbook accuracy</w:t>
            </w:r>
          </w:p>
        </w:tc>
        <w:tc>
          <w:tcPr>
            <w:tcW w:type="dxa" w:w="54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Confirm what Rebuilding Reverence does and does not help readers do</w:t>
            </w:r>
          </w:p>
        </w:tc>
      </w:tr>
      <w:tr>
        <w:trPr>
          <w:cantSplit/>
          <w:cantSplit/>
        </w:trPr>
        <w:tc>
          <w:tcPr>
            <w:tcW w:type="dxa" w:w="1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High</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CTA decision</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Approve or decline the secondary CTA to The In-Between community</w:t>
            </w:r>
          </w:p>
        </w:tc>
      </w:tr>
      <w:tr>
        <w:trPr>
          <w:cantSplit/>
          <w:cantSplit/>
        </w:trPr>
        <w:tc>
          <w:tcPr>
            <w:tcW w:type="dxa" w:w="1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Medium</w:t>
            </w:r>
          </w:p>
        </w:tc>
        <w:tc>
          <w:tcPr>
            <w:tcW w:type="dxa" w:w="26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FAQ priorities</w:t>
            </w:r>
          </w:p>
        </w:tc>
        <w:tc>
          <w:tcPr>
            <w:tcW w:type="dxa" w:w="54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Choose five to seven questions and add any required answer language</w:t>
            </w:r>
          </w:p>
        </w:tc>
      </w:tr>
      <w:tr>
        <w:trPr>
          <w:cantSplit/>
          <w:cantSplit/>
        </w:trPr>
        <w:tc>
          <w:tcPr>
            <w:tcW w:type="dxa" w:w="1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Medium</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Author details</w:t>
            </w:r>
          </w:p>
        </w:tc>
        <w:tc>
          <w:tcPr>
            <w:tcW w:type="dxa" w:w="54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Confirm preferred author URL/bio and a representative page image if a new one is desired</w:t>
            </w:r>
          </w:p>
        </w:tc>
      </w:tr>
    </w:tbl>
    <w:p>
      <w:pPr>
        <w:spacing w:after="40"/>
      </w:pPr>
    </w:p>
    <w:p>
      <w:pPr>
        <w:pStyle w:val="Heading1"/>
      </w:pPr>
      <w:r>
        <w:t>11. Content ownership</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3120"/>
        <w:gridCol w:w="3120"/>
        <w:gridCol w:w="3120"/>
      </w:tblGrid>
      <w:tr>
        <w:trPr>
          <w:cantSplit/>
          <w:tblHeader w:val="true"/>
          <w:cantSplit/>
        </w:trPr>
        <w:tc>
          <w:tcPr>
            <w:tcW w:type="dxa" w:w="312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Ashley owns</w:t>
            </w:r>
          </w:p>
        </w:tc>
        <w:tc>
          <w:tcPr>
            <w:tcW w:type="dxa" w:w="312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Content/SEO team owns</w:t>
            </w:r>
          </w:p>
        </w:tc>
        <w:tc>
          <w:tcPr>
            <w:tcW w:type="dxa" w:w="312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Development owns</w:t>
            </w:r>
          </w:p>
        </w:tc>
      </w:tr>
      <w:tr>
        <w:trPr>
          <w:cantSplit/>
          <w:cantSplit/>
        </w:trPr>
        <w:tc>
          <w:tcPr>
            <w:tcW w:type="dxa" w:w="312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Voice, lived perspective, The In-Between definition, sensitive-language boundaries, product truth, final editorial approval</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Complete English draft, keyword integration, answer-first structure, transitions, FAQ drafts, internal-link recommendations</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Page implementation, metadata, structured data, canonical, breadcrumbs, sitemap, analytics, accessibility, and QA</w:t>
            </w:r>
          </w:p>
        </w:tc>
      </w:tr>
    </w:tbl>
    <w:p>
      <w:pPr>
        <w:spacing w:after="40"/>
      </w:pPr>
    </w:p>
    <w:p>
      <w:pPr>
        <w:spacing w:before="100" w:after="180" w:line="269" w:lineRule="auto"/>
        <w:ind w:left="173" w:right="115"/>
        <w:shd w:fill="EAF2F8"/>
        <w:pBdr>
          <w:left w:val="single" w:sz="16" w:space="10" w:color="2F7DBA"/>
        </w:pBdr>
      </w:pPr>
      <w:r>
        <w:rPr>
          <w:rFonts w:ascii="Calibri" w:hAnsi="Calibri" w:eastAsia="Calibri"/>
          <w:b/>
          <w:color w:val="255A7E"/>
          <w:sz w:val="21"/>
        </w:rPr>
        <w:t xml:space="preserve">Plain-English division of work: </w:t>
      </w:r>
      <w:r>
        <w:rPr>
          <w:rFonts w:ascii="Calibri" w:hAnsi="Calibri" w:eastAsia="Calibri"/>
          <w:color w:val="263746"/>
          <w:sz w:val="21"/>
        </w:rPr>
        <w:t>Ashley does not need to write code or solve the SEO architecture. She supplies the truth, tone, and original perspective; we turn it into the draft and the website implementation.</w:t>
      </w:r>
    </w:p>
    <w:p>
      <w:pPr>
        <w:pStyle w:val="Heading1"/>
      </w:pPr>
      <w:r>
        <w:t>12. Page-specific technical implementation we will handle</w:t>
      </w:r>
    </w:p>
    <w:p>
      <w:pPr>
        <w:numPr>
          <w:ilvl w:val="0"/>
          <w:numId w:val="10"/>
        </w:numPr>
        <w:spacing w:after="160" w:line="280" w:lineRule="auto"/>
      </w:pPr>
      <w:r>
        <w:rPr>
          <w:rFonts w:ascii="Calibri" w:hAnsi="Calibri" w:eastAsia="Calibri"/>
          <w:b/>
          <w:i w:val="0"/>
          <w:color w:val="263746"/>
          <w:sz w:val="22"/>
        </w:rPr>
        <w:t xml:space="preserve">Route and metadata. </w:t>
      </w:r>
      <w:r>
        <w:rPr>
          <w:rFonts w:ascii="Calibri" w:hAnsi="Calibri" w:eastAsia="Calibri"/>
          <w:b w:val="0"/>
          <w:i w:val="0"/>
          <w:color w:val="263746"/>
          <w:sz w:val="22"/>
        </w:rPr>
        <w:t>Build the English route, unique title and description, self-canonical URL, indexable robots settings, and sitemap entry.</w:t>
      </w:r>
    </w:p>
    <w:p>
      <w:pPr>
        <w:numPr>
          <w:ilvl w:val="0"/>
          <w:numId w:val="10"/>
        </w:numPr>
        <w:spacing w:after="160" w:line="280" w:lineRule="auto"/>
      </w:pPr>
      <w:r>
        <w:rPr>
          <w:rFonts w:ascii="Calibri" w:hAnsi="Calibri" w:eastAsia="Calibri"/>
          <w:b/>
          <w:i w:val="0"/>
          <w:color w:val="263746"/>
          <w:sz w:val="22"/>
        </w:rPr>
        <w:t xml:space="preserve">Visible breadcrumbs. </w:t>
      </w:r>
      <w:r>
        <w:rPr>
          <w:rFonts w:ascii="Calibri" w:hAnsi="Calibri" w:eastAsia="Calibri"/>
          <w:b w:val="0"/>
          <w:i w:val="0"/>
          <w:color w:val="263746"/>
          <w:sz w:val="22"/>
        </w:rPr>
        <w:t>Show a readable breadcrumb trail and add matching BreadcrumbList structured data.</w:t>
      </w:r>
    </w:p>
    <w:p>
      <w:pPr>
        <w:numPr>
          <w:ilvl w:val="0"/>
          <w:numId w:val="10"/>
        </w:numPr>
        <w:spacing w:after="160" w:line="280" w:lineRule="auto"/>
      </w:pPr>
      <w:r>
        <w:rPr>
          <w:rFonts w:ascii="Calibri" w:hAnsi="Calibri" w:eastAsia="Calibri"/>
          <w:b/>
          <w:i w:val="0"/>
          <w:color w:val="263746"/>
          <w:sz w:val="22"/>
        </w:rPr>
        <w:t xml:space="preserve">Article authorship. </w:t>
      </w:r>
      <w:r>
        <w:rPr>
          <w:rFonts w:ascii="Calibri" w:hAnsi="Calibri" w:eastAsia="Calibri"/>
          <w:b w:val="0"/>
          <w:i w:val="0"/>
          <w:color w:val="263746"/>
          <w:sz w:val="22"/>
        </w:rPr>
        <w:t>Add Article structured data with Ashley Leon as a Person author, plus headline, image, publication/modified dates, publisher, and mainEntityOfPage where applicable.</w:t>
      </w:r>
    </w:p>
    <w:p>
      <w:pPr>
        <w:numPr>
          <w:ilvl w:val="0"/>
          <w:numId w:val="10"/>
        </w:numPr>
        <w:spacing w:after="160" w:line="280" w:lineRule="auto"/>
      </w:pPr>
      <w:r>
        <w:rPr>
          <w:rFonts w:ascii="Calibri" w:hAnsi="Calibri" w:eastAsia="Calibri"/>
          <w:b/>
          <w:i w:val="0"/>
          <w:color w:val="263746"/>
          <w:sz w:val="22"/>
        </w:rPr>
        <w:t xml:space="preserve">FAQ markup. </w:t>
      </w:r>
      <w:r>
        <w:rPr>
          <w:rFonts w:ascii="Calibri" w:hAnsi="Calibri" w:eastAsia="Calibri"/>
          <w:b w:val="0"/>
          <w:i w:val="0"/>
          <w:color w:val="263746"/>
          <w:sz w:val="22"/>
        </w:rPr>
        <w:t>Add FAQPage JSON-LD only if the final page contains approved visible Q&amp;A; the markup will match the page exactly.</w:t>
      </w:r>
    </w:p>
    <w:p>
      <w:pPr>
        <w:numPr>
          <w:ilvl w:val="0"/>
          <w:numId w:val="10"/>
        </w:numPr>
        <w:spacing w:after="160" w:line="280" w:lineRule="auto"/>
      </w:pPr>
      <w:r>
        <w:rPr>
          <w:rFonts w:ascii="Calibri" w:hAnsi="Calibri" w:eastAsia="Calibri"/>
          <w:b/>
          <w:i w:val="0"/>
          <w:color w:val="263746"/>
          <w:sz w:val="22"/>
        </w:rPr>
        <w:t xml:space="preserve">Internal links. </w:t>
      </w:r>
      <w:r>
        <w:rPr>
          <w:rFonts w:ascii="Calibri" w:hAnsi="Calibri" w:eastAsia="Calibri"/>
          <w:b w:val="0"/>
          <w:i w:val="0"/>
          <w:color w:val="263746"/>
          <w:sz w:val="22"/>
        </w:rPr>
        <w:t>Link relevant essays to the pillar; link the pillar to Rebuilding Reverence and, if approved, The In-Between community; link the workbook back to the guide.</w:t>
      </w:r>
    </w:p>
    <w:p>
      <w:pPr>
        <w:numPr>
          <w:ilvl w:val="0"/>
          <w:numId w:val="10"/>
        </w:numPr>
        <w:spacing w:after="160" w:line="280" w:lineRule="auto"/>
      </w:pPr>
      <w:r>
        <w:rPr>
          <w:rFonts w:ascii="Calibri" w:hAnsi="Calibri" w:eastAsia="Calibri"/>
          <w:b/>
          <w:i w:val="0"/>
          <w:color w:val="263746"/>
          <w:sz w:val="22"/>
        </w:rPr>
        <w:t xml:space="preserve">Language handling. </w:t>
      </w:r>
      <w:r>
        <w:rPr>
          <w:rFonts w:ascii="Calibri" w:hAnsi="Calibri" w:eastAsia="Calibri"/>
          <w:b w:val="0"/>
          <w:i w:val="0"/>
          <w:color w:val="263746"/>
          <w:sz w:val="22"/>
        </w:rPr>
        <w:t>Launch English only. Do not create a placeholder Spanish page or Spanish hreflang until equivalent editorial content is approved.</w:t>
      </w:r>
    </w:p>
    <w:p>
      <w:pPr>
        <w:numPr>
          <w:ilvl w:val="0"/>
          <w:numId w:val="10"/>
        </w:numPr>
        <w:spacing w:after="160" w:line="280" w:lineRule="auto"/>
      </w:pPr>
      <w:r>
        <w:rPr>
          <w:rFonts w:ascii="Calibri" w:hAnsi="Calibri" w:eastAsia="Calibri"/>
          <w:b/>
          <w:i w:val="0"/>
          <w:color w:val="263746"/>
          <w:sz w:val="22"/>
        </w:rPr>
        <w:t xml:space="preserve">Quality assurance. </w:t>
      </w:r>
      <w:r>
        <w:rPr>
          <w:rFonts w:ascii="Calibri" w:hAnsi="Calibri" w:eastAsia="Calibri"/>
          <w:b w:val="0"/>
          <w:i w:val="0"/>
          <w:color w:val="263746"/>
          <w:sz w:val="22"/>
        </w:rPr>
        <w:t>Validate metadata, canonical, structured data, mobile layout, accessibility, crawlability, and analytics before release.</w:t>
      </w:r>
    </w:p>
    <w:p>
      <w:pPr>
        <w:spacing w:before="100" w:after="180" w:line="269" w:lineRule="auto"/>
        <w:ind w:left="173" w:right="115"/>
        <w:shd w:fill="FFF7E3"/>
        <w:pBdr>
          <w:left w:val="single" w:sz="16" w:space="10" w:color="9A6A08"/>
        </w:pBdr>
      </w:pPr>
      <w:r>
        <w:rPr>
          <w:rFonts w:ascii="Calibri" w:hAnsi="Calibri" w:eastAsia="Calibri"/>
          <w:b/>
          <w:color w:val="9A6A08"/>
          <w:sz w:val="21"/>
        </w:rPr>
        <w:t xml:space="preserve">Technical reality: </w:t>
      </w:r>
      <w:r>
        <w:rPr>
          <w:rFonts w:ascii="Calibri" w:hAnsi="Calibri" w:eastAsia="Calibri"/>
          <w:color w:val="263746"/>
          <w:sz w:val="21"/>
        </w:rPr>
        <w:t>Google states that AI Overviews and AI Mode do not require special schema or separate AI files. The page must first be useful, indexable, internally discoverable, and consistent between visible text and structured data.</w:t>
      </w:r>
    </w:p>
    <w:p>
      <w:pPr>
        <w:pStyle w:val="Heading1"/>
      </w:pPr>
      <w:r>
        <w:t>13. Measurement plan</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1700"/>
        <w:gridCol w:w="5360"/>
        <w:gridCol w:w="2300"/>
      </w:tblGrid>
      <w:tr>
        <w:trPr>
          <w:cantSplit/>
          <w:tblHeader w:val="true"/>
          <w:cantSplit/>
        </w:trPr>
        <w:tc>
          <w:tcPr>
            <w:tcW w:type="dxa" w:w="17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When</w:t>
            </w:r>
          </w:p>
        </w:tc>
        <w:tc>
          <w:tcPr>
            <w:tcW w:type="dxa" w:w="536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What we check</w:t>
            </w:r>
          </w:p>
        </w:tc>
        <w:tc>
          <w:tcPr>
            <w:tcW w:type="dxa" w:w="23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Primary source</w:t>
            </w:r>
          </w:p>
        </w:tc>
      </w:tr>
      <w:tr>
        <w:trPr>
          <w:cantSplit/>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Before launch</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Baseline for existing organic traffic and Rebuilding Reverence CTA activity</w:t>
            </w:r>
          </w:p>
        </w:tc>
        <w:tc>
          <w:tcPr>
            <w:tcW w:type="dxa" w:w="2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GA4 + Search Console</w:t>
            </w:r>
          </w:p>
        </w:tc>
      </w:tr>
      <w:tr>
        <w:trPr>
          <w:cantSplit/>
          <w:cantSplit/>
        </w:trPr>
        <w:tc>
          <w:tcPr>
            <w:tcW w:type="dxa" w:w="17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First 14 days</w:t>
            </w:r>
          </w:p>
        </w:tc>
        <w:tc>
          <w:tcPr>
            <w:tcW w:type="dxa" w:w="53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Crawl, index status, canonical, structured-data validity, and event collection</w:t>
            </w:r>
          </w:p>
        </w:tc>
        <w:tc>
          <w:tcPr>
            <w:tcW w:type="dxa" w:w="2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Search Console + QA</w:t>
            </w:r>
          </w:p>
        </w:tc>
      </w:tr>
      <w:tr>
        <w:trPr>
          <w:cantSplit/>
          <w:cantSplit/>
        </w:trP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Days 30 / 60 / 90</w:t>
            </w:r>
          </w:p>
        </w:tc>
        <w:tc>
          <w:tcPr>
            <w:tcW w:type="dxa" w:w="53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Impressions, queries, clicks, CTR, position, engagement, and CTA click-through rate</w:t>
            </w:r>
          </w:p>
        </w:tc>
        <w:tc>
          <w:tcPr>
            <w:tcW w:type="dxa" w:w="23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Search Console + GA4</w:t>
            </w:r>
          </w:p>
        </w:tc>
      </w:tr>
      <w:tr>
        <w:trPr>
          <w:cantSplit/>
          <w:cantSplit/>
        </w:trPr>
        <w:tc>
          <w:tcPr>
            <w:tcW w:type="dxa" w:w="17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After 90 days</w:t>
            </w:r>
          </w:p>
        </w:tc>
        <w:tc>
          <w:tcPr>
            <w:tcW w:type="dxa" w:w="53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Content updates based on real queries, weak sections, links, and reader behavior</w:t>
            </w:r>
          </w:p>
        </w:tc>
        <w:tc>
          <w:tcPr>
            <w:tcW w:type="dxa" w:w="23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Combined review</w:t>
            </w:r>
          </w:p>
        </w:tc>
      </w:tr>
    </w:tbl>
    <w:p>
      <w:pPr>
        <w:spacing w:after="40"/>
      </w:pPr>
    </w:p>
    <w:p>
      <w:pPr>
        <w:pStyle w:val="Heading2"/>
      </w:pPr>
      <w:r>
        <w:t>Events to track</w:t>
      </w:r>
    </w:p>
    <w:p>
      <w:pPr>
        <w:numPr>
          <w:ilvl w:val="0"/>
          <w:numId w:val="10"/>
        </w:numPr>
        <w:spacing w:after="140"/>
      </w:pPr>
      <w:r>
        <w:rPr>
          <w:rFonts w:ascii="Courier New" w:hAnsi="Courier New" w:eastAsia="Courier New"/>
          <w:b/>
          <w:color w:val="255A7E"/>
          <w:sz w:val="21"/>
        </w:rPr>
        <w:t>pillar_workbook_cta_view</w:t>
      </w:r>
      <w:r>
        <w:rPr>
          <w:rFonts w:ascii="Calibri" w:hAnsi="Calibri" w:eastAsia="Calibri"/>
          <w:color w:val="263746"/>
          <w:sz w:val="21"/>
        </w:rPr>
        <w:t xml:space="preserve"> - The Rebuilding Reverence CTA became visible.</w:t>
      </w:r>
    </w:p>
    <w:p>
      <w:pPr>
        <w:numPr>
          <w:ilvl w:val="0"/>
          <w:numId w:val="10"/>
        </w:numPr>
        <w:spacing w:after="140"/>
      </w:pPr>
      <w:r>
        <w:rPr>
          <w:rFonts w:ascii="Courier New" w:hAnsi="Courier New" w:eastAsia="Courier New"/>
          <w:b/>
          <w:color w:val="255A7E"/>
          <w:sz w:val="21"/>
        </w:rPr>
        <w:t>pillar_workbook_cta_click</w:t>
      </w:r>
      <w:r>
        <w:rPr>
          <w:rFonts w:ascii="Calibri" w:hAnsi="Calibri" w:eastAsia="Calibri"/>
          <w:color w:val="263746"/>
          <w:sz w:val="21"/>
        </w:rPr>
        <w:t xml:space="preserve"> - A reader clicked through to Rebuilding Reverence.</w:t>
      </w:r>
    </w:p>
    <w:p>
      <w:pPr>
        <w:numPr>
          <w:ilvl w:val="0"/>
          <w:numId w:val="10"/>
        </w:numPr>
        <w:spacing w:after="140"/>
      </w:pPr>
      <w:r>
        <w:rPr>
          <w:rFonts w:ascii="Courier New" w:hAnsi="Courier New" w:eastAsia="Courier New"/>
          <w:b/>
          <w:color w:val="255A7E"/>
          <w:sz w:val="21"/>
        </w:rPr>
        <w:t>pillar_community_cta_view</w:t>
      </w:r>
      <w:r>
        <w:rPr>
          <w:rFonts w:ascii="Calibri" w:hAnsi="Calibri" w:eastAsia="Calibri"/>
          <w:color w:val="263746"/>
          <w:sz w:val="21"/>
        </w:rPr>
        <w:t xml:space="preserve"> - The optional community CTA became visible, if approved.</w:t>
      </w:r>
    </w:p>
    <w:p>
      <w:pPr>
        <w:numPr>
          <w:ilvl w:val="0"/>
          <w:numId w:val="10"/>
        </w:numPr>
        <w:spacing w:after="140"/>
      </w:pPr>
      <w:r>
        <w:rPr>
          <w:rFonts w:ascii="Courier New" w:hAnsi="Courier New" w:eastAsia="Courier New"/>
          <w:b/>
          <w:color w:val="255A7E"/>
          <w:sz w:val="21"/>
        </w:rPr>
        <w:t>pillar_community_cta_click</w:t>
      </w:r>
      <w:r>
        <w:rPr>
          <w:rFonts w:ascii="Calibri" w:hAnsi="Calibri" w:eastAsia="Calibri"/>
          <w:color w:val="263746"/>
          <w:sz w:val="21"/>
        </w:rPr>
        <w:t xml:space="preserve"> - A reader clicked through to The In-Between community, if approved.</w:t>
      </w:r>
    </w:p>
    <w:p>
      <w:pPr>
        <w:spacing w:before="100" w:after="180" w:line="269" w:lineRule="auto"/>
        <w:ind w:left="173" w:right="115"/>
        <w:shd w:fill="EAF2F8"/>
        <w:pBdr>
          <w:left w:val="single" w:sz="16" w:space="10" w:color="2F7DBA"/>
        </w:pBdr>
      </w:pPr>
      <w:r>
        <w:rPr>
          <w:rFonts w:ascii="Calibri" w:hAnsi="Calibri" w:eastAsia="Calibri"/>
          <w:b/>
          <w:color w:val="255A7E"/>
          <w:sz w:val="21"/>
        </w:rPr>
        <w:t xml:space="preserve">Success definition: </w:t>
      </w:r>
      <w:r>
        <w:rPr>
          <w:rFonts w:ascii="Calibri" w:hAnsi="Calibri" w:eastAsia="Calibri"/>
          <w:color w:val="263746"/>
          <w:sz w:val="21"/>
        </w:rPr>
        <w:t>The first 90 days are a learning window, not a ranking guarantee. Success means the page is indexed, earns relevant impressions, reveals useful queries, engages readers, and creates an ethical path to the workbook or community.</w:t>
      </w:r>
    </w:p>
    <w:p>
      <w:pPr>
        <w:pStyle w:val="Heading1"/>
      </w:pPr>
      <w:r>
        <w:t>14. Workflow after Ashley responds</w:t>
      </w:r>
    </w:p>
    <w:p>
      <w:pPr>
        <w:numPr>
          <w:ilvl w:val="0"/>
          <w:numId w:val="13"/>
        </w:numPr>
        <w:spacing w:after="160" w:line="280" w:lineRule="auto"/>
      </w:pPr>
      <w:r>
        <w:rPr>
          <w:rFonts w:ascii="Calibri" w:hAnsi="Calibri" w:eastAsia="Calibri"/>
          <w:b/>
          <w:i w:val="0"/>
          <w:color w:val="263746"/>
          <w:sz w:val="22"/>
        </w:rPr>
        <w:t>Ashley returns this brief</w:t>
      </w:r>
      <w:r>
        <w:rPr>
          <w:rFonts w:ascii="Calibri" w:hAnsi="Calibri" w:eastAsia="Calibri"/>
          <w:b w:val="0"/>
          <w:i w:val="0"/>
          <w:color w:val="263746"/>
          <w:sz w:val="22"/>
        </w:rPr>
        <w:t xml:space="preserve"> with approvals, revisions, and short source inputs.</w:t>
      </w:r>
    </w:p>
    <w:p>
      <w:pPr>
        <w:numPr>
          <w:ilvl w:val="0"/>
          <w:numId w:val="13"/>
        </w:numPr>
        <w:spacing w:after="160" w:line="280" w:lineRule="auto"/>
      </w:pPr>
      <w:r>
        <w:rPr>
          <w:rFonts w:ascii="Calibri" w:hAnsi="Calibri" w:eastAsia="Calibri"/>
          <w:b/>
          <w:i w:val="0"/>
          <w:color w:val="263746"/>
          <w:sz w:val="22"/>
        </w:rPr>
        <w:t>We produce the first complete English draft</w:t>
      </w:r>
      <w:r>
        <w:rPr>
          <w:rFonts w:ascii="Calibri" w:hAnsi="Calibri" w:eastAsia="Calibri"/>
          <w:b w:val="0"/>
          <w:i w:val="0"/>
          <w:color w:val="263746"/>
          <w:sz w:val="22"/>
        </w:rPr>
        <w:t xml:space="preserve"> using the approved framework and keyword map.</w:t>
      </w:r>
    </w:p>
    <w:p>
      <w:pPr>
        <w:numPr>
          <w:ilvl w:val="0"/>
          <w:numId w:val="13"/>
        </w:numPr>
        <w:spacing w:after="160" w:line="280" w:lineRule="auto"/>
      </w:pPr>
      <w:r>
        <w:rPr>
          <w:rFonts w:ascii="Calibri" w:hAnsi="Calibri" w:eastAsia="Calibri"/>
          <w:b/>
          <w:i w:val="0"/>
          <w:color w:val="263746"/>
          <w:sz w:val="22"/>
        </w:rPr>
        <w:t>Ashley reviews the actual page copy</w:t>
      </w:r>
      <w:r>
        <w:rPr>
          <w:rFonts w:ascii="Calibri" w:hAnsi="Calibri" w:eastAsia="Calibri"/>
          <w:b w:val="0"/>
          <w:i w:val="0"/>
          <w:color w:val="263746"/>
          <w:sz w:val="22"/>
        </w:rPr>
        <w:t xml:space="preserve"> for voice, accuracy, nuance, and product truth.</w:t>
      </w:r>
    </w:p>
    <w:p>
      <w:pPr>
        <w:numPr>
          <w:ilvl w:val="0"/>
          <w:numId w:val="13"/>
        </w:numPr>
        <w:spacing w:after="160" w:line="280" w:lineRule="auto"/>
      </w:pPr>
      <w:r>
        <w:rPr>
          <w:rFonts w:ascii="Calibri" w:hAnsi="Calibri" w:eastAsia="Calibri"/>
          <w:b/>
          <w:i w:val="0"/>
          <w:color w:val="263746"/>
          <w:sz w:val="22"/>
        </w:rPr>
        <w:t>We implement and validate</w:t>
      </w:r>
      <w:r>
        <w:rPr>
          <w:rFonts w:ascii="Calibri" w:hAnsi="Calibri" w:eastAsia="Calibri"/>
          <w:b w:val="0"/>
          <w:i w:val="0"/>
          <w:color w:val="263746"/>
          <w:sz w:val="22"/>
        </w:rPr>
        <w:t xml:space="preserve"> the page, schema, links, sitemap, accessibility, and events.</w:t>
      </w:r>
    </w:p>
    <w:p>
      <w:pPr>
        <w:numPr>
          <w:ilvl w:val="0"/>
          <w:numId w:val="13"/>
        </w:numPr>
        <w:spacing w:after="160" w:line="280" w:lineRule="auto"/>
      </w:pPr>
      <w:r>
        <w:rPr>
          <w:rFonts w:ascii="Calibri" w:hAnsi="Calibri" w:eastAsia="Calibri"/>
          <w:b/>
          <w:i w:val="0"/>
          <w:color w:val="263746"/>
          <w:sz w:val="22"/>
        </w:rPr>
        <w:t>We publish and measure</w:t>
      </w:r>
      <w:r>
        <w:rPr>
          <w:rFonts w:ascii="Calibri" w:hAnsi="Calibri" w:eastAsia="Calibri"/>
          <w:b w:val="0"/>
          <w:i w:val="0"/>
          <w:color w:val="263746"/>
          <w:sz w:val="22"/>
        </w:rPr>
        <w:t xml:space="preserve"> indexing first, then 30/60/90-day performance.</w:t>
      </w:r>
    </w:p>
    <w:p>
      <w:pPr>
        <w:pStyle w:val="Heading1"/>
      </w:pPr>
      <w:r>
        <w:t>15. Ashley response checklist</w:t>
      </w:r>
    </w:p>
    <w:p>
      <w:pPr>
        <w:keepLines w:val="0"/>
        <w:spacing w:after="100" w:line="264" w:lineRule="auto"/>
      </w:pPr>
      <w:r>
        <w:rPr>
          <w:rFonts w:ascii="Calibri" w:hAnsi="Calibri" w:eastAsia="Calibri"/>
          <w:color w:val="263746"/>
          <w:sz w:val="21"/>
        </w:rPr>
        <w:t>[ ] I approve or revised the opening definition.</w:t>
      </w:r>
    </w:p>
    <w:p>
      <w:pPr>
        <w:keepLines w:val="0"/>
        <w:spacing w:after="100" w:line="264" w:lineRule="auto"/>
      </w:pPr>
      <w:r>
        <w:rPr>
          <w:rFonts w:ascii="Calibri" w:hAnsi="Calibri" w:eastAsia="Calibri"/>
          <w:color w:val="263746"/>
          <w:sz w:val="21"/>
        </w:rPr>
        <w:t>[ ] I supplied the canonical definition of The In-Between.</w:t>
      </w:r>
    </w:p>
    <w:p>
      <w:pPr>
        <w:keepLines w:val="0"/>
        <w:spacing w:after="100" w:line="264" w:lineRule="auto"/>
      </w:pPr>
      <w:r>
        <w:rPr>
          <w:rFonts w:ascii="Calibri" w:hAnsi="Calibri" w:eastAsia="Calibri"/>
          <w:color w:val="263746"/>
          <w:sz w:val="21"/>
        </w:rPr>
        <w:t>[ ] I identified two or three first-hand examples, phrases, or observations.</w:t>
      </w:r>
    </w:p>
    <w:p>
      <w:pPr>
        <w:keepLines w:val="0"/>
        <w:spacing w:after="100" w:line="264" w:lineRule="auto"/>
      </w:pPr>
      <w:r>
        <w:rPr>
          <w:rFonts w:ascii="Calibri" w:hAnsi="Calibri" w:eastAsia="Calibri"/>
          <w:color w:val="263746"/>
          <w:sz w:val="21"/>
        </w:rPr>
        <w:t>[ ] I confirmed the language and claims I want avoided.</w:t>
      </w:r>
    </w:p>
    <w:p>
      <w:pPr>
        <w:keepLines w:val="0"/>
        <w:spacing w:after="100" w:line="264" w:lineRule="auto"/>
      </w:pPr>
      <w:r>
        <w:rPr>
          <w:rFonts w:ascii="Calibri" w:hAnsi="Calibri" w:eastAsia="Calibri"/>
          <w:color w:val="263746"/>
          <w:sz w:val="21"/>
        </w:rPr>
        <w:t>[ ] I confirmed what Rebuilding Reverence can honestly promise.</w:t>
      </w:r>
    </w:p>
    <w:p>
      <w:pPr>
        <w:keepLines w:val="0"/>
        <w:spacing w:after="100" w:line="264" w:lineRule="auto"/>
      </w:pPr>
      <w:r>
        <w:rPr>
          <w:rFonts w:ascii="Calibri" w:hAnsi="Calibri" w:eastAsia="Calibri"/>
          <w:color w:val="263746"/>
          <w:sz w:val="21"/>
        </w:rPr>
        <w:t>[ ] I approved or declined the secondary community CTA.</w:t>
      </w:r>
    </w:p>
    <w:p>
      <w:pPr>
        <w:keepLines w:val="0"/>
        <w:spacing w:after="100" w:line="264" w:lineRule="auto"/>
      </w:pPr>
      <w:r>
        <w:rPr>
          <w:rFonts w:ascii="Calibri" w:hAnsi="Calibri" w:eastAsia="Calibri"/>
          <w:color w:val="263746"/>
          <w:sz w:val="21"/>
        </w:rPr>
        <w:t>[ ] I selected the FAQ questions I want answered.</w:t>
      </w:r>
    </w:p>
    <w:p>
      <w:pPr>
        <w:spacing w:before="80" w:after="200" w:line="264" w:lineRule="auto"/>
        <w:ind w:left="173" w:right="115"/>
        <w:shd w:fill="FFF7E3"/>
        <w:pBdr>
          <w:left w:val="single" w:sz="16" w:space="10" w:color="9A6A08"/>
        </w:pBdr>
      </w:pPr>
      <w:r>
        <w:rPr>
          <w:rFonts w:ascii="Calibri" w:hAnsi="Calibri" w:eastAsia="Calibri"/>
          <w:b/>
          <w:color w:val="9A6A08"/>
          <w:sz w:val="20"/>
        </w:rPr>
        <w:t xml:space="preserve">ASHLEY INPUT NEEDED: </w:t>
      </w:r>
      <w:r>
        <w:rPr>
          <w:rFonts w:ascii="Calibri" w:hAnsi="Calibri" w:eastAsia="Calibri"/>
          <w:color w:val="263746"/>
          <w:sz w:val="21"/>
        </w:rPr>
        <w:t>Once the critical items above are answered, the content team can write the first complete page draft. Ashley will still have a full editorial review before anything is published.</w:t>
      </w:r>
    </w:p>
    <w:p>
      <w:pPr>
        <w:pStyle w:val="Heading1"/>
      </w:pPr>
      <w:r>
        <w:t>Appendix A. Keyword-to-section map</w:t>
      </w:r>
    </w:p>
    <w:p>
      <w:pPr>
        <w:keepLines w:val="0"/>
        <w:spacing w:after="120" w:line="264" w:lineRule="auto"/>
      </w:pPr>
      <w:r>
        <w:rPr>
          <w:rFonts w:ascii="Calibri" w:hAnsi="Calibri" w:eastAsia="Calibri"/>
          <w:color w:val="263746"/>
          <w:sz w:val="22"/>
        </w:rPr>
        <w:t>This is a coverage map, not a keyword-density checklist. The supporting workbook contains the full 28-keyword dataset and SERP grouping evidence.</w:t>
      </w:r>
    </w:p>
    <w:tbl>
      <w:tblPr>
        <w:tblStyle w:val="TableGrid"/>
        <w:tblW w:type="dxa" w:w="9360"/>
        <w:tblLayout w:type="fixed"/>
        <w:tblLook w:firstColumn="1" w:firstRow="1" w:lastColumn="0" w:lastRow="0" w:noHBand="0" w:noVBand="1" w:val="04A0"/>
        <w:jc w:val="left"/>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2200"/>
        <w:gridCol w:w="3900"/>
        <w:gridCol w:w="3260"/>
      </w:tblGrid>
      <w:tr>
        <w:trPr>
          <w:cantSplit/>
          <w:tblHeader w:val="true"/>
          <w:cantSplit/>
        </w:trPr>
        <w:tc>
          <w:tcPr>
            <w:tcW w:type="dxa" w:w="22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Topic family</w:t>
            </w:r>
          </w:p>
        </w:tc>
        <w:tc>
          <w:tcPr>
            <w:tcW w:type="dxa" w:w="390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Representative queries</w:t>
            </w:r>
          </w:p>
        </w:tc>
        <w:tc>
          <w:tcPr>
            <w:tcW w:type="dxa" w:w="3260"/>
            <w:tcMar>
              <w:top w:w="80" w:type="dxa"/>
              <w:start w:w="120" w:type="dxa"/>
              <w:bottom w:w="80" w:type="dxa"/>
              <w:end w:w="120" w:type="dxa"/>
            </w:tcMar>
            <w:vAlign w:val="center"/>
            <w:shd w:fill="F2F4F7"/>
          </w:tcPr>
          <w:p>
            <w:pPr>
              <w:spacing w:before="0" w:after="0" w:line="240" w:lineRule="auto"/>
            </w:pPr>
            <w:r>
              <w:rPr>
                <w:rFonts w:ascii="Calibri" w:hAnsi="Calibri" w:eastAsia="Calibri"/>
                <w:b/>
                <w:color w:val="255A7E"/>
                <w:sz w:val="18"/>
              </w:rPr>
              <w:t>Recommended use</w:t>
            </w:r>
          </w:p>
        </w:tc>
      </w:tr>
      <w:tr>
        <w:trPr>
          <w:cantSplit/>
          <w:cantSplit/>
        </w:trP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Core Christian deconstruction</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deconstruction christianity; what is Christian deconstruction; deconstruction in Christianity</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H1, opening definition, and terminology section</w:t>
            </w:r>
          </w:p>
        </w:tc>
      </w:tr>
      <w:tr>
        <w:trPr>
          <w:cantSplit/>
          <w:cantSplit/>
        </w:trPr>
        <w:tc>
          <w:tcPr>
            <w:tcW w:type="dxa" w:w="22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Faith meaning</w:t>
            </w:r>
          </w:p>
        </w:tc>
        <w:tc>
          <w:tcPr>
            <w:tcW w:type="dxa" w:w="39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faith deconstruction; what is faith deconstruction; what does it mean to deconstruct your faith</w:t>
            </w:r>
          </w:p>
        </w:tc>
        <w:tc>
          <w:tcPr>
            <w:tcW w:type="dxa" w:w="32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Definition and process sections</w:t>
            </w:r>
          </w:p>
        </w:tc>
      </w:tr>
      <w:tr>
        <w:trPr>
          <w:cantSplit/>
          <w:cantSplit/>
        </w:trP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Religious deconstruction</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religious deconstruction; deconstruction religion; what is religious deconstruction</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Terminology and motivation sections</w:t>
            </w:r>
          </w:p>
        </w:tc>
      </w:tr>
      <w:tr>
        <w:trPr>
          <w:cantSplit/>
          <w:cantSplit/>
        </w:trPr>
        <w:tc>
          <w:tcPr>
            <w:tcW w:type="dxa" w:w="22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Identity and outcomes</w:t>
            </w:r>
          </w:p>
        </w:tc>
        <w:tc>
          <w:tcPr>
            <w:tcW w:type="dxa" w:w="39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what is a deconstructed Christian; what comes after deconstruction</w:t>
            </w:r>
          </w:p>
        </w:tc>
        <w:tc>
          <w:tcPr>
            <w:tcW w:type="dxa" w:w="32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Outcomes and next-step sections</w:t>
            </w:r>
          </w:p>
        </w:tc>
      </w:tr>
      <w:tr>
        <w:trPr>
          <w:cantSplit/>
          <w:cantSplit/>
        </w:trPr>
        <w:tc>
          <w:tcPr>
            <w:tcW w:type="dxa" w:w="22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Boundary phrase</w:t>
            </w:r>
          </w:p>
        </w:tc>
        <w:tc>
          <w:tcPr>
            <w:tcW w:type="dxa" w:w="390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deconstruction of Christianity</w:t>
            </w:r>
          </w:p>
        </w:tc>
        <w:tc>
          <w:tcPr>
            <w:tcW w:type="dxa" w:w="3260"/>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Natural mention; do not let mixed book intent control the page</w:t>
            </w:r>
          </w:p>
        </w:tc>
      </w:tr>
      <w:tr>
        <w:trPr>
          <w:cantSplit/>
          <w:cantSplit/>
        </w:trPr>
        <w:tc>
          <w:tcPr>
            <w:tcW w:type="dxa" w:w="22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Commercial term</w:t>
            </w:r>
          </w:p>
        </w:tc>
        <w:tc>
          <w:tcPr>
            <w:tcW w:type="dxa" w:w="390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religious trauma workbook</w:t>
            </w:r>
          </w:p>
        </w:tc>
        <w:tc>
          <w:tcPr>
            <w:tcW w:type="dxa" w:w="3260"/>
            <w:shd w:fill="FAFBFC"/>
            <w:tcMar>
              <w:top w:w="80" w:type="dxa"/>
              <w:start w:w="120" w:type="dxa"/>
              <w:bottom w:w="80" w:type="dxa"/>
              <w:end w:w="120" w:type="dxa"/>
            </w:tcMar>
            <w:vAlign w:val="center"/>
          </w:tcPr>
          <w:p>
            <w:pPr>
              <w:spacing w:before="0" w:after="0" w:line="252" w:lineRule="auto"/>
            </w:pPr>
            <w:r>
              <w:rPr>
                <w:rFonts w:ascii="Calibri" w:hAnsi="Calibri" w:eastAsia="Calibri"/>
                <w:color w:val="263746"/>
                <w:sz w:val="18"/>
              </w:rPr>
              <w:t>Rebuilding Reverence page, not the pillar's primary target</w:t>
            </w:r>
          </w:p>
        </w:tc>
      </w:tr>
    </w:tbl>
    <w:p>
      <w:pPr>
        <w:spacing w:after="40"/>
      </w:pPr>
    </w:p>
    <w:p>
      <w:pPr>
        <w:pStyle w:val="Heading1"/>
      </w:pPr>
      <w:r>
        <w:t>Appendix B. Sources and supporting files</w:t>
      </w:r>
    </w:p>
    <w:p>
      <w:pPr>
        <w:spacing w:after="80"/>
      </w:pPr>
      <w:r>
        <w:rPr>
          <w:rFonts w:ascii="Calibri" w:hAnsi="Calibri" w:eastAsia="Calibri"/>
          <w:b/>
          <w:color w:val="263746"/>
          <w:sz w:val="21"/>
        </w:rPr>
        <w:t xml:space="preserve">SEO strategy: </w:t>
      </w:r>
      <w:r>
        <w:rPr>
          <w:rFonts w:ascii="Calibri" w:hAnsi="Calibri" w:eastAsia="Calibri"/>
          <w:color w:val="5E6E7D"/>
          <w:sz w:val="21"/>
        </w:rPr>
        <w:t>ashley-leon-seo-strategy-deconstructing-christianity-en.docx</w:t>
      </w:r>
    </w:p>
    <w:p>
      <w:pPr>
        <w:spacing w:after="80"/>
      </w:pPr>
      <w:r>
        <w:rPr>
          <w:rFonts w:ascii="Calibri" w:hAnsi="Calibri" w:eastAsia="Calibri"/>
          <w:b/>
          <w:color w:val="263746"/>
          <w:sz w:val="21"/>
        </w:rPr>
        <w:t xml:space="preserve">Keyword workbook: </w:t>
      </w:r>
      <w:r>
        <w:rPr>
          <w:rFonts w:ascii="Calibri" w:hAnsi="Calibri" w:eastAsia="Calibri"/>
          <w:color w:val="5E6E7D"/>
          <w:sz w:val="21"/>
        </w:rPr>
        <w:t>ashley-leon-keywords-clasificadas-agrupadas.xlsx</w:t>
      </w:r>
    </w:p>
    <w:p>
      <w:pPr>
        <w:spacing w:after="80"/>
      </w:pPr>
      <w:r>
        <w:rPr>
          <w:rFonts w:ascii="Calibri" w:hAnsi="Calibri" w:eastAsia="Calibri"/>
          <w:b/>
          <w:color w:val="263746"/>
          <w:sz w:val="21"/>
        </w:rPr>
        <w:t xml:space="preserve">Research window: </w:t>
      </w:r>
      <w:r>
        <w:rPr>
          <w:rFonts w:ascii="Calibri" w:hAnsi="Calibri" w:eastAsia="Calibri"/>
          <w:color w:val="5E6E7D"/>
          <w:sz w:val="21"/>
        </w:rPr>
        <w:t>Google Keyword Planner: Jul. 2025-Jun. 2026; SERP review: Jul. 12, 2026</w:t>
      </w:r>
    </w:p>
    <w:p>
      <w:pPr>
        <w:numPr>
          <w:ilvl w:val="0"/>
          <w:numId w:val="10"/>
        </w:numPr>
        <w:spacing w:after="140"/>
      </w:pPr>
      <w:hyperlink r:id="rId11">
        <w:r>
          <w:rPr>
            <w:rFonts w:ascii="Calibri" w:hAnsi="Calibri"/>
            <w:color w:val="2F7DBA"/>
            <w:u w:val="single"/>
          </w:rPr>
          <w:t>Google Search Central - AI features and your website</w:t>
        </w:r>
      </w:hyperlink>
    </w:p>
    <w:p>
      <w:pPr>
        <w:numPr>
          <w:ilvl w:val="0"/>
          <w:numId w:val="10"/>
        </w:numPr>
        <w:spacing w:after="140"/>
      </w:pPr>
      <w:hyperlink r:id="rId12">
        <w:r>
          <w:rPr>
            <w:rFonts w:ascii="Calibri" w:hAnsi="Calibri"/>
            <w:color w:val="2F7DBA"/>
            <w:u w:val="single"/>
          </w:rPr>
          <w:t>Google Search Central - Article structured data</w:t>
        </w:r>
      </w:hyperlink>
    </w:p>
    <w:p>
      <w:pPr>
        <w:numPr>
          <w:ilvl w:val="0"/>
          <w:numId w:val="10"/>
        </w:numPr>
        <w:spacing w:after="140"/>
      </w:pPr>
      <w:hyperlink r:id="rId13">
        <w:r>
          <w:rPr>
            <w:rFonts w:ascii="Calibri" w:hAnsi="Calibri"/>
            <w:color w:val="2F7DBA"/>
            <w:u w:val="single"/>
          </w:rPr>
          <w:t>Google Search Central - FAQ rich-result changes</w:t>
        </w:r>
      </w:hyperlink>
    </w:p>
    <w:p>
      <w:pPr>
        <w:numPr>
          <w:ilvl w:val="0"/>
          <w:numId w:val="10"/>
        </w:numPr>
        <w:spacing w:after="140"/>
      </w:pPr>
      <w:hyperlink r:id="rId14">
        <w:r>
          <w:rPr>
            <w:rFonts w:ascii="Calibri" w:hAnsi="Calibri"/>
            <w:color w:val="2F7DBA"/>
            <w:u w:val="single"/>
          </w:rPr>
          <w:t>Google Search Central - Creating helpful, reliable, people-first content</w:t>
        </w:r>
      </w:hyperlink>
    </w:p>
    <w:p>
      <w:pPr>
        <w:spacing w:before="100" w:after="180" w:line="269" w:lineRule="auto"/>
        <w:ind w:left="173" w:right="115"/>
        <w:shd w:fill="EAF2F8"/>
        <w:pBdr>
          <w:left w:val="single" w:sz="16" w:space="10" w:color="2F7DBA"/>
        </w:pBdr>
      </w:pPr>
      <w:r>
        <w:rPr>
          <w:rFonts w:ascii="Calibri" w:hAnsi="Calibri" w:eastAsia="Calibri"/>
          <w:b/>
          <w:color w:val="255A7E"/>
          <w:sz w:val="21"/>
        </w:rPr>
        <w:t xml:space="preserve">Final note: </w:t>
      </w:r>
      <w:r>
        <w:rPr>
          <w:rFonts w:ascii="Calibri" w:hAnsi="Calibri" w:eastAsia="Calibri"/>
          <w:color w:val="263746"/>
          <w:sz w:val="21"/>
        </w:rPr>
        <w:t>This brief defines the content and approval process. It does not replace Ashley's review of the complete English draft before implementation and publication.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E6E7D"/>
        <w:sz w:val="18"/>
      </w:rPr>
      <w:t xml:space="preserve">Page </w:t>
    </w:r>
    <w:r>
      <w:rPr>
        <w:rFonts w:ascii="Calibri" w:hAnsi="Calibri" w:eastAsia="Calibri"/>
        <w:color w:val="5E6E7D"/>
        <w:sz w:val="18"/>
      </w:rPr>
      <w:fldChar w:fldCharType="begin"/>
      <w:instrText xml:space="preserve"> PAGE </w:instrText>
      <w:fldChar w:fldCharType="separate"/>
      <w:t>1</w:t>
      <w:fldChar w:fldCharType="end"/>
    </w:r>
    <w:r>
      <w:rPr>
        <w:rFonts w:ascii="Calibri" w:hAnsi="Calibri" w:eastAsia="Calibri"/>
        <w:color w:val="5E6E7D"/>
        <w:sz w:val="18"/>
      </w:rPr>
      <w:t xml:space="preserve"> of </w:t>
    </w:r>
    <w:r>
      <w:rPr>
        <w:rFonts w:ascii="Calibri" w:hAnsi="Calibri" w:eastAsia="Calibri"/>
        <w:color w:val="5E6E7D"/>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E6E7D"/>
        <w:sz w:val="18"/>
      </w:rPr>
      <w:t>ASHLEY LEON  |  EDITORIAL + GEO CONTENT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abstractNum w:abstractNumId="11">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themeFontLang w:val="en-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6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E6E7D"/>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E6E7D"/>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F7DBA"/>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F7DBA"/>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255A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appearance/ai-features" TargetMode="External"/><Relationship Id="rId12" Type="http://schemas.openxmlformats.org/officeDocument/2006/relationships/hyperlink" Target="https://developers.google.com/search/docs/appearance/structured-data/article" TargetMode="External"/><Relationship Id="rId13" Type="http://schemas.openxmlformats.org/officeDocument/2006/relationships/hyperlink" Target="https://developers.google.com/search/blog/2023/08/howto-faq-changes" TargetMode="External"/><Relationship Id="rId14" Type="http://schemas.openxmlformats.org/officeDocument/2006/relationships/hyperlink" Target="https://developers.google.com/search/docs/fundamentals/creating-helpful-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 GEO Content Brief - Deconstructing Christianity</dc:title>
  <dc:subject>Writing and implementation brief for Ashley Leon</dc:subject>
  <dc:creator>SEO Content Team</dc:creator>
  <cp:keywords>Ashley Leon, deconstructing Christianity, SEO, GEO, editorial brief</cp:keywords>
  <dc:description>generated by python-docx</dc:description>
  <cp:lastModifiedBy/>
  <cp:revision>1</cp:revision>
  <dcterms:created xsi:type="dcterms:W3CDTF">2013-12-23T23:15:00Z</dcterms:created>
  <dcterms:modified xsi:type="dcterms:W3CDTF">2013-12-23T23:15:00Z</dcterms:modified>
  <cp:category/>
</cp:coreProperties>
</file>