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Rule="auto" w:line="240"/>
      </w:pPr>
      <w:r>
        <w:rPr>
          <w:rFonts w:ascii="Calibri" w:hAnsi="Calibri"/>
          <w:b/>
          <w:color w:val="8A6A15"/>
          <w:sz w:val="19"/>
        </w:rPr>
        <w:t>ESTRATEGIA SEO · BRIEF EJECUTIVO</w:t>
      </w:r>
    </w:p>
    <w:p>
      <w:pPr>
        <w:spacing w:before="0" w:after="80" w:lineRule="auto" w:line="240"/>
      </w:pPr>
      <w:r>
        <w:rPr>
          <w:rFonts w:ascii="Calibri" w:hAnsi="Calibri"/>
          <w:b/>
          <w:color w:val="1F4D78"/>
          <w:sz w:val="50"/>
        </w:rPr>
        <w:t>Página pilar: Deconstructing Christianity</w:t>
      </w:r>
    </w:p>
    <w:p>
      <w:pPr>
        <w:spacing w:before="0" w:after="280" w:lineRule="auto" w:line="240"/>
      </w:pPr>
      <w:r>
        <w:rPr>
          <w:rFonts w:ascii="Calibri" w:hAnsi="Calibri"/>
          <w:b/>
          <w:color w:val="2E74B5"/>
          <w:sz w:val="28"/>
        </w:rPr>
        <w:t>/en/deconstructing-christianity</w:t>
      </w:r>
    </w:p>
    <w:p>
      <w:pPr>
        <w:spacing w:before="0" w:after="40" w:lineRule="auto" w:line="240"/>
      </w:pPr>
      <w:r>
        <w:rPr>
          <w:rFonts w:ascii="Calibri" w:hAnsi="Calibri"/>
          <w:b/>
          <w:color w:val="1F2933"/>
          <w:sz w:val="20"/>
        </w:rPr>
        <w:t xml:space="preserve">Preparado para: </w:t>
      </w:r>
      <w:r>
        <w:rPr>
          <w:rFonts w:ascii="Calibri" w:hAnsi="Calibri"/>
          <w:color w:val="5B6573"/>
          <w:sz w:val="20"/>
        </w:rPr>
        <w:t>Ashley Leon</w:t>
      </w:r>
    </w:p>
    <w:p>
      <w:pPr>
        <w:spacing w:before="0" w:after="40" w:lineRule="auto" w:line="240"/>
      </w:pPr>
      <w:r>
        <w:rPr>
          <w:rFonts w:ascii="Calibri" w:hAnsi="Calibri"/>
          <w:b/>
          <w:color w:val="1F2933"/>
          <w:sz w:val="20"/>
        </w:rPr>
        <w:t xml:space="preserve">Objetivo: </w:t>
      </w:r>
      <w:r>
        <w:rPr>
          <w:rFonts w:ascii="Calibri" w:hAnsi="Calibri"/>
          <w:color w:val="5B6573"/>
          <w:sz w:val="20"/>
        </w:rPr>
        <w:t>Aprobar la estrategia editorial y SEO de la nueva página pilar</w:t>
      </w:r>
    </w:p>
    <w:p>
      <w:pPr>
        <w:spacing w:before="0" w:after="40" w:lineRule="auto" w:line="240"/>
      </w:pPr>
      <w:r>
        <w:rPr>
          <w:rFonts w:ascii="Calibri" w:hAnsi="Calibri"/>
          <w:b/>
          <w:color w:val="1F2933"/>
          <w:sz w:val="20"/>
        </w:rPr>
        <w:t xml:space="preserve">Datos: </w:t>
      </w:r>
      <w:r>
        <w:rPr>
          <w:rFonts w:ascii="Calibri" w:hAnsi="Calibri"/>
          <w:color w:val="5B6573"/>
          <w:sz w:val="20"/>
        </w:rPr>
        <w:t>Google Keyword Planner (jul. 2025-jun. 2026) + laboratorio SERP (12 jul. 2026)</w:t>
      </w:r>
    </w:p>
    <w:p>
      <w:pPr>
        <w:spacing w:before="0" w:after="40" w:lineRule="auto" w:line="240"/>
      </w:pPr>
      <w:r>
        <w:rPr>
          <w:rFonts w:ascii="Calibri" w:hAnsi="Calibri"/>
          <w:b/>
          <w:color w:val="1F2933"/>
          <w:sz w:val="20"/>
        </w:rPr>
        <w:t xml:space="preserve">Documento complementario: </w:t>
      </w:r>
      <w:r>
        <w:rPr>
          <w:rFonts w:ascii="Calibri" w:hAnsi="Calibri"/>
          <w:color w:val="5B6573"/>
          <w:sz w:val="20"/>
        </w:rPr>
        <w:t>ashley-leon-keywords-clasificadas-agrupadas.xlsx</w:t>
      </w:r>
    </w:p>
    <w:p>
      <w:pPr>
        <w:spacing w:before="160" w:after="240" w:lineRule="auto" w:line="240"/>
        <w:pBdr>
          <w:bottom w:val="single" w:sz="12" w:space="4" w:color="2E74B5"/>
        </w:pBdr>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E8EEF5" w:val="clear"/>
          </w:tcPr>
          <w:p>
            <w:pPr>
              <w:spacing w:before="0" w:after="0" w:lineRule="auto" w:line="264"/>
            </w:pPr>
            <w:r>
              <w:rPr>
                <w:rFonts w:ascii="Calibri" w:hAnsi="Calibri"/>
                <w:b/>
                <w:color w:val="1F4D78"/>
              </w:rPr>
              <w:t xml:space="preserve">Recomendación: </w:t>
            </w:r>
            <w:r>
              <w:rPr>
                <w:rFonts w:ascii="Calibri" w:hAnsi="Calibri"/>
                <w:color w:val="1F2933"/>
              </w:rPr>
              <w:t>Crear una guía pilar evergreen, indexable y autocanónica en /en/deconstructing-christianity. La página debe responder la intención informativa del clúster completo y conducir, de forma útil y no agresiva, hacia Rebuilding Reverence cuando la persona busque acompañamiento práctico.</w:t>
            </w:r>
          </w:p>
        </w:tc>
      </w:tr>
    </w:tbl>
    <w:p>
      <w:pPr>
        <w:spacing w:before="0" w:after="40" w:lineRule="auto" w:line="264"/>
      </w:pPr>
    </w:p>
    <w:p>
      <w:pPr>
        <w:pStyle w:val="Heading1"/>
        <w:keepNext/>
      </w:pPr>
      <w:r>
        <w:t>1. Resumen ejecutivo</w:t>
      </w:r>
    </w:p>
    <w:p>
      <w:pPr>
        <w:spacing w:before="0" w:after="120" w:lineRule="auto" w:line="264"/>
      </w:pPr>
      <w:r>
        <w:rPr>
          <w:rFonts w:ascii="Calibri" w:hAnsi="Calibri"/>
          <w:color w:val="1F2933"/>
        </w:rPr>
        <w:t>El análisis identifica una oportunidad clara: las búsquedas sobre deconstrucción de la fe, la religión y el cristianismo comparten una intención mayoritariamente informativa y una superposición consistente en los resultados de Google. En lugar de crear muchas páginas similares, conviene concentrar la respuesta en una sola guía pilar con profundidad, claridad y una voz editorial propia.</w:t>
      </w:r>
    </w:p>
    <w:p>
      <w:pPr>
        <w:numPr>
          <w:ilvl w:val="0"/>
          <w:numId w:val="10"/>
        </w:numPr>
        <w:spacing w:before="0" w:after="160" w:lineRule="auto" w:line="280"/>
      </w:pPr>
      <w:r>
        <w:rPr>
          <w:rFonts w:ascii="Calibri" w:hAnsi="Calibri"/>
          <w:b/>
          <w:color w:val="1F2933"/>
        </w:rPr>
        <w:t>28 keywords</w:t>
      </w:r>
      <w:r>
        <w:rPr>
          <w:rFonts w:ascii="Calibri" w:hAnsi="Calibri"/>
          <w:color w:val="1F2933"/>
        </w:rPr>
        <w:t xml:space="preserve"> analizadas y clasificadas mediante datos de Keyword Planner y revisión SERP.</w:t>
      </w:r>
    </w:p>
    <w:p>
      <w:pPr>
        <w:numPr>
          <w:ilvl w:val="0"/>
          <w:numId w:val="10"/>
        </w:numPr>
        <w:spacing w:before="0" w:after="160" w:lineRule="auto" w:line="280"/>
      </w:pPr>
      <w:r>
        <w:rPr>
          <w:rFonts w:ascii="Calibri" w:hAnsi="Calibri"/>
          <w:b/>
          <w:color w:val="1F2933"/>
        </w:rPr>
        <w:t>26 keywords</w:t>
      </w:r>
      <w:r>
        <w:rPr>
          <w:rFonts w:ascii="Calibri" w:hAnsi="Calibri"/>
          <w:color w:val="1F2933"/>
        </w:rPr>
        <w:t xml:space="preserve"> forman un clúster informativo central; una keyword es fronteriza y una pertenece a un clúster comercial independiente.</w:t>
      </w:r>
    </w:p>
    <w:p>
      <w:pPr>
        <w:numPr>
          <w:ilvl w:val="0"/>
          <w:numId w:val="10"/>
        </w:numPr>
        <w:spacing w:before="0" w:after="160" w:lineRule="auto" w:line="280"/>
      </w:pPr>
      <w:r>
        <w:rPr>
          <w:rFonts w:ascii="Calibri" w:hAnsi="Calibri"/>
          <w:b/>
          <w:color w:val="1F2933"/>
        </w:rPr>
        <w:t>16,250 búsquedas mensuales</w:t>
      </w:r>
      <w:r>
        <w:rPr>
          <w:rFonts w:ascii="Calibri" w:hAnsi="Calibri"/>
          <w:color w:val="1F2933"/>
        </w:rPr>
        <w:t xml:space="preserve"> es la suma de los volúmenes reportados, no 16,250 personas únicas: varias consultas son variantes y pueden representar la misma demanda.</w:t>
      </w:r>
    </w:p>
    <w:p>
      <w:pPr>
        <w:numPr>
          <w:ilvl w:val="0"/>
          <w:numId w:val="10"/>
        </w:numPr>
        <w:spacing w:before="0" w:after="160" w:lineRule="auto" w:line="280"/>
      </w:pPr>
      <w:r>
        <w:rPr>
          <w:rFonts w:ascii="Calibri" w:hAnsi="Calibri"/>
          <w:b/>
          <w:color w:val="1F2933"/>
        </w:rPr>
        <w:t>La arquitectura recomendada</w:t>
      </w:r>
      <w:r>
        <w:rPr>
          <w:rFonts w:ascii="Calibri" w:hAnsi="Calibri"/>
          <w:color w:val="1F2933"/>
        </w:rPr>
        <w:t xml:space="preserve"> usa una página pilar para captar descubrimiento y una página de producto para la intención comercial.</w:t>
      </w:r>
    </w:p>
    <w:p>
      <w:pPr>
        <w:pStyle w:val="Heading1"/>
        <w:keepNext/>
      </w:pPr>
      <w:r>
        <w:t>2. Por qué esta página es importante</w:t>
      </w:r>
    </w:p>
    <w:p>
      <w:pPr>
        <w:spacing w:before="0" w:after="120" w:lineRule="auto" w:line="264"/>
      </w:pPr>
      <w:r>
        <w:rPr>
          <w:rFonts w:ascii="Calibri" w:hAnsi="Calibri"/>
          <w:color w:val="1F2933"/>
        </w:rPr>
        <w:t>La oportunidad no depende únicamente del volumen. La decisión combina demanda, intención de búsqueda, similitud de SERP y coherencia con la propuesta de Ashley Leon.</w:t>
      </w:r>
    </w:p>
    <w:p>
      <w:pPr>
        <w:numPr>
          <w:ilvl w:val="0"/>
          <w:numId w:val="10"/>
        </w:numPr>
        <w:spacing w:before="0" w:after="160" w:lineRule="auto" w:line="280"/>
      </w:pPr>
      <w:r>
        <w:rPr>
          <w:rFonts w:ascii="Calibri" w:hAnsi="Calibri"/>
          <w:b/>
          <w:color w:val="1F2933"/>
        </w:rPr>
        <w:t>Concentra la autoridad.</w:t>
      </w:r>
      <w:r>
        <w:rPr>
          <w:rFonts w:ascii="Calibri" w:hAnsi="Calibri"/>
          <w:color w:val="1F2933"/>
        </w:rPr>
        <w:t xml:space="preserve"> Una guía completa reúne señales que se dispersarían entre artículos casi duplicados y reduce el riesgo de canibalización.</w:t>
      </w:r>
    </w:p>
    <w:p>
      <w:pPr>
        <w:numPr>
          <w:ilvl w:val="0"/>
          <w:numId w:val="10"/>
        </w:numPr>
        <w:spacing w:before="0" w:after="160" w:lineRule="auto" w:line="280"/>
      </w:pPr>
      <w:r>
        <w:rPr>
          <w:rFonts w:ascii="Calibri" w:hAnsi="Calibri"/>
          <w:b/>
          <w:color w:val="1F2933"/>
        </w:rPr>
        <w:t>Responde a una necesidad real.</w:t>
      </w:r>
      <w:r>
        <w:rPr>
          <w:rFonts w:ascii="Calibri" w:hAnsi="Calibri"/>
          <w:color w:val="1F2933"/>
        </w:rPr>
        <w:t xml:space="preserve"> Las personas buscan definiciones, contexto, lenguaje para su experiencia y orientación sobre lo que puede ocurrir después.</w:t>
      </w:r>
    </w:p>
    <w:p>
      <w:pPr>
        <w:numPr>
          <w:ilvl w:val="0"/>
          <w:numId w:val="10"/>
        </w:numPr>
        <w:spacing w:before="0" w:after="160" w:lineRule="auto" w:line="280"/>
      </w:pPr>
      <w:r>
        <w:rPr>
          <w:rFonts w:ascii="Calibri" w:hAnsi="Calibri"/>
          <w:b/>
          <w:color w:val="1F2933"/>
        </w:rPr>
        <w:t>Crea una puerta de entrada evergreen.</w:t>
      </w:r>
      <w:r>
        <w:rPr>
          <w:rFonts w:ascii="Calibri" w:hAnsi="Calibri"/>
          <w:color w:val="1F2933"/>
        </w:rPr>
        <w:t xml:space="preserve"> La página puede atraer descubrimiento orgánico durante todo el año y recibir enlaces internos desde ensayos relacionados.</w:t>
      </w:r>
    </w:p>
    <w:p>
      <w:pPr>
        <w:numPr>
          <w:ilvl w:val="0"/>
          <w:numId w:val="10"/>
        </w:numPr>
        <w:spacing w:before="0" w:after="160" w:lineRule="auto" w:line="280"/>
      </w:pPr>
      <w:r>
        <w:rPr>
          <w:rFonts w:ascii="Calibri" w:hAnsi="Calibri"/>
          <w:b/>
          <w:color w:val="1F2933"/>
        </w:rPr>
        <w:t>Conecta información y producto con integridad.</w:t>
      </w:r>
      <w:r>
        <w:rPr>
          <w:rFonts w:ascii="Calibri" w:hAnsi="Calibri"/>
          <w:color w:val="1F2933"/>
        </w:rPr>
        <w:t xml:space="preserve"> Quien quiera pasar de entender a reflexionar puede conocer Rebuilding Reverence sin convertir la guía en una página de venta.</w:t>
      </w:r>
    </w:p>
    <w:p>
      <w:pPr>
        <w:numPr>
          <w:ilvl w:val="0"/>
          <w:numId w:val="10"/>
        </w:numPr>
        <w:spacing w:before="0" w:after="160" w:lineRule="auto" w:line="280"/>
      </w:pPr>
      <w:r>
        <w:rPr>
          <w:rFonts w:ascii="Calibri" w:hAnsi="Calibri"/>
          <w:b/>
          <w:color w:val="1F2933"/>
        </w:rPr>
        <w:t>Construye una base medible.</w:t>
      </w:r>
      <w:r>
        <w:rPr>
          <w:rFonts w:ascii="Calibri" w:hAnsi="Calibri"/>
          <w:color w:val="1F2933"/>
        </w:rPr>
        <w:t xml:space="preserve"> Una URL estable permite observar consultas, impresiones, clics, interacción y clics al CTA en un solo lugar.</w:t>
      </w:r>
    </w:p>
    <w:p>
      <w:pPr>
        <w:pStyle w:val="Heading1"/>
        <w:keepNext/>
      </w:pPr>
      <w:r>
        <w:t>3. Decisión de arquitectura y posicionamiento</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2700"/>
        <w:gridCol w:w="6660"/>
      </w:tblGrid>
      <w:tr>
        <w:trPr>
          <w:tblHeader w:val="true"/>
        </w:trPr>
        <w:tc>
          <w:tcPr>
            <w:tcW w:type="dxa" w:w="27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9"/>
              </w:rPr>
              <w:t>Elemento</w:t>
            </w:r>
          </w:p>
        </w:tc>
        <w:tc>
          <w:tcPr>
            <w:tcW w:type="dxa" w:w="66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9"/>
              </w:rPr>
              <w:t>Recomendación</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URL</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/en/deconstructing-christianity</w:t>
            </w:r>
          </w:p>
        </w:tc>
      </w:tr>
      <w:tr>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Tipo de página</w:t>
            </w:r>
          </w:p>
        </w:tc>
        <w:tc>
          <w:tcPr>
            <w:tcW w:type="dxa" w:w="66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Guía pilar evergreen; no un post fechado</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H1 propuesto</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Deconstructing Christianity: What It Means and What Comes Next</w:t>
            </w:r>
          </w:p>
        </w:tc>
      </w:tr>
      <w:tr>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Title tag propuesto</w:t>
            </w:r>
          </w:p>
        </w:tc>
        <w:tc>
          <w:tcPr>
            <w:tcW w:type="dxa" w:w="66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Deconstructing Christianity: Meaning, Process &amp; What Comes Next | Ashley Leon</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Intención principal</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Informativa: comprender el significado, el proceso y sus posibles resultados</w:t>
            </w:r>
          </w:p>
        </w:tc>
      </w:tr>
      <w:tr>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Conversión secundaria</w:t>
            </w:r>
          </w:p>
        </w:tc>
        <w:tc>
          <w:tcPr>
            <w:tcW w:type="dxa" w:w="66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Explorar Rebuilding Reverence como recurso de reflexión, sin promesas clínicas</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Indexación</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Indexable, autocanónica e incluida en el sitemap</w:t>
            </w:r>
          </w:p>
        </w:tc>
      </w:tr>
    </w:tbl>
    <w:p>
      <w:pPr>
        <w:spacing w:before="0" w:after="40" w:lineRule="auto" w:line="264"/>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FFF8E6" w:val="clear"/>
          </w:tcPr>
          <w:p>
            <w:pPr>
              <w:spacing w:before="0" w:after="0" w:lineRule="auto" w:line="264"/>
            </w:pPr>
            <w:r>
              <w:rPr>
                <w:rFonts w:ascii="Calibri" w:hAnsi="Calibri"/>
                <w:b/>
                <w:color w:val="8A6A15"/>
              </w:rPr>
              <w:t xml:space="preserve">Importante: </w:t>
            </w:r>
            <w:r>
              <w:rPr>
                <w:rFonts w:ascii="Calibri" w:hAnsi="Calibri"/>
                <w:color w:val="1F2933"/>
              </w:rPr>
              <w:t>No se recomienda usar /deconstruction-of-christianity solo por coincidencia exacta. Esa frase también es el título de un libro y presenta intención mixta; la URL propuesta conserva la relevancia temática y ofrece mayor libertad editorial.</w:t>
            </w:r>
          </w:p>
        </w:tc>
      </w:tr>
    </w:tbl>
    <w:p>
      <w:pPr>
        <w:spacing w:before="0" w:after="40" w:lineRule="auto" w:line="264"/>
      </w:pPr>
    </w:p>
    <w:p>
      <w:pPr>
        <w:pStyle w:val="Heading1"/>
        <w:keepNext/>
      </w:pPr>
      <w:r>
        <w:t>4. Estrategia de keywords</w:t>
      </w:r>
    </w:p>
    <w:p>
      <w:pPr>
        <w:spacing w:before="0" w:after="120" w:lineRule="auto" w:line="264"/>
      </w:pPr>
      <w:r>
        <w:rPr>
          <w:rFonts w:ascii="Calibri" w:hAnsi="Calibri"/>
          <w:color w:val="1F2933"/>
        </w:rPr>
        <w:t>Las keywords deben funcionar como un mapa de preguntas, no como una lista para repetir literalmente. La guía puede posicionarse para muchas variantes si responde de forma completa a los conceptos que comparten.</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00"/>
        <w:gridCol w:w="1100"/>
        <w:gridCol w:w="1200"/>
        <w:gridCol w:w="2300"/>
        <w:gridCol w:w="3860"/>
      </w:tblGrid>
      <w:tr>
        <w:trPr>
          <w:tblHeader w:val="true"/>
        </w:trPr>
        <w:tc>
          <w:tcPr>
            <w:tcW w:type="dxa" w:w="9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Clúster</w:t>
            </w:r>
          </w:p>
        </w:tc>
        <w:tc>
          <w:tcPr>
            <w:tcW w:type="dxa" w:w="11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Keywords</w:t>
            </w:r>
          </w:p>
        </w:tc>
        <w:tc>
          <w:tcPr>
            <w:tcW w:type="dxa" w:w="12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Volumen</w:t>
            </w:r>
          </w:p>
        </w:tc>
        <w:tc>
          <w:tcPr>
            <w:tcW w:type="dxa" w:w="23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Intención</w:t>
            </w:r>
          </w:p>
        </w:tc>
        <w:tc>
          <w:tcPr>
            <w:tcW w:type="dxa" w:w="38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Destino</w:t>
            </w:r>
          </w:p>
        </w:tc>
      </w:tr>
      <w:tr>
        <w:tc>
          <w:tcPr>
            <w:tcW w:type="dxa" w:w="9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C1</w:t>
            </w:r>
          </w:p>
        </w:tc>
        <w:tc>
          <w:tcPr>
            <w:tcW w:type="dxa" w:w="11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26</w:t>
            </w:r>
          </w:p>
        </w:tc>
        <w:tc>
          <w:tcPr>
            <w:tcW w:type="dxa" w:w="12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11,200</w:t>
            </w:r>
          </w:p>
        </w:tc>
        <w:tc>
          <w:tcPr>
            <w:tcW w:type="dxa" w:w="23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Informativa</w:t>
            </w:r>
          </w:p>
        </w:tc>
        <w:tc>
          <w:tcPr>
            <w:tcW w:type="dxa" w:w="38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Página pilar</w:t>
            </w:r>
          </w:p>
        </w:tc>
      </w:tr>
      <w:tr>
        <w:tc>
          <w:tcPr>
            <w:tcW w:type="dxa" w:w="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C1-B</w:t>
            </w:r>
          </w:p>
        </w:tc>
        <w:tc>
          <w:tcPr>
            <w:tcW w:type="dxa" w:w="11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1</w:t>
            </w:r>
          </w:p>
        </w:tc>
        <w:tc>
          <w:tcPr>
            <w:tcW w:type="dxa" w:w="1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5,000</w:t>
            </w:r>
          </w:p>
        </w:tc>
        <w:tc>
          <w:tcPr>
            <w:tcW w:type="dxa" w:w="23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Mixta / fronteriza</w:t>
            </w:r>
          </w:p>
        </w:tc>
        <w:tc>
          <w:tcPr>
            <w:tcW w:type="dxa" w:w="38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Mención natural en la página pilar</w:t>
            </w:r>
          </w:p>
        </w:tc>
      </w:tr>
      <w:tr>
        <w:tc>
          <w:tcPr>
            <w:tcW w:type="dxa" w:w="9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C2</w:t>
            </w:r>
          </w:p>
        </w:tc>
        <w:tc>
          <w:tcPr>
            <w:tcW w:type="dxa" w:w="11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1</w:t>
            </w:r>
          </w:p>
        </w:tc>
        <w:tc>
          <w:tcPr>
            <w:tcW w:type="dxa" w:w="12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50</w:t>
            </w:r>
          </w:p>
        </w:tc>
        <w:tc>
          <w:tcPr>
            <w:tcW w:type="dxa" w:w="23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Comercial</w:t>
            </w:r>
          </w:p>
        </w:tc>
        <w:tc>
          <w:tcPr>
            <w:tcW w:type="dxa" w:w="38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Página de Rebuilding Reverence</w:t>
            </w:r>
          </w:p>
        </w:tc>
      </w:tr>
      <w:tr>
        <w:tc>
          <w:tcPr>
            <w:tcW w:type="dxa" w:w="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Total</w:t>
            </w:r>
          </w:p>
        </w:tc>
        <w:tc>
          <w:tcPr>
            <w:tcW w:type="dxa" w:w="11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28</w:t>
            </w:r>
          </w:p>
        </w:tc>
        <w:tc>
          <w:tcPr>
            <w:tcW w:type="dxa" w:w="1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16,250</w:t>
            </w:r>
          </w:p>
        </w:tc>
        <w:tc>
          <w:tcPr>
            <w:tcW w:type="dxa" w:w="23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Mixta por conjunto</w:t>
            </w:r>
          </w:p>
        </w:tc>
        <w:tc>
          <w:tcPr>
            <w:tcW w:type="dxa" w:w="38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Dos destinos coordinados</w:t>
            </w:r>
          </w:p>
        </w:tc>
      </w:tr>
    </w:tbl>
    <w:p>
      <w:pPr>
        <w:spacing w:before="0" w:after="40" w:lineRule="auto" w:line="264"/>
      </w:pPr>
    </w:p>
    <w:p>
      <w:pPr>
        <w:pStyle w:val="Heading2"/>
        <w:keepNext/>
      </w:pPr>
      <w:r>
        <w:t>Prioridades dentro del clúster</w:t>
      </w:r>
    </w:p>
    <w:p>
      <w:pPr>
        <w:numPr>
          <w:ilvl w:val="0"/>
          <w:numId w:val="10"/>
        </w:numPr>
        <w:spacing w:before="0" w:after="160" w:lineRule="auto" w:line="280"/>
      </w:pPr>
      <w:r>
        <w:rPr>
          <w:rFonts w:ascii="Calibri" w:hAnsi="Calibri"/>
          <w:b/>
          <w:color w:val="1F2933"/>
        </w:rPr>
        <w:t>Primaria:</w:t>
      </w:r>
      <w:r>
        <w:rPr>
          <w:rFonts w:ascii="Calibri" w:hAnsi="Calibri"/>
          <w:color w:val="1F2933"/>
        </w:rPr>
        <w:t xml:space="preserve"> deconstruction christianity (5,000 búsquedas promedio). Es la líder por volumen del clúster informativo.</w:t>
      </w:r>
    </w:p>
    <w:p>
      <w:pPr>
        <w:numPr>
          <w:ilvl w:val="0"/>
          <w:numId w:val="10"/>
        </w:numPr>
        <w:spacing w:before="0" w:after="160" w:lineRule="auto" w:line="280"/>
      </w:pPr>
      <w:r>
        <w:rPr>
          <w:rFonts w:ascii="Calibri" w:hAnsi="Calibri"/>
          <w:b/>
          <w:color w:val="1F2933"/>
        </w:rPr>
        <w:t>Fronteriza:</w:t>
      </w:r>
      <w:r>
        <w:rPr>
          <w:rFonts w:ascii="Calibri" w:hAnsi="Calibri"/>
          <w:color w:val="1F2933"/>
        </w:rPr>
        <w:t xml:space="preserve"> deconstruction of christianity (5,000). Debe aparecer de forma natural, pero no dominar la página porque parte de la SERP busca un libro o recurso específico.</w:t>
      </w:r>
    </w:p>
    <w:p>
      <w:pPr>
        <w:numPr>
          <w:ilvl w:val="0"/>
          <w:numId w:val="10"/>
        </w:numPr>
        <w:spacing w:before="0" w:after="160" w:lineRule="auto" w:line="280"/>
      </w:pPr>
      <w:r>
        <w:rPr>
          <w:rFonts w:ascii="Calibri" w:hAnsi="Calibri"/>
          <w:b/>
          <w:color w:val="1F2933"/>
        </w:rPr>
        <w:t>Secundarias de 500:</w:t>
      </w:r>
      <w:r>
        <w:rPr>
          <w:rFonts w:ascii="Calibri" w:hAnsi="Calibri"/>
          <w:color w:val="1F2933"/>
        </w:rPr>
        <w:t xml:space="preserve"> variantes sobre faith deconstruction, religious deconstruction, significado, identidad y proceso.</w:t>
      </w:r>
    </w:p>
    <w:p>
      <w:pPr>
        <w:numPr>
          <w:ilvl w:val="0"/>
          <w:numId w:val="10"/>
        </w:numPr>
        <w:spacing w:before="0" w:after="160" w:lineRule="auto" w:line="280"/>
      </w:pPr>
      <w:r>
        <w:rPr>
          <w:rFonts w:ascii="Calibri" w:hAnsi="Calibri"/>
          <w:b/>
          <w:color w:val="1F2933"/>
        </w:rPr>
        <w:t>Long-tail de 50:</w:t>
      </w:r>
      <w:r>
        <w:rPr>
          <w:rFonts w:ascii="Calibri" w:hAnsi="Calibri"/>
          <w:color w:val="1F2933"/>
        </w:rPr>
        <w:t xml:space="preserve"> preguntas más específicas que ayudan a diseñar subtítulos, ejemplos y respuestas breves.</w:t>
      </w:r>
    </w:p>
    <w:p>
      <w:pPr>
        <w:numPr>
          <w:ilvl w:val="0"/>
          <w:numId w:val="10"/>
        </w:numPr>
        <w:spacing w:before="0" w:after="160" w:lineRule="auto" w:line="280"/>
      </w:pPr>
      <w:r>
        <w:rPr>
          <w:rFonts w:ascii="Calibri" w:hAnsi="Calibri"/>
          <w:b/>
          <w:color w:val="1F2933"/>
        </w:rPr>
        <w:t>Comercial independiente:</w:t>
      </w:r>
      <w:r>
        <w:rPr>
          <w:rFonts w:ascii="Calibri" w:hAnsi="Calibri"/>
          <w:color w:val="1F2933"/>
        </w:rPr>
        <w:t xml:space="preserve"> religious trauma workbook (50). Se trabaja en la página de Rebuilding Reverence, no como objetivo principal del pilar.</w:t>
      </w:r>
    </w:p>
    <w:p>
      <w:pPr>
        <w:pStyle w:val="Heading1"/>
        <w:keepNext/>
      </w:pPr>
      <w:r>
        <w:t>5. Tono editorial recomendado</w:t>
      </w:r>
    </w:p>
    <w:p>
      <w:pPr>
        <w:spacing w:before="0" w:after="120" w:lineRule="auto" w:line="264"/>
      </w:pPr>
      <w:r>
        <w:rPr>
          <w:rFonts w:ascii="Calibri" w:hAnsi="Calibri"/>
          <w:color w:val="1F2933"/>
        </w:rPr>
        <w:t>La página debe sonar como Ashley: humana, reflexiva y segura. El lector puede estar cuestionando creencias, vínculos, identidad o comunidad; el contenido necesita claridad sin imponer una conclusión.</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680"/>
        <w:gridCol w:w="4680"/>
      </w:tblGrid>
      <w:tr>
        <w:trPr>
          <w:tblHeader w:val="true"/>
        </w:trPr>
        <w:tc>
          <w:tcPr>
            <w:tcW w:type="dxa" w:w="468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Usar</w:t>
            </w:r>
          </w:p>
        </w:tc>
        <w:tc>
          <w:tcPr>
            <w:tcW w:type="dxa" w:w="468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Evitar</w:t>
            </w:r>
          </w:p>
        </w:tc>
      </w:tr>
      <w:tr>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Compasivo y emocionalmente seguro</w:t>
            </w:r>
          </w:p>
        </w:tc>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Alarmista, combativo o condescendiente</w:t>
            </w:r>
          </w:p>
        </w:tc>
      </w:tr>
      <w:tr>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Claro, concreto y accesible</w:t>
            </w:r>
          </w:p>
        </w:tc>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Lenguaje académico sin explicación</w:t>
            </w:r>
          </w:p>
        </w:tc>
      </w:tr>
      <w:tr>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No dogmático y abierto a distintos resultados</w:t>
            </w:r>
          </w:p>
        </w:tc>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Asumir que toda deconstrucción termina en abandonar la fe</w:t>
            </w:r>
          </w:p>
        </w:tc>
      </w:tr>
      <w:tr>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Reflexivo, con ejemplos y preguntas honestas</w:t>
            </w:r>
          </w:p>
        </w:tc>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Generalizaciones sobre todas las iglesias o creyentes</w:t>
            </w:r>
          </w:p>
        </w:tc>
      </w:tr>
      <w:tr>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Informado sobre daño religioso</w:t>
            </w:r>
          </w:p>
        </w:tc>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Diagnósticos, promesas de sanación o lenguaje clínico no sustentado</w:t>
            </w:r>
          </w:p>
        </w:tc>
      </w:tr>
      <w:tr>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Inclusivo para identidades y experiencias diversas</w:t>
            </w:r>
          </w:p>
        </w:tc>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Convertir la pieza en un debate “cristiano vs. excristiano”</w:t>
            </w:r>
          </w:p>
        </w:tc>
      </w:tr>
    </w:tbl>
    <w:p>
      <w:pPr>
        <w:spacing w:before="0" w:after="40" w:lineRule="auto" w:line="264"/>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E8EEF5" w:val="clear"/>
          </w:tcPr>
          <w:p>
            <w:pPr>
              <w:spacing w:before="0" w:after="0" w:lineRule="auto" w:line="264"/>
            </w:pPr>
            <w:r>
              <w:rPr>
                <w:rFonts w:ascii="Calibri" w:hAnsi="Calibri"/>
                <w:b/>
                <w:color w:val="1F4D78"/>
              </w:rPr>
              <w:t xml:space="preserve">Principio de voz: </w:t>
            </w:r>
            <w:r>
              <w:rPr>
                <w:rFonts w:ascii="Calibri" w:hAnsi="Calibri"/>
                <w:color w:val="1F2933"/>
              </w:rPr>
              <w:t>Explicar sin etiquetar al lector, acompañar sin dirigir su conclusión y ofrecer recursos sin convertir la vulnerabilidad en presión comercial.</w:t>
            </w:r>
          </w:p>
        </w:tc>
      </w:tr>
    </w:tbl>
    <w:p>
      <w:pPr>
        <w:spacing w:before="0" w:after="40" w:lineRule="auto" w:line="264"/>
      </w:pPr>
    </w:p>
    <w:p>
      <w:pPr>
        <w:pStyle w:val="Heading1"/>
        <w:keepNext/>
      </w:pPr>
      <w:r>
        <w:t>6. Estructura recomendada de la página</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850"/>
        <w:gridCol w:w="2700"/>
        <w:gridCol w:w="5810"/>
      </w:tblGrid>
      <w:tr>
        <w:trPr>
          <w:tblHeader w:val="true"/>
        </w:trPr>
        <w:tc>
          <w:tcPr>
            <w:tcW w:type="dxa" w:w="85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Sección</w:t>
            </w:r>
          </w:p>
        </w:tc>
        <w:tc>
          <w:tcPr>
            <w:tcW w:type="dxa" w:w="27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Trabajo editorial</w:t>
            </w:r>
          </w:p>
        </w:tc>
        <w:tc>
          <w:tcPr>
            <w:tcW w:type="dxa" w:w="581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Familias de keywords / tema</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1</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Definición clara</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is faith deconstruction? / faith deconstruction meaning</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2</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Deconstructing Christianity</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deconstruction christianity / deconstruction in christianity</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3</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Religious deconstruction</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religious deconstruction / deconstruction religion</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4</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Por qué las personas deconstruyen</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Contexto, dudas, daño, identidad, comunidad y contradicciones</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5</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Cómo puede sentirse el proceso</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does it mean to deconstruct your faith</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6</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Resultados posibles</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is a deconstructed christian / reconstruir, reformular o soltar</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7</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Qué puede venir después</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Prácticas de reflexión, límites, comunidad y apoyo adecuado</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8</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Siguiente paso opcional</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CTA hacia Rebuilding Reverence</w:t>
            </w:r>
          </w:p>
        </w:tc>
      </w:tr>
    </w:tbl>
    <w:p>
      <w:pPr>
        <w:spacing w:before="0" w:after="40" w:lineRule="auto" w:line="264"/>
      </w:pPr>
    </w:p>
    <w:p>
      <w:pPr>
        <w:spacing w:before="0" w:after="120" w:lineRule="auto" w:line="264"/>
      </w:pPr>
      <w:r>
        <w:rPr>
          <w:rFonts w:ascii="Calibri" w:hAnsi="Calibri"/>
          <w:color w:val="1F2933"/>
        </w:rPr>
        <w:t>Las preguntas exactas pueden aparecer como H2/H3 cuando suenen naturales. No es necesario convertir cada variante en un encabezado: Google puede relacionar expresiones semánticamente equivalentes si la respuesta es clara y útil.</w:t>
      </w:r>
    </w:p>
    <w:p>
      <w:pPr>
        <w:pStyle w:val="Heading1"/>
        <w:keepNext/>
      </w:pPr>
      <w:r>
        <w:t>7. Cómo conectar la página con el resto del sitio</w:t>
      </w:r>
    </w:p>
    <w:p>
      <w:pPr>
        <w:numPr>
          <w:ilvl w:val="0"/>
          <w:numId w:val="11"/>
        </w:numPr>
        <w:spacing w:before="0" w:after="160" w:lineRule="auto" w:line="280"/>
      </w:pPr>
      <w:r>
        <w:rPr>
          <w:rFonts w:ascii="Calibri" w:hAnsi="Calibri"/>
          <w:b/>
          <w:color w:val="1F2933"/>
        </w:rPr>
        <w:t>Enviar enlaces</w:t>
      </w:r>
      <w:r>
        <w:rPr>
          <w:rFonts w:ascii="Calibri" w:hAnsi="Calibri"/>
          <w:color w:val="1F2933"/>
        </w:rPr>
        <w:t xml:space="preserve"> hacia el pilar desde la página de ensayos, artículos relacionados y otras secciones donde se hable de fe, identidad, daño religioso o reconstrucción.</w:t>
      </w:r>
    </w:p>
    <w:p>
      <w:pPr>
        <w:numPr>
          <w:ilvl w:val="0"/>
          <w:numId w:val="11"/>
        </w:numPr>
        <w:spacing w:before="0" w:after="160" w:lineRule="auto" w:line="280"/>
      </w:pPr>
      <w:r>
        <w:rPr>
          <w:rFonts w:ascii="Calibri" w:hAnsi="Calibri"/>
          <w:b/>
          <w:color w:val="1F2933"/>
        </w:rPr>
        <w:t>Desde el pilar,</w:t>
      </w:r>
      <w:r>
        <w:rPr>
          <w:rFonts w:ascii="Calibri" w:hAnsi="Calibri"/>
          <w:color w:val="1F2933"/>
        </w:rPr>
        <w:t xml:space="preserve"> presentar Rebuilding Reverence después de haber resuelto la necesidad informativa, con un CTA descriptivo como “Explore the Rebuilding Reverence workbook”.</w:t>
      </w:r>
    </w:p>
    <w:p>
      <w:pPr>
        <w:numPr>
          <w:ilvl w:val="0"/>
          <w:numId w:val="11"/>
        </w:numPr>
        <w:spacing w:before="0" w:after="160" w:lineRule="auto" w:line="280"/>
      </w:pPr>
      <w:r>
        <w:rPr>
          <w:rFonts w:ascii="Calibri" w:hAnsi="Calibri"/>
          <w:b/>
          <w:color w:val="1F2933"/>
        </w:rPr>
        <w:t>Desde la página del workbook,</w:t>
      </w:r>
      <w:r>
        <w:rPr>
          <w:rFonts w:ascii="Calibri" w:hAnsi="Calibri"/>
          <w:color w:val="1F2933"/>
        </w:rPr>
        <w:t xml:space="preserve"> enlazar de regreso al pilar con un texto como “Read our guide to deconstructing Christianity”.</w:t>
      </w:r>
    </w:p>
    <w:p>
      <w:pPr>
        <w:numPr>
          <w:ilvl w:val="0"/>
          <w:numId w:val="11"/>
        </w:numPr>
        <w:spacing w:before="0" w:after="160" w:lineRule="auto" w:line="280"/>
      </w:pPr>
      <w:r>
        <w:rPr>
          <w:rFonts w:ascii="Calibri" w:hAnsi="Calibri"/>
          <w:b/>
          <w:color w:val="1F2933"/>
        </w:rPr>
        <w:t>En Rebuilding Reverence,</w:t>
      </w:r>
      <w:r>
        <w:rPr>
          <w:rFonts w:ascii="Calibri" w:hAnsi="Calibri"/>
          <w:color w:val="1F2933"/>
        </w:rPr>
        <w:t xml:space="preserve"> incluir una sección genuina sobre religious harm y trauma solo si el contenido del producto realmente lo aborda. Puede describirse como recurso de reflexión; no como sustituto de terapia.</w:t>
      </w:r>
    </w:p>
    <w:p>
      <w:pPr>
        <w:numPr>
          <w:ilvl w:val="0"/>
          <w:numId w:val="11"/>
        </w:numPr>
        <w:spacing w:before="0" w:after="160" w:lineRule="auto" w:line="280"/>
      </w:pPr>
      <w:r>
        <w:rPr>
          <w:rFonts w:ascii="Calibri" w:hAnsi="Calibri"/>
          <w:b/>
          <w:color w:val="1F2933"/>
        </w:rPr>
        <w:t>No crear una versión</w:t>
      </w:r>
      <w:r>
        <w:rPr>
          <w:rFonts w:ascii="Calibri" w:hAnsi="Calibri"/>
          <w:color w:val="1F2933"/>
        </w:rPr>
        <w:t xml:space="preserve"> en español ni hreflang hasta que exista contenido editorial aprobado y equivalente.</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F4F6F9" w:val="clear"/>
          </w:tcPr>
          <w:p>
            <w:pPr>
              <w:spacing w:before="0" w:after="0" w:lineRule="auto" w:line="264"/>
            </w:pPr>
            <w:r>
              <w:rPr>
                <w:rFonts w:ascii="Calibri" w:hAnsi="Calibri"/>
                <w:b/>
                <w:color w:val="1F4D78"/>
              </w:rPr>
              <w:t xml:space="preserve">Arquitectura: </w:t>
            </w:r>
            <w:r>
              <w:rPr>
                <w:rFonts w:ascii="Calibri" w:hAnsi="Calibri"/>
                <w:color w:val="1F2933"/>
              </w:rPr>
              <w:t>Ensayos y páginas relacionadas → página pilar ↔ Rebuilding Reverence. La página pilar capta intención informativa; la página del workbook responde la intención comercial.</w:t>
            </w:r>
          </w:p>
        </w:tc>
      </w:tr>
    </w:tbl>
    <w:p>
      <w:pPr>
        <w:spacing w:before="0" w:after="40" w:lineRule="auto" w:line="264"/>
      </w:pPr>
    </w:p>
    <w:p>
      <w:pPr>
        <w:pStyle w:val="Heading1"/>
        <w:keepNext/>
      </w:pPr>
      <w:r>
        <w:t>8. Beneficios esperados</w:t>
      </w:r>
    </w:p>
    <w:p>
      <w:pPr>
        <w:spacing w:before="0" w:after="120" w:lineRule="auto" w:line="264"/>
      </w:pPr>
      <w:r>
        <w:rPr>
          <w:rFonts w:ascii="Calibri" w:hAnsi="Calibri"/>
          <w:color w:val="1F2933"/>
        </w:rPr>
        <w:t>Estos beneficios son hipótesis estratégicas medibles, no garantías de ranking o ventas. El desempeño dependerá de la calidad editorial, la competencia, la indexación, los enlaces y el tiempo.</w:t>
      </w:r>
    </w:p>
    <w:p>
      <w:pPr>
        <w:numPr>
          <w:ilvl w:val="0"/>
          <w:numId w:val="10"/>
        </w:numPr>
        <w:spacing w:before="0" w:after="160" w:lineRule="auto" w:line="280"/>
      </w:pPr>
      <w:r>
        <w:rPr>
          <w:rFonts w:ascii="Calibri" w:hAnsi="Calibri"/>
          <w:b/>
          <w:color w:val="1F2933"/>
        </w:rPr>
        <w:t>Mayor cobertura orgánica.</w:t>
      </w:r>
      <w:r>
        <w:rPr>
          <w:rFonts w:ascii="Calibri" w:hAnsi="Calibri"/>
          <w:color w:val="1F2933"/>
        </w:rPr>
        <w:t xml:space="preserve"> Una sola página puede responder búsquedas amplias y long-tail del mismo tema.</w:t>
      </w:r>
    </w:p>
    <w:p>
      <w:pPr>
        <w:numPr>
          <w:ilvl w:val="0"/>
          <w:numId w:val="10"/>
        </w:numPr>
        <w:spacing w:before="0" w:after="160" w:lineRule="auto" w:line="280"/>
      </w:pPr>
      <w:r>
        <w:rPr>
          <w:rFonts w:ascii="Calibri" w:hAnsi="Calibri"/>
          <w:b/>
          <w:color w:val="1F2933"/>
        </w:rPr>
        <w:t>Menos canibalización.</w:t>
      </w:r>
      <w:r>
        <w:rPr>
          <w:rFonts w:ascii="Calibri" w:hAnsi="Calibri"/>
          <w:color w:val="1F2933"/>
        </w:rPr>
        <w:t xml:space="preserve"> Se evita que varias URLs compitan entre sí por una intención casi idéntica.</w:t>
      </w:r>
    </w:p>
    <w:p>
      <w:pPr>
        <w:numPr>
          <w:ilvl w:val="0"/>
          <w:numId w:val="10"/>
        </w:numPr>
        <w:spacing w:before="0" w:after="160" w:lineRule="auto" w:line="280"/>
      </w:pPr>
      <w:r>
        <w:rPr>
          <w:rFonts w:ascii="Calibri" w:hAnsi="Calibri"/>
          <w:b/>
          <w:color w:val="1F2933"/>
        </w:rPr>
        <w:t>Más autoridad temática.</w:t>
      </w:r>
      <w:r>
        <w:rPr>
          <w:rFonts w:ascii="Calibri" w:hAnsi="Calibri"/>
          <w:color w:val="1F2933"/>
        </w:rPr>
        <w:t xml:space="preserve"> La profundidad, la coherencia y los enlaces internos ayudan a presentar el sitio como una fuente útil sobre el tema.</w:t>
      </w:r>
    </w:p>
    <w:p>
      <w:pPr>
        <w:numPr>
          <w:ilvl w:val="0"/>
          <w:numId w:val="10"/>
        </w:numPr>
        <w:spacing w:before="0" w:after="160" w:lineRule="auto" w:line="280"/>
      </w:pPr>
      <w:r>
        <w:rPr>
          <w:rFonts w:ascii="Calibri" w:hAnsi="Calibri"/>
          <w:b/>
          <w:color w:val="1F2933"/>
        </w:rPr>
        <w:t>Mejor experiencia de usuario.</w:t>
      </w:r>
      <w:r>
        <w:rPr>
          <w:rFonts w:ascii="Calibri" w:hAnsi="Calibri"/>
          <w:color w:val="1F2933"/>
        </w:rPr>
        <w:t xml:space="preserve"> El lector encuentra definición, contexto, proceso y próximos pasos en una ruta clara.</w:t>
      </w:r>
    </w:p>
    <w:p>
      <w:pPr>
        <w:numPr>
          <w:ilvl w:val="0"/>
          <w:numId w:val="10"/>
        </w:numPr>
        <w:spacing w:before="0" w:after="160" w:lineRule="auto" w:line="280"/>
      </w:pPr>
      <w:r>
        <w:rPr>
          <w:rFonts w:ascii="Calibri" w:hAnsi="Calibri"/>
          <w:b/>
          <w:color w:val="1F2933"/>
        </w:rPr>
        <w:t>Puente hacia el producto.</w:t>
      </w:r>
      <w:r>
        <w:rPr>
          <w:rFonts w:ascii="Calibri" w:hAnsi="Calibri"/>
          <w:color w:val="1F2933"/>
        </w:rPr>
        <w:t xml:space="preserve"> El tráfico informativo puede descubrir Rebuilding Reverence en el momento apropiado, sin presión.</w:t>
      </w:r>
    </w:p>
    <w:p>
      <w:pPr>
        <w:numPr>
          <w:ilvl w:val="0"/>
          <w:numId w:val="10"/>
        </w:numPr>
        <w:spacing w:before="0" w:after="160" w:lineRule="auto" w:line="280"/>
      </w:pPr>
      <w:r>
        <w:rPr>
          <w:rFonts w:ascii="Calibri" w:hAnsi="Calibri"/>
          <w:b/>
          <w:color w:val="1F2933"/>
        </w:rPr>
        <w:t>Aprendizaje cuantificable.</w:t>
      </w:r>
      <w:r>
        <w:rPr>
          <w:rFonts w:ascii="Calibri" w:hAnsi="Calibri"/>
          <w:color w:val="1F2933"/>
        </w:rPr>
        <w:t xml:space="preserve"> Search Console y GA4 permitirán saber qué consultas atraen usuarios y qué contenido genera interacción o clics al CTA.</w:t>
      </w:r>
    </w:p>
    <w:p>
      <w:pPr>
        <w:pStyle w:val="Heading1"/>
        <w:keepNext/>
      </w:pPr>
      <w:r>
        <w:t>9. Cómo mediremos el resultado</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1700"/>
        <w:gridCol w:w="5160"/>
        <w:gridCol w:w="2500"/>
      </w:tblGrid>
      <w:tr>
        <w:trPr>
          <w:tblHeader w:val="true"/>
        </w:trPr>
        <w:tc>
          <w:tcPr>
            <w:tcW w:type="dxa" w:w="17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KPI</w:t>
            </w:r>
          </w:p>
        </w:tc>
        <w:tc>
          <w:tcPr>
            <w:tcW w:type="dxa" w:w="51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Qué observamos</w:t>
            </w:r>
          </w:p>
        </w:tc>
        <w:tc>
          <w:tcPr>
            <w:tcW w:type="dxa" w:w="25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Fuente</w:t>
            </w:r>
          </w:p>
        </w:tc>
      </w:tr>
      <w:tr>
        <w:tc>
          <w:tcPr>
            <w:tcW w:type="dxa" w:w="1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Indexación</w:t>
            </w:r>
          </w:p>
        </w:tc>
        <w:tc>
          <w:tcPr>
            <w:tcW w:type="dxa" w:w="51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La URL aparece indexada y sin conflictos canónicos</w:t>
            </w:r>
          </w:p>
        </w:tc>
        <w:tc>
          <w:tcPr>
            <w:tcW w:type="dxa" w:w="25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Google Search Console</w:t>
            </w:r>
          </w:p>
        </w:tc>
      </w:tr>
      <w:tr>
        <w:tc>
          <w:tcPr>
            <w:tcW w:type="dxa" w:w="1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Visibilidad</w:t>
            </w:r>
          </w:p>
        </w:tc>
        <w:tc>
          <w:tcPr>
            <w:tcW w:type="dxa" w:w="5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Impresiones por página y por consulta</w:t>
            </w:r>
          </w:p>
        </w:tc>
        <w:tc>
          <w:tcPr>
            <w:tcW w:type="dxa" w:w="25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Google Search Console</w:t>
            </w:r>
          </w:p>
        </w:tc>
      </w:tr>
      <w:tr>
        <w:tc>
          <w:tcPr>
            <w:tcW w:type="dxa" w:w="1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Tráfico orgánico</w:t>
            </w:r>
          </w:p>
        </w:tc>
        <w:tc>
          <w:tcPr>
            <w:tcW w:type="dxa" w:w="51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Clics, CTR y posición promedio</w:t>
            </w:r>
          </w:p>
        </w:tc>
        <w:tc>
          <w:tcPr>
            <w:tcW w:type="dxa" w:w="25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Google Search Console</w:t>
            </w:r>
          </w:p>
        </w:tc>
      </w:tr>
      <w:tr>
        <w:tc>
          <w:tcPr>
            <w:tcW w:type="dxa" w:w="1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Calidad de visita</w:t>
            </w:r>
          </w:p>
        </w:tc>
        <w:tc>
          <w:tcPr>
            <w:tcW w:type="dxa" w:w="5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Sesiones de entrada e interacción</w:t>
            </w:r>
          </w:p>
        </w:tc>
        <w:tc>
          <w:tcPr>
            <w:tcW w:type="dxa" w:w="25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GA4</w:t>
            </w:r>
          </w:p>
        </w:tc>
      </w:tr>
      <w:tr>
        <w:tc>
          <w:tcPr>
            <w:tcW w:type="dxa" w:w="1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Interés comercial</w:t>
            </w:r>
          </w:p>
        </w:tc>
        <w:tc>
          <w:tcPr>
            <w:tcW w:type="dxa" w:w="51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Vistas y clics del CTA al workbook</w:t>
            </w:r>
          </w:p>
        </w:tc>
        <w:tc>
          <w:tcPr>
            <w:tcW w:type="dxa" w:w="25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GA4</w:t>
            </w:r>
          </w:p>
        </w:tc>
      </w:tr>
      <w:tr>
        <w:tc>
          <w:tcPr>
            <w:tcW w:type="dxa" w:w="1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Descubrimiento de demanda</w:t>
            </w:r>
          </w:p>
        </w:tc>
        <w:tc>
          <w:tcPr>
            <w:tcW w:type="dxa" w:w="5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Nuevas consultas no incluidas en el set inicial</w:t>
            </w:r>
          </w:p>
        </w:tc>
        <w:tc>
          <w:tcPr>
            <w:tcW w:type="dxa" w:w="25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Search Console</w:t>
            </w:r>
          </w:p>
        </w:tc>
      </w:tr>
    </w:tbl>
    <w:p>
      <w:pPr>
        <w:spacing w:before="0" w:after="40" w:lineRule="auto" w:line="264"/>
      </w:pPr>
    </w:p>
    <w:p>
      <w:pPr>
        <w:numPr>
          <w:ilvl w:val="0"/>
          <w:numId w:val="10"/>
        </w:numPr>
        <w:spacing w:before="0" w:after="160" w:lineRule="auto" w:line="280"/>
      </w:pPr>
      <w:r>
        <w:rPr>
          <w:rFonts w:ascii="Calibri" w:hAnsi="Calibri"/>
          <w:b/>
          <w:color w:val="1F2933"/>
        </w:rPr>
        <w:t>Antes de publicar:</w:t>
      </w:r>
      <w:r>
        <w:rPr>
          <w:rFonts w:ascii="Calibri" w:hAnsi="Calibri"/>
          <w:color w:val="1F2933"/>
        </w:rPr>
        <w:t xml:space="preserve"> registrar una línea base del tráfico orgánico y del rendimiento actual de Rebuilding Reverence.</w:t>
      </w:r>
    </w:p>
    <w:p>
      <w:pPr>
        <w:numPr>
          <w:ilvl w:val="0"/>
          <w:numId w:val="10"/>
        </w:numPr>
        <w:spacing w:before="0" w:after="160" w:lineRule="auto" w:line="280"/>
      </w:pPr>
      <w:r>
        <w:rPr>
          <w:rFonts w:ascii="Calibri" w:hAnsi="Calibri"/>
          <w:b/>
          <w:color w:val="1F2933"/>
        </w:rPr>
        <w:t>Primeras 2 semanas:</w:t>
      </w:r>
      <w:r>
        <w:rPr>
          <w:rFonts w:ascii="Calibri" w:hAnsi="Calibri"/>
          <w:color w:val="1F2933"/>
        </w:rPr>
        <w:t xml:space="preserve"> validar rastreo, indexación, canonical y eventos de CTA.</w:t>
      </w:r>
    </w:p>
    <w:p>
      <w:pPr>
        <w:numPr>
          <w:ilvl w:val="0"/>
          <w:numId w:val="10"/>
        </w:numPr>
        <w:spacing w:before="0" w:after="160" w:lineRule="auto" w:line="280"/>
      </w:pPr>
      <w:r>
        <w:rPr>
          <w:rFonts w:ascii="Calibri" w:hAnsi="Calibri"/>
          <w:b/>
          <w:color w:val="1F2933"/>
        </w:rPr>
        <w:t>Días 30, 60 y 90:</w:t>
      </w:r>
      <w:r>
        <w:rPr>
          <w:rFonts w:ascii="Calibri" w:hAnsi="Calibri"/>
          <w:color w:val="1F2933"/>
        </w:rPr>
        <w:t xml:space="preserve"> comparar impresiones, consultas, clics, posiciones, interacción y CTR del CTA.</w:t>
      </w:r>
    </w:p>
    <w:p>
      <w:pPr>
        <w:numPr>
          <w:ilvl w:val="0"/>
          <w:numId w:val="10"/>
        </w:numPr>
        <w:spacing w:before="0" w:after="160" w:lineRule="auto" w:line="280"/>
      </w:pPr>
      <w:r>
        <w:rPr>
          <w:rFonts w:ascii="Calibri" w:hAnsi="Calibri"/>
          <w:b/>
          <w:color w:val="1F2933"/>
        </w:rPr>
        <w:t>Después de 90 días:</w:t>
      </w:r>
      <w:r>
        <w:rPr>
          <w:rFonts w:ascii="Calibri" w:hAnsi="Calibri"/>
          <w:color w:val="1F2933"/>
        </w:rPr>
        <w:t xml:space="preserve"> actualizar secciones según consultas reales, páginas competidoras y comportamiento del lector.</w:t>
      </w:r>
    </w:p>
    <w:p>
      <w:pPr>
        <w:pStyle w:val="Heading1"/>
        <w:keepNext/>
      </w:pPr>
      <w:r>
        <w:t>10. Riesgos y guardrails</w:t>
      </w:r>
    </w:p>
    <w:p>
      <w:pPr>
        <w:numPr>
          <w:ilvl w:val="0"/>
          <w:numId w:val="10"/>
        </w:numPr>
        <w:spacing w:before="0" w:after="160" w:lineRule="auto" w:line="280"/>
      </w:pPr>
      <w:r>
        <w:rPr>
          <w:rFonts w:ascii="Calibri" w:hAnsi="Calibri"/>
          <w:b/>
          <w:color w:val="1F2933"/>
        </w:rPr>
        <w:t>No sumar</w:t>
      </w:r>
      <w:r>
        <w:rPr>
          <w:rFonts w:ascii="Calibri" w:hAnsi="Calibri"/>
          <w:color w:val="1F2933"/>
        </w:rPr>
        <w:t xml:space="preserve"> las dos keywords de 5,000 como si fueran 10,000 usuarios distintos.</w:t>
      </w:r>
    </w:p>
    <w:p>
      <w:pPr>
        <w:numPr>
          <w:ilvl w:val="0"/>
          <w:numId w:val="10"/>
        </w:numPr>
        <w:spacing w:before="0" w:after="160" w:lineRule="auto" w:line="280"/>
      </w:pPr>
      <w:r>
        <w:rPr>
          <w:rFonts w:ascii="Calibri" w:hAnsi="Calibri"/>
          <w:b/>
          <w:color w:val="1F2933"/>
        </w:rPr>
        <w:t>No crear 26 páginas</w:t>
      </w:r>
      <w:r>
        <w:rPr>
          <w:rFonts w:ascii="Calibri" w:hAnsi="Calibri"/>
          <w:color w:val="1F2933"/>
        </w:rPr>
        <w:t xml:space="preserve"> para 26 variantes: la superposición SERP indica que pertenecen al mismo tema principal.</w:t>
      </w:r>
    </w:p>
    <w:p>
      <w:pPr>
        <w:numPr>
          <w:ilvl w:val="0"/>
          <w:numId w:val="10"/>
        </w:numPr>
        <w:spacing w:before="0" w:after="160" w:lineRule="auto" w:line="280"/>
      </w:pPr>
      <w:r>
        <w:rPr>
          <w:rFonts w:ascii="Calibri" w:hAnsi="Calibri"/>
          <w:b/>
          <w:color w:val="1F2933"/>
        </w:rPr>
        <w:t>No repetir keywords</w:t>
      </w:r>
      <w:r>
        <w:rPr>
          <w:rFonts w:ascii="Calibri" w:hAnsi="Calibri"/>
          <w:color w:val="1F2933"/>
        </w:rPr>
        <w:t xml:space="preserve"> de forma mecánica ni sacrificar la voz de Ashley para buscar densidad.</w:t>
      </w:r>
    </w:p>
    <w:p>
      <w:pPr>
        <w:numPr>
          <w:ilvl w:val="0"/>
          <w:numId w:val="10"/>
        </w:numPr>
        <w:spacing w:before="0" w:after="160" w:lineRule="auto" w:line="280"/>
      </w:pPr>
      <w:r>
        <w:rPr>
          <w:rFonts w:ascii="Calibri" w:hAnsi="Calibri"/>
          <w:b/>
          <w:color w:val="1F2933"/>
        </w:rPr>
        <w:t>No presentar Rebuilding Reverence</w:t>
      </w:r>
      <w:r>
        <w:rPr>
          <w:rFonts w:ascii="Calibri" w:hAnsi="Calibri"/>
          <w:color w:val="1F2933"/>
        </w:rPr>
        <w:t xml:space="preserve"> como tratamiento clínico ni prometer curar trauma religioso.</w:t>
      </w:r>
    </w:p>
    <w:p>
      <w:pPr>
        <w:numPr>
          <w:ilvl w:val="0"/>
          <w:numId w:val="10"/>
        </w:numPr>
        <w:spacing w:before="0" w:after="160" w:lineRule="auto" w:line="280"/>
      </w:pPr>
      <w:r>
        <w:rPr>
          <w:rFonts w:ascii="Calibri" w:hAnsi="Calibri"/>
          <w:b/>
          <w:color w:val="1F2933"/>
        </w:rPr>
        <w:t>No publicar una traducción automática</w:t>
      </w:r>
      <w:r>
        <w:rPr>
          <w:rFonts w:ascii="Calibri" w:hAnsi="Calibri"/>
          <w:color w:val="1F2933"/>
        </w:rPr>
        <w:t xml:space="preserve"> como equivalente en español.</w:t>
      </w:r>
    </w:p>
    <w:p>
      <w:pPr>
        <w:pStyle w:val="Heading1"/>
        <w:keepNext/>
      </w:pPr>
      <w:r>
        <w:t>11. Próximas decisiones</w:t>
      </w:r>
    </w:p>
    <w:p>
      <w:pPr>
        <w:numPr>
          <w:ilvl w:val="0"/>
          <w:numId w:val="12"/>
        </w:numPr>
        <w:spacing w:before="0" w:after="160" w:lineRule="auto" w:line="280"/>
      </w:pPr>
      <w:r>
        <w:rPr>
          <w:rFonts w:ascii="Calibri" w:hAnsi="Calibri"/>
          <w:b/>
          <w:color w:val="1F2933"/>
        </w:rPr>
        <w:t>Aprobar</w:t>
      </w:r>
      <w:r>
        <w:rPr>
          <w:rFonts w:ascii="Calibri" w:hAnsi="Calibri"/>
          <w:color w:val="1F2933"/>
        </w:rPr>
        <w:t xml:space="preserve"> URL, H1, title tag y propósito de la página.</w:t>
      </w:r>
    </w:p>
    <w:p>
      <w:pPr>
        <w:numPr>
          <w:ilvl w:val="0"/>
          <w:numId w:val="12"/>
        </w:numPr>
        <w:spacing w:before="0" w:after="160" w:lineRule="auto" w:line="280"/>
      </w:pPr>
      <w:r>
        <w:rPr>
          <w:rFonts w:ascii="Calibri" w:hAnsi="Calibri"/>
          <w:b/>
          <w:color w:val="1F2933"/>
        </w:rPr>
        <w:t>Confirmar</w:t>
      </w:r>
      <w:r>
        <w:rPr>
          <w:rFonts w:ascii="Calibri" w:hAnsi="Calibri"/>
          <w:color w:val="1F2933"/>
        </w:rPr>
        <w:t xml:space="preserve"> qué experiencias, lenguaje y límites editoriales Ashley quiere incluir.</w:t>
      </w:r>
    </w:p>
    <w:p>
      <w:pPr>
        <w:numPr>
          <w:ilvl w:val="0"/>
          <w:numId w:val="12"/>
        </w:numPr>
        <w:spacing w:before="0" w:after="160" w:lineRule="auto" w:line="280"/>
      </w:pPr>
      <w:r>
        <w:rPr>
          <w:rFonts w:ascii="Calibri" w:hAnsi="Calibri"/>
          <w:b/>
          <w:color w:val="1F2933"/>
        </w:rPr>
        <w:t>Validar</w:t>
      </w:r>
      <w:r>
        <w:rPr>
          <w:rFonts w:ascii="Calibri" w:hAnsi="Calibri"/>
          <w:color w:val="1F2933"/>
        </w:rPr>
        <w:t xml:space="preserve"> que Rebuilding Reverence aborda honestamente religious harm/trauma antes de usar esa formulación en la página de venta.</w:t>
      </w:r>
    </w:p>
    <w:p>
      <w:pPr>
        <w:numPr>
          <w:ilvl w:val="0"/>
          <w:numId w:val="12"/>
        </w:numPr>
        <w:spacing w:before="0" w:after="160" w:lineRule="auto" w:line="280"/>
      </w:pPr>
      <w:r>
        <w:rPr>
          <w:rFonts w:ascii="Calibri" w:hAnsi="Calibri"/>
          <w:b/>
          <w:color w:val="1F2933"/>
        </w:rPr>
        <w:t>Redactar</w:t>
      </w:r>
      <w:r>
        <w:rPr>
          <w:rFonts w:ascii="Calibri" w:hAnsi="Calibri"/>
          <w:color w:val="1F2933"/>
        </w:rPr>
        <w:t xml:space="preserve"> el brief editorial completo y luego el primer borrador en inglés.</w:t>
      </w:r>
    </w:p>
    <w:p>
      <w:pPr>
        <w:numPr>
          <w:ilvl w:val="0"/>
          <w:numId w:val="12"/>
        </w:numPr>
        <w:spacing w:before="0" w:after="160" w:lineRule="auto" w:line="280"/>
      </w:pPr>
      <w:r>
        <w:rPr>
          <w:rFonts w:ascii="Calibri" w:hAnsi="Calibri"/>
          <w:b/>
          <w:color w:val="1F2933"/>
        </w:rPr>
        <w:t>Implementar</w:t>
      </w:r>
      <w:r>
        <w:rPr>
          <w:rFonts w:ascii="Calibri" w:hAnsi="Calibri"/>
          <w:color w:val="1F2933"/>
        </w:rPr>
        <w:t xml:space="preserve"> metadata, schema apropiado, enlaces internos y medición.</w:t>
      </w:r>
    </w:p>
    <w:p>
      <w:r>
        <w:br w:type="page"/>
      </w:r>
    </w:p>
    <w:p>
      <w:pPr>
        <w:pStyle w:val="Heading1"/>
        <w:keepNext/>
      </w:pPr>
      <w:r>
        <w:t>Anexo A. Lista completa de keywords</w:t>
      </w:r>
    </w:p>
    <w:p>
      <w:pPr>
        <w:spacing w:before="0" w:after="120" w:lineRule="auto" w:line="264"/>
      </w:pPr>
      <w:r>
        <w:rPr>
          <w:rFonts w:ascii="Calibri" w:hAnsi="Calibri"/>
          <w:color w:val="1F2933"/>
        </w:rPr>
        <w:t>Las siguientes 28 keywords se presentan en el mismo orden estratégico del Excel complementario. El volumen corresponde al promedio mensual informado por Keyword Planner para Estados Unidos, con idioma configurado como “Todos los idiomas”.</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160"/>
        <w:gridCol w:w="1100"/>
        <w:gridCol w:w="2200"/>
        <w:gridCol w:w="1900"/>
      </w:tblGrid>
      <w:tr>
        <w:trPr>
          <w:tblHeader w:val="true"/>
        </w:trPr>
        <w:tc>
          <w:tcPr>
            <w:tcW w:type="dxa" w:w="41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6"/>
              </w:rPr>
              <w:t>Keyword</w:t>
            </w:r>
          </w:p>
        </w:tc>
        <w:tc>
          <w:tcPr>
            <w:tcW w:type="dxa" w:w="1100"/>
            <w:tcMar>
              <w:top w:w="80" w:type="dxa"/>
              <w:start w:w="120" w:type="dxa"/>
              <w:bottom w:w="80" w:type="dxa"/>
              <w:end w:w="120" w:type="dxa"/>
            </w:tcMar>
            <w:vAlign w:val="center"/>
            <w:shd w:fill="F2F4F7" w:val="clear"/>
          </w:tcPr>
          <w:p>
            <w:pPr>
              <w:spacing w:before="0" w:after="0" w:lineRule="auto" w:line="240"/>
              <w:jc w:val="center"/>
            </w:pPr>
            <w:r>
              <w:rPr>
                <w:rFonts w:ascii="Calibri" w:hAnsi="Calibri"/>
                <w:b/>
                <w:color w:val="1F4D78"/>
                <w:sz w:val="16"/>
              </w:rPr>
              <w:t>Volumen</w:t>
            </w:r>
          </w:p>
        </w:tc>
        <w:tc>
          <w:tcPr>
            <w:tcW w:type="dxa" w:w="22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6"/>
              </w:rPr>
              <w:t>Intención</w:t>
            </w:r>
          </w:p>
        </w:tc>
        <w:tc>
          <w:tcPr>
            <w:tcW w:type="dxa" w:w="19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6"/>
              </w:rPr>
              <w:t>Destino</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faith deconstruction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of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religion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faith deconstruction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religious deconstruction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deconstructing faith mean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it mean to deconstruct your faith</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a deconstructed christian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christian deconstruction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in christianity</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religious deconstruction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church</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in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faith deconstruction meaning</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deconstructing christianity mean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deconstructing your faith mean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deconstruction mean in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deconstruction of faith mean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deconstructing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deconstructing religion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deconstructing your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in religion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of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the deconstruction movement in christianity</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Informativa</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of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Mixta: informativa + comercial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Pilar · uso natural</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religious trauma workbook</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Comercial/transaccional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Rebuilding Reverence</w:t>
            </w:r>
          </w:p>
        </w:tc>
      </w:tr>
    </w:tbl>
    <w:p>
      <w:pPr>
        <w:spacing w:before="0" w:after="40" w:lineRule="auto" w:line="264"/>
      </w:pPr>
    </w:p>
    <w:p>
      <w:pPr>
        <w:pStyle w:val="Heading1"/>
        <w:keepNext/>
      </w:pPr>
      <w:r>
        <w:t>Anexo B. Notas metodológicas</w:t>
      </w:r>
    </w:p>
    <w:p>
      <w:pPr>
        <w:numPr>
          <w:ilvl w:val="0"/>
          <w:numId w:val="10"/>
        </w:numPr>
        <w:spacing w:before="0" w:after="160" w:lineRule="auto" w:line="280"/>
      </w:pPr>
      <w:r>
        <w:rPr>
          <w:rFonts w:ascii="Calibri" w:hAnsi="Calibri"/>
          <w:b/>
          <w:color w:val="1F2933"/>
        </w:rPr>
        <w:t>Keyword Planner:</w:t>
      </w:r>
      <w:r>
        <w:rPr>
          <w:rFonts w:ascii="Calibri" w:hAnsi="Calibri"/>
          <w:color w:val="1F2933"/>
        </w:rPr>
        <w:t xml:space="preserve"> periodo julio de 2025 a junio de 2026; mercado Estados Unidos; idioma “Todos los idiomas”.</w:t>
      </w:r>
    </w:p>
    <w:p>
      <w:pPr>
        <w:numPr>
          <w:ilvl w:val="0"/>
          <w:numId w:val="10"/>
        </w:numPr>
        <w:spacing w:before="0" w:after="160" w:lineRule="auto" w:line="280"/>
      </w:pPr>
      <w:r>
        <w:rPr>
          <w:rFonts w:ascii="Calibri" w:hAnsi="Calibri"/>
          <w:b/>
          <w:color w:val="1F2933"/>
        </w:rPr>
        <w:t>Laboratorio SERP:</w:t>
      </w:r>
      <w:r>
        <w:rPr>
          <w:rFonts w:ascii="Calibri" w:hAnsi="Calibri"/>
          <w:color w:val="1F2933"/>
        </w:rPr>
        <w:t xml:space="preserve"> búsquedas en Estados Unidos, en inglés y con personalización desactivada; cada consulta se revisó en una sesión nueva.</w:t>
      </w:r>
    </w:p>
    <w:p>
      <w:pPr>
        <w:numPr>
          <w:ilvl w:val="0"/>
          <w:numId w:val="10"/>
        </w:numPr>
        <w:spacing w:before="0" w:after="160" w:lineRule="auto" w:line="280"/>
      </w:pPr>
      <w:r>
        <w:rPr>
          <w:rFonts w:ascii="Calibri" w:hAnsi="Calibri"/>
          <w:b/>
          <w:color w:val="1F2933"/>
        </w:rPr>
        <w:t>Agrupación:</w:t>
      </w:r>
      <w:r>
        <w:rPr>
          <w:rFonts w:ascii="Calibri" w:hAnsi="Calibri"/>
          <w:color w:val="1F2933"/>
        </w:rPr>
        <w:t xml:space="preserve"> se compararon URLs orgánicas compartidas y la intención visible de los resultados. “what is faith deconstruction” se utilizó como referencia SERP por su capacidad comparativa, no por ser la keyword de mayor volumen.</w:t>
      </w:r>
    </w:p>
    <w:p>
      <w:pPr>
        <w:numPr>
          <w:ilvl w:val="0"/>
          <w:numId w:val="10"/>
        </w:numPr>
        <w:spacing w:before="0" w:after="160" w:lineRule="auto" w:line="280"/>
      </w:pPr>
      <w:r>
        <w:rPr>
          <w:rFonts w:ascii="Calibri" w:hAnsi="Calibri"/>
          <w:b/>
          <w:color w:val="1F2933"/>
        </w:rPr>
        <w:t>Los volúmenes</w:t>
      </w:r>
      <w:r>
        <w:rPr>
          <w:rFonts w:ascii="Calibri" w:hAnsi="Calibri"/>
          <w:color w:val="1F2933"/>
        </w:rPr>
        <w:t xml:space="preserve"> son estimaciones agregadas y redondeadas; deben usarse para priorizar, no como pronóstico exacto de tráfico.</w:t>
      </w:r>
    </w:p>
    <w:p>
      <w:pPr>
        <w:pStyle w:val="Heading1"/>
        <w:keepNext/>
      </w:pPr>
      <w:r>
        <w:t>Fuentes y archivos de apoyo</w:t>
      </w:r>
    </w:p>
    <w:p>
      <w:pPr>
        <w:spacing w:before="0" w:after="120" w:lineRule="auto" w:line="264"/>
      </w:pPr>
      <w:r>
        <w:rPr>
          <w:rFonts w:ascii="Calibri" w:hAnsi="Calibri"/>
          <w:color w:val="1F2933"/>
        </w:rPr>
        <w:t>Archivo complementario: ashley-leon-keywords-clasificadas-agrupadas.xlsx</w:t>
      </w:r>
    </w:p>
    <w:p>
      <w:pPr>
        <w:spacing w:before="0" w:after="80" w:lineRule="auto" w:line="264"/>
      </w:pPr>
      <w:r>
        <w:rPr>
          <w:rFonts w:ascii="Calibri" w:hAnsi="Calibri"/>
          <w:color w:val="1F2933"/>
        </w:rPr>
        <w:t xml:space="preserve">Google Search Central — Creating helpful, reliable, people-first content: </w:t>
      </w:r>
      <w:hyperlink r:id="rId11">
        <w:r>
          <w:rPr>
            <w:rFonts w:ascii="Calibri" w:hAnsi="Calibri"/>
            <w:color w:val="2E74B5"/>
            <w:u w:val="single"/>
          </w:rPr>
          <w:t>developers.google.com/search/docs/fundamentals/creating-helpful-content</w:t>
        </w:r>
      </w:hyperlink>
    </w:p>
    <w:p>
      <w:pPr>
        <w:spacing w:before="0" w:after="80" w:lineRule="auto" w:line="264"/>
      </w:pPr>
      <w:r>
        <w:rPr>
          <w:rFonts w:ascii="Calibri" w:hAnsi="Calibri"/>
          <w:color w:val="1F2933"/>
        </w:rPr>
        <w:t xml:space="preserve">Google Search Central — Make your links crawlable: </w:t>
      </w:r>
      <w:hyperlink r:id="rId12">
        <w:r>
          <w:rPr>
            <w:rFonts w:ascii="Calibri" w:hAnsi="Calibri"/>
            <w:color w:val="2E74B5"/>
            <w:u w:val="single"/>
          </w:rPr>
          <w:t>developers.google.com/search/docs/crawling-indexing/links-crawlable</w:t>
        </w:r>
      </w:hyperlink>
    </w:p>
    <w:p>
      <w:pPr>
        <w:spacing w:before="0" w:after="80" w:lineRule="auto" w:line="264"/>
      </w:pPr>
      <w:r>
        <w:rPr>
          <w:rFonts w:ascii="Calibri" w:hAnsi="Calibri"/>
          <w:color w:val="1F2933"/>
        </w:rPr>
        <w:t xml:space="preserve">Google Search Central — Localized versions of your pages: </w:t>
      </w:r>
      <w:hyperlink r:id="rId13">
        <w:r>
          <w:rPr>
            <w:rFonts w:ascii="Calibri" w:hAnsi="Calibri"/>
            <w:color w:val="2E74B5"/>
            <w:u w:val="single"/>
          </w:rPr>
          <w:t>developers.google.com/search/docs/specialty/international/localized-versions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jc w:val="left"/>
    </w:pPr>
    <w:r>
      <w:rPr>
        <w:rFonts w:ascii="Calibri" w:hAnsi="Calibri"/>
        <w:b/>
        <w:color w:val="5B6573"/>
        <w:sz w:val="17"/>
      </w:rPr>
      <w:t>ASHLEY LEON  |  SEO CONTENT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Rule="auto" w:line="2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4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crawling-indexing/links-crawlable" TargetMode="External"/><Relationship Id="rId13" Type="http://schemas.openxmlformats.org/officeDocument/2006/relationships/hyperlink" Target="https://developers.google.com/search/docs/specialty/international/localized-ver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SEO — Deconstructing Christianity</dc:title>
  <dc:subject>Brief ejecutivo para la página pilar /en/deconstructing-christianity</dc:subject>
  <dc:creator>Ashley Leon SEO Strategy</dc:creator>
  <cp:keywords>SEO, deconstructing christianity, faith deconstruction, Ashley Leon</cp:keywords>
  <dc:description>Preparado a partir del análisis de Keyword Planner y laboratorio SERP del 12 de julio de 2026.</dc:description>
  <cp:lastModifiedBy/>
  <cp:revision>1</cp:revision>
  <dcterms:created xsi:type="dcterms:W3CDTF">2013-12-23T23:15:00Z</dcterms:created>
  <dcterms:modified xsi:type="dcterms:W3CDTF">2013-12-23T23:15:00Z</dcterms:modified>
  <cp:category/>
</cp:coreProperties>
</file>