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94D46" w14:textId="68995C75" w:rsidR="000D1AB7" w:rsidRPr="00ED341A" w:rsidRDefault="00C52E3C" w:rsidP="00ED341A">
      <w:pPr>
        <w:pBdr>
          <w:bottom w:val="single" w:sz="6" w:space="1" w:color="auto"/>
        </w:pBdr>
        <w:spacing w:line="360" w:lineRule="auto"/>
        <w:jc w:val="center"/>
        <w:rPr>
          <w:rFonts w:ascii="Times New Roman" w:hAnsi="Times New Roman" w:cs="Times New Roman"/>
          <w:b/>
        </w:rPr>
      </w:pPr>
      <w:r w:rsidRPr="00ED341A">
        <w:rPr>
          <w:rFonts w:ascii="Times New Roman" w:hAnsi="Times New Roman" w:cs="Times New Roman"/>
          <w:b/>
        </w:rPr>
        <w:t>CLST1201 – Written Assignment 2</w:t>
      </w:r>
    </w:p>
    <w:p w14:paraId="536BC0FC" w14:textId="77777777" w:rsidR="000E467D" w:rsidRDefault="000E467D" w:rsidP="00ED341A">
      <w:pPr>
        <w:spacing w:line="360" w:lineRule="auto"/>
        <w:rPr>
          <w:rFonts w:ascii="Times New Roman" w:hAnsi="Times New Roman" w:cs="Times New Roman"/>
          <w:b/>
        </w:rPr>
      </w:pPr>
    </w:p>
    <w:p w14:paraId="10793AB4" w14:textId="4FD5AD72" w:rsidR="00B76401" w:rsidRPr="00ED341A" w:rsidRDefault="000D1AB7" w:rsidP="00ED341A">
      <w:pPr>
        <w:spacing w:line="360" w:lineRule="auto"/>
        <w:rPr>
          <w:rFonts w:ascii="Times New Roman" w:hAnsi="Times New Roman" w:cs="Times New Roman"/>
          <w:b/>
          <w:bCs/>
        </w:rPr>
      </w:pPr>
      <w:r w:rsidRPr="00ED341A">
        <w:rPr>
          <w:rFonts w:ascii="Times New Roman" w:hAnsi="Times New Roman" w:cs="Times New Roman"/>
          <w:b/>
          <w:bCs/>
        </w:rPr>
        <w:t>Hypothesis</w:t>
      </w:r>
    </w:p>
    <w:p w14:paraId="12B28A38" w14:textId="7D7B2F80" w:rsidR="00B76401" w:rsidRPr="00ED341A" w:rsidRDefault="000D1AB7" w:rsidP="00ED341A">
      <w:pPr>
        <w:spacing w:line="360" w:lineRule="auto"/>
        <w:rPr>
          <w:rFonts w:ascii="Times New Roman" w:hAnsi="Times New Roman" w:cs="Times New Roman"/>
        </w:rPr>
      </w:pPr>
      <w:r w:rsidRPr="00ED341A">
        <w:rPr>
          <w:rFonts w:ascii="Times New Roman" w:hAnsi="Times New Roman" w:cs="Times New Roman"/>
        </w:rPr>
        <w:t xml:space="preserve">My primary hypothesis is that the poll tax was paid at a predetermined time during the year and was not collected simply when the state needed funding. Specifically, I believe the poll tax was collected shortly after harvest season, which in Roman-Egypt was during the </w:t>
      </w:r>
      <w:r w:rsidR="00165090" w:rsidRPr="00ED341A">
        <w:rPr>
          <w:rFonts w:ascii="Times New Roman" w:hAnsi="Times New Roman" w:cs="Times New Roman"/>
        </w:rPr>
        <w:t>fall (September, October, November)</w:t>
      </w:r>
      <w:r w:rsidRPr="00ED341A">
        <w:rPr>
          <w:rFonts w:ascii="Times New Roman" w:hAnsi="Times New Roman" w:cs="Times New Roman"/>
        </w:rPr>
        <w:t xml:space="preserve">. </w:t>
      </w:r>
      <w:r w:rsidR="00165090" w:rsidRPr="00ED341A">
        <w:rPr>
          <w:rFonts w:ascii="Times New Roman" w:hAnsi="Times New Roman" w:cs="Times New Roman"/>
        </w:rPr>
        <w:t xml:space="preserve">This hypothesis comes from my belief </w:t>
      </w:r>
      <w:r w:rsidRPr="00ED341A">
        <w:rPr>
          <w:rFonts w:ascii="Times New Roman" w:hAnsi="Times New Roman" w:cs="Times New Roman"/>
        </w:rPr>
        <w:t xml:space="preserve">that farmers </w:t>
      </w:r>
      <w:r w:rsidR="00165090" w:rsidRPr="00ED341A">
        <w:rPr>
          <w:rFonts w:ascii="Times New Roman" w:hAnsi="Times New Roman" w:cs="Times New Roman"/>
        </w:rPr>
        <w:t xml:space="preserve">at this time </w:t>
      </w:r>
      <w:r w:rsidRPr="00ED341A">
        <w:rPr>
          <w:rFonts w:ascii="Times New Roman" w:hAnsi="Times New Roman" w:cs="Times New Roman"/>
        </w:rPr>
        <w:t xml:space="preserve">had more liquidity and there was therefore a greater possibility that they could pay </w:t>
      </w:r>
      <w:r w:rsidR="00165090" w:rsidRPr="00ED341A">
        <w:rPr>
          <w:rFonts w:ascii="Times New Roman" w:hAnsi="Times New Roman" w:cs="Times New Roman"/>
        </w:rPr>
        <w:t>their</w:t>
      </w:r>
      <w:r w:rsidRPr="00ED341A">
        <w:rPr>
          <w:rFonts w:ascii="Times New Roman" w:hAnsi="Times New Roman" w:cs="Times New Roman"/>
        </w:rPr>
        <w:t xml:space="preserve"> tax. </w:t>
      </w:r>
    </w:p>
    <w:p w14:paraId="14A9425B" w14:textId="33157CAF" w:rsidR="00165090" w:rsidRPr="00ED341A" w:rsidRDefault="003527A8" w:rsidP="00ED341A">
      <w:pPr>
        <w:spacing w:line="360" w:lineRule="auto"/>
        <w:rPr>
          <w:rFonts w:ascii="Times New Roman" w:hAnsi="Times New Roman" w:cs="Times New Roman"/>
        </w:rPr>
      </w:pPr>
      <w:r w:rsidRPr="00ED341A">
        <w:rPr>
          <w:rFonts w:ascii="Times New Roman" w:hAnsi="Times New Roman" w:cs="Times New Roman"/>
        </w:rPr>
        <w:t xml:space="preserve">My second hypothesis is that the time of year when the poll tax was paid remained relatively consistent across the period of 50 BCE to 200 CE—the focus of my study. This hypothesis is </w:t>
      </w:r>
      <w:proofErr w:type="gramStart"/>
      <w:r w:rsidRPr="00ED341A">
        <w:rPr>
          <w:rFonts w:ascii="Times New Roman" w:hAnsi="Times New Roman" w:cs="Times New Roman"/>
        </w:rPr>
        <w:t>based on the fact that</w:t>
      </w:r>
      <w:proofErr w:type="gramEnd"/>
      <w:r w:rsidRPr="00ED341A">
        <w:rPr>
          <w:rFonts w:ascii="Times New Roman" w:hAnsi="Times New Roman" w:cs="Times New Roman"/>
        </w:rPr>
        <w:t xml:space="preserve"> the first and second centuries in Roman Egypt were politically stable; accordingly, I assume that taxation policy would also remain stable during that period.</w:t>
      </w:r>
    </w:p>
    <w:p w14:paraId="4C7A933E" w14:textId="77777777" w:rsidR="003527A8" w:rsidRPr="00ED341A" w:rsidRDefault="003527A8" w:rsidP="00ED341A">
      <w:pPr>
        <w:spacing w:line="360" w:lineRule="auto"/>
        <w:rPr>
          <w:rFonts w:ascii="Times New Roman" w:hAnsi="Times New Roman" w:cs="Times New Roman"/>
        </w:rPr>
      </w:pPr>
    </w:p>
    <w:p w14:paraId="318326D4" w14:textId="7407A886" w:rsidR="000D1AB7" w:rsidRPr="00ED341A" w:rsidRDefault="000D1AB7" w:rsidP="00ED341A">
      <w:pPr>
        <w:spacing w:line="360" w:lineRule="auto"/>
        <w:rPr>
          <w:rFonts w:ascii="Times New Roman" w:hAnsi="Times New Roman" w:cs="Times New Roman"/>
          <w:b/>
          <w:bCs/>
        </w:rPr>
      </w:pPr>
      <w:r w:rsidRPr="00ED341A">
        <w:rPr>
          <w:rFonts w:ascii="Times New Roman" w:hAnsi="Times New Roman" w:cs="Times New Roman"/>
          <w:b/>
          <w:bCs/>
        </w:rPr>
        <w:t>Extenuating factors that make it difficult to test the hypothesis</w:t>
      </w:r>
    </w:p>
    <w:p w14:paraId="425837F5" w14:textId="7BC9CF5F" w:rsidR="003527A8" w:rsidRPr="00ED341A" w:rsidRDefault="003527A8" w:rsidP="00ED341A">
      <w:pPr>
        <w:spacing w:line="360" w:lineRule="auto"/>
        <w:rPr>
          <w:rFonts w:ascii="Times New Roman" w:hAnsi="Times New Roman" w:cs="Times New Roman"/>
        </w:rPr>
      </w:pPr>
      <w:r w:rsidRPr="00ED341A">
        <w:rPr>
          <w:rFonts w:ascii="Times New Roman" w:hAnsi="Times New Roman" w:cs="Times New Roman"/>
        </w:rPr>
        <w:t xml:space="preserve">In </w:t>
      </w:r>
      <w:r w:rsidRPr="00ED341A">
        <w:rPr>
          <w:rFonts w:ascii="Times New Roman" w:hAnsi="Times New Roman" w:cs="Times New Roman"/>
          <w:i/>
          <w:iCs/>
        </w:rPr>
        <w:t>Written Assignment 1</w:t>
      </w:r>
      <w:r w:rsidRPr="00ED341A">
        <w:rPr>
          <w:rFonts w:ascii="Times New Roman" w:hAnsi="Times New Roman" w:cs="Times New Roman"/>
        </w:rPr>
        <w:t>, I emphasized the possibility of having only limited data specifying the exact day and month of payment. After reviewing the 353 hits, however, this concern proved less significant than expected, as 158 of the items did in fact include detailed date information.</w:t>
      </w:r>
    </w:p>
    <w:p w14:paraId="2DA2AB33" w14:textId="043DFE7A" w:rsidR="00864253" w:rsidRPr="00ED341A" w:rsidRDefault="003527A8" w:rsidP="00ED341A">
      <w:pPr>
        <w:spacing w:line="360" w:lineRule="auto"/>
        <w:rPr>
          <w:rFonts w:ascii="Times New Roman" w:hAnsi="Times New Roman" w:cs="Times New Roman"/>
        </w:rPr>
      </w:pPr>
      <w:r w:rsidRPr="00ED341A">
        <w:rPr>
          <w:rFonts w:ascii="Times New Roman" w:hAnsi="Times New Roman" w:cs="Times New Roman"/>
        </w:rPr>
        <w:t xml:space="preserve">Nevertheless, one major challenge to testing my first hypothesis is the variation in harvest periods across different regions of Roman Egypt. Simply assuming that all crops were harvested in the fall could be too broad of an assumption. Moving forward, I need more information about the types of crops grown in Roman Egypt between 50 BCE and 200 CE and their respective harvest seasons. If only one crop type dominated farming, I could potentially assign a single harvest window to that crop and compare it to the poll tax data. However, if multiple crops were cultivated with different harvests, it will be difficult to pinpoint a </w:t>
      </w:r>
      <w:r w:rsidR="000E467D">
        <w:rPr>
          <w:rFonts w:ascii="Times New Roman" w:hAnsi="Times New Roman" w:cs="Times New Roman"/>
        </w:rPr>
        <w:t>specific</w:t>
      </w:r>
      <w:r w:rsidRPr="00ED341A">
        <w:rPr>
          <w:rFonts w:ascii="Times New Roman" w:hAnsi="Times New Roman" w:cs="Times New Roman"/>
        </w:rPr>
        <w:t xml:space="preserve"> harvest season, making it challenging to link harvest liquidity conclusively to the timing of poll tax payments.</w:t>
      </w:r>
    </w:p>
    <w:p w14:paraId="18307AEB" w14:textId="77777777" w:rsidR="000E467D" w:rsidRDefault="000E467D" w:rsidP="00ED341A">
      <w:pPr>
        <w:spacing w:line="360" w:lineRule="auto"/>
        <w:rPr>
          <w:rFonts w:ascii="Times New Roman" w:hAnsi="Times New Roman" w:cs="Times New Roman"/>
          <w:b/>
          <w:bCs/>
        </w:rPr>
      </w:pPr>
    </w:p>
    <w:p w14:paraId="661166E6" w14:textId="77777777" w:rsidR="000E467D" w:rsidRDefault="000E467D" w:rsidP="00ED341A">
      <w:pPr>
        <w:spacing w:line="360" w:lineRule="auto"/>
        <w:rPr>
          <w:rFonts w:ascii="Times New Roman" w:hAnsi="Times New Roman" w:cs="Times New Roman"/>
          <w:b/>
          <w:bCs/>
        </w:rPr>
      </w:pPr>
    </w:p>
    <w:p w14:paraId="7B49B292" w14:textId="16E83A4D" w:rsidR="00864253" w:rsidRPr="00ED341A" w:rsidRDefault="00864253" w:rsidP="00ED341A">
      <w:pPr>
        <w:spacing w:line="360" w:lineRule="auto"/>
        <w:rPr>
          <w:rFonts w:ascii="Times New Roman" w:hAnsi="Times New Roman" w:cs="Times New Roman"/>
          <w:b/>
          <w:bCs/>
        </w:rPr>
      </w:pPr>
      <w:r w:rsidRPr="00ED341A">
        <w:rPr>
          <w:rFonts w:ascii="Times New Roman" w:hAnsi="Times New Roman" w:cs="Times New Roman"/>
          <w:b/>
          <w:bCs/>
        </w:rPr>
        <w:lastRenderedPageBreak/>
        <w:t>Analysis</w:t>
      </w:r>
    </w:p>
    <w:p w14:paraId="50A48582" w14:textId="1B674AE7" w:rsidR="00864253" w:rsidRPr="00ED341A" w:rsidRDefault="00864253" w:rsidP="00ED341A">
      <w:pPr>
        <w:spacing w:line="360" w:lineRule="auto"/>
        <w:rPr>
          <w:rFonts w:ascii="Times New Roman" w:hAnsi="Times New Roman" w:cs="Times New Roman"/>
        </w:rPr>
      </w:pPr>
      <w:r w:rsidRPr="00ED341A">
        <w:rPr>
          <w:rFonts w:ascii="Times New Roman" w:hAnsi="Times New Roman" w:cs="Times New Roman"/>
        </w:rPr>
        <w:t>Before I discuss the analysis and its results, I briefly present the methodology. I performed a literature search in the Papyrus.info database on April 1 (2025) with the search query shown below.</w:t>
      </w:r>
    </w:p>
    <w:p w14:paraId="464AFB79" w14:textId="6B84AEEF" w:rsidR="00864253" w:rsidRPr="00ED341A" w:rsidRDefault="00864253" w:rsidP="00ED341A">
      <w:pPr>
        <w:spacing w:line="360" w:lineRule="auto"/>
        <w:rPr>
          <w:rFonts w:ascii="Times New Roman" w:hAnsi="Times New Roman" w:cs="Times New Roman"/>
        </w:rPr>
      </w:pPr>
      <w:r w:rsidRPr="00ED341A">
        <w:rPr>
          <w:rFonts w:ascii="Times New Roman" w:hAnsi="Times New Roman" w:cs="Times New Roman"/>
          <w:noProof/>
        </w:rPr>
        <w:drawing>
          <wp:inline distT="0" distB="0" distL="0" distR="0" wp14:anchorId="5C37EC33" wp14:editId="37C4E159">
            <wp:extent cx="5943600" cy="439420"/>
            <wp:effectExtent l="0" t="0" r="0" b="5080"/>
            <wp:docPr id="10746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0441" name=""/>
                    <pic:cNvPicPr/>
                  </pic:nvPicPr>
                  <pic:blipFill>
                    <a:blip r:embed="rId7"/>
                    <a:stretch>
                      <a:fillRect/>
                    </a:stretch>
                  </pic:blipFill>
                  <pic:spPr>
                    <a:xfrm>
                      <a:off x="0" y="0"/>
                      <a:ext cx="5943600" cy="439420"/>
                    </a:xfrm>
                    <a:prstGeom prst="rect">
                      <a:avLst/>
                    </a:prstGeom>
                  </pic:spPr>
                </pic:pic>
              </a:graphicData>
            </a:graphic>
          </wp:inline>
        </w:drawing>
      </w:r>
    </w:p>
    <w:p w14:paraId="0072900A" w14:textId="39CB0C4E" w:rsidR="00500415" w:rsidRPr="00ED341A" w:rsidRDefault="00864253" w:rsidP="00ED341A">
      <w:pPr>
        <w:spacing w:line="360" w:lineRule="auto"/>
        <w:rPr>
          <w:rFonts w:ascii="Times New Roman" w:hAnsi="Times New Roman" w:cs="Times New Roman"/>
        </w:rPr>
      </w:pPr>
      <w:r w:rsidRPr="00ED341A">
        <w:rPr>
          <w:rFonts w:ascii="Times New Roman" w:hAnsi="Times New Roman" w:cs="Times New Roman"/>
        </w:rPr>
        <w:t xml:space="preserve">The search resulted in 353 hits. I extracted the day, month, and year from each result, together with their unique identifier. Notably, some hits included only month and year, just year, or a time range. This information was similarly recorded. Duplicates, clearly unrelated hits (i.e. receipts not related to a poll tax), and hits that did not include a date were excluded from further study. The resulting corpus included </w:t>
      </w:r>
      <w:r w:rsidR="00B63E5F" w:rsidRPr="00ED341A">
        <w:rPr>
          <w:rFonts w:ascii="Times New Roman" w:hAnsi="Times New Roman" w:cs="Times New Roman"/>
        </w:rPr>
        <w:t>251</w:t>
      </w:r>
      <w:r w:rsidRPr="00ED341A">
        <w:rPr>
          <w:rFonts w:ascii="Times New Roman" w:hAnsi="Times New Roman" w:cs="Times New Roman"/>
        </w:rPr>
        <w:t xml:space="preserve"> titles</w:t>
      </w:r>
      <w:r w:rsidR="00500415" w:rsidRPr="00ED341A">
        <w:rPr>
          <w:rFonts w:ascii="Times New Roman" w:hAnsi="Times New Roman" w:cs="Times New Roman"/>
        </w:rPr>
        <w:t xml:space="preserve">. </w:t>
      </w:r>
      <w:hyperlink r:id="rId8" w:history="1">
        <w:r w:rsidR="000E467D" w:rsidRPr="000E467D">
          <w:rPr>
            <w:rStyle w:val="Hyperlink"/>
            <w:rFonts w:ascii="Times New Roman" w:hAnsi="Times New Roman" w:cs="Times New Roman"/>
          </w:rPr>
          <w:t>Here is a</w:t>
        </w:r>
        <w:r w:rsidR="00500415" w:rsidRPr="000E467D">
          <w:rPr>
            <w:rStyle w:val="Hyperlink"/>
            <w:rFonts w:ascii="Times New Roman" w:hAnsi="Times New Roman" w:cs="Times New Roman"/>
          </w:rPr>
          <w:t xml:space="preserve"> link</w:t>
        </w:r>
      </w:hyperlink>
      <w:r w:rsidR="00500415" w:rsidRPr="00ED341A">
        <w:rPr>
          <w:rFonts w:ascii="Times New Roman" w:hAnsi="Times New Roman" w:cs="Times New Roman"/>
        </w:rPr>
        <w:t xml:space="preserve"> to the dataset </w:t>
      </w:r>
      <w:r w:rsidR="000E467D">
        <w:rPr>
          <w:rFonts w:ascii="Times New Roman" w:hAnsi="Times New Roman" w:cs="Times New Roman"/>
        </w:rPr>
        <w:t>used for further analysis.</w:t>
      </w:r>
    </w:p>
    <w:p w14:paraId="6C8A85AA" w14:textId="42157D02" w:rsidR="00500415" w:rsidRPr="00ED341A" w:rsidRDefault="00500415" w:rsidP="00ED341A">
      <w:pPr>
        <w:spacing w:line="360" w:lineRule="auto"/>
        <w:rPr>
          <w:rFonts w:ascii="Times New Roman" w:hAnsi="Times New Roman" w:cs="Times New Roman"/>
        </w:rPr>
      </w:pPr>
      <w:r w:rsidRPr="00ED341A">
        <w:rPr>
          <w:rFonts w:ascii="Times New Roman" w:hAnsi="Times New Roman" w:cs="Times New Roman"/>
        </w:rPr>
        <w:t xml:space="preserve">To test my </w:t>
      </w:r>
      <w:r w:rsidR="00B63E5F" w:rsidRPr="00ED341A">
        <w:rPr>
          <w:rFonts w:ascii="Times New Roman" w:hAnsi="Times New Roman" w:cs="Times New Roman"/>
        </w:rPr>
        <w:t>hypothesis,</w:t>
      </w:r>
      <w:r w:rsidRPr="00ED341A">
        <w:rPr>
          <w:rFonts w:ascii="Times New Roman" w:hAnsi="Times New Roman" w:cs="Times New Roman"/>
        </w:rPr>
        <w:t xml:space="preserve"> I performed the following analysis. </w:t>
      </w:r>
      <w:r w:rsidR="00B63E5F" w:rsidRPr="00ED341A">
        <w:rPr>
          <w:rFonts w:ascii="Times New Roman" w:hAnsi="Times New Roman" w:cs="Times New Roman"/>
        </w:rPr>
        <w:t>First, I cleaned the data. Specifically, I excluded all titles that only had a year or year range. It would not be possible to determine when during the year the poll tax was paid using yearly data</w:t>
      </w:r>
      <w:r w:rsidR="003527A8" w:rsidRPr="00ED341A">
        <w:rPr>
          <w:rFonts w:ascii="Times New Roman" w:hAnsi="Times New Roman" w:cs="Times New Roman"/>
        </w:rPr>
        <w:t>, hence its reason for exclusion.</w:t>
      </w:r>
      <w:r w:rsidR="00B63E5F" w:rsidRPr="00ED341A">
        <w:rPr>
          <w:rFonts w:ascii="Times New Roman" w:hAnsi="Times New Roman" w:cs="Times New Roman"/>
        </w:rPr>
        <w:t xml:space="preserve"> After this filtering, the dataset consisted of 158 hits.</w:t>
      </w:r>
    </w:p>
    <w:p w14:paraId="45165AFF" w14:textId="7DB0536F" w:rsidR="00D2460F" w:rsidRPr="00ED341A" w:rsidRDefault="00D2460F" w:rsidP="00ED341A">
      <w:pPr>
        <w:spacing w:line="360" w:lineRule="auto"/>
        <w:rPr>
          <w:rFonts w:ascii="Times New Roman" w:hAnsi="Times New Roman" w:cs="Times New Roman"/>
        </w:rPr>
      </w:pPr>
      <w:r w:rsidRPr="00ED341A">
        <w:rPr>
          <w:rFonts w:ascii="Times New Roman" w:hAnsi="Times New Roman" w:cs="Times New Roman"/>
        </w:rPr>
        <w:t xml:space="preserve">Please see the </w:t>
      </w:r>
      <w:hyperlink r:id="rId9" w:history="1">
        <w:r w:rsidRPr="000E467D">
          <w:rPr>
            <w:rStyle w:val="Hyperlink"/>
            <w:rFonts w:ascii="Times New Roman" w:hAnsi="Times New Roman" w:cs="Times New Roman"/>
          </w:rPr>
          <w:t xml:space="preserve">Google </w:t>
        </w:r>
        <w:proofErr w:type="spellStart"/>
        <w:r w:rsidRPr="000E467D">
          <w:rPr>
            <w:rStyle w:val="Hyperlink"/>
            <w:rFonts w:ascii="Times New Roman" w:hAnsi="Times New Roman" w:cs="Times New Roman"/>
          </w:rPr>
          <w:t>Colab</w:t>
        </w:r>
        <w:proofErr w:type="spellEnd"/>
        <w:r w:rsidRPr="000E467D">
          <w:rPr>
            <w:rStyle w:val="Hyperlink"/>
            <w:rFonts w:ascii="Times New Roman" w:hAnsi="Times New Roman" w:cs="Times New Roman"/>
          </w:rPr>
          <w:t xml:space="preserve"> Notebook </w:t>
        </w:r>
        <w:r w:rsidR="003527A8" w:rsidRPr="000E467D">
          <w:rPr>
            <w:rStyle w:val="Hyperlink"/>
            <w:rFonts w:ascii="Times New Roman" w:hAnsi="Times New Roman" w:cs="Times New Roman"/>
          </w:rPr>
          <w:t>linked to here</w:t>
        </w:r>
      </w:hyperlink>
      <w:r w:rsidR="003527A8" w:rsidRPr="00ED341A">
        <w:rPr>
          <w:rFonts w:ascii="Times New Roman" w:hAnsi="Times New Roman" w:cs="Times New Roman"/>
        </w:rPr>
        <w:t xml:space="preserve"> in </w:t>
      </w:r>
      <w:r w:rsidRPr="00ED341A">
        <w:rPr>
          <w:rFonts w:ascii="Times New Roman" w:hAnsi="Times New Roman" w:cs="Times New Roman"/>
        </w:rPr>
        <w:t>which I performed my analysis</w:t>
      </w:r>
      <w:r w:rsidR="003527A8" w:rsidRPr="00ED341A">
        <w:rPr>
          <w:rFonts w:ascii="Times New Roman" w:hAnsi="Times New Roman" w:cs="Times New Roman"/>
        </w:rPr>
        <w:t xml:space="preserve">. The notebook contains </w:t>
      </w:r>
      <w:r w:rsidRPr="00ED341A">
        <w:rPr>
          <w:rFonts w:ascii="Times New Roman" w:hAnsi="Times New Roman" w:cs="Times New Roman"/>
        </w:rPr>
        <w:t>a detailed explanation of my steps and the code I used</w:t>
      </w:r>
      <w:r w:rsidR="003527A8" w:rsidRPr="00ED341A">
        <w:rPr>
          <w:rFonts w:ascii="Times New Roman" w:hAnsi="Times New Roman" w:cs="Times New Roman"/>
        </w:rPr>
        <w:t xml:space="preserve"> for analysis. </w:t>
      </w:r>
    </w:p>
    <w:p w14:paraId="4FEBBB59" w14:textId="0A87637E" w:rsidR="00D2460F" w:rsidRPr="00ED341A" w:rsidRDefault="00D2460F" w:rsidP="00ED341A">
      <w:pPr>
        <w:spacing w:line="360" w:lineRule="auto"/>
        <w:rPr>
          <w:rFonts w:ascii="Times New Roman" w:hAnsi="Times New Roman" w:cs="Times New Roman"/>
        </w:rPr>
      </w:pPr>
      <w:r w:rsidRPr="00ED341A">
        <w:rPr>
          <w:rFonts w:ascii="Times New Roman" w:hAnsi="Times New Roman" w:cs="Times New Roman"/>
        </w:rPr>
        <w:t xml:space="preserve">In short, there is evidence suggesting </w:t>
      </w:r>
      <w:r w:rsidR="00F30C8E" w:rsidRPr="00ED341A">
        <w:rPr>
          <w:rFonts w:ascii="Times New Roman" w:hAnsi="Times New Roman" w:cs="Times New Roman"/>
        </w:rPr>
        <w:t xml:space="preserve">that the poll tax was not paid randomly throughout the year but instead was clustered around specific periods. </w:t>
      </w:r>
      <w:r w:rsidRPr="00ED341A">
        <w:rPr>
          <w:rFonts w:ascii="Times New Roman" w:hAnsi="Times New Roman" w:cs="Times New Roman"/>
        </w:rPr>
        <w:t xml:space="preserve">In contrast with </w:t>
      </w:r>
      <w:r w:rsidR="00F30C8E" w:rsidRPr="00ED341A">
        <w:rPr>
          <w:rFonts w:ascii="Times New Roman" w:hAnsi="Times New Roman" w:cs="Times New Roman"/>
        </w:rPr>
        <w:t>my</w:t>
      </w:r>
      <w:r w:rsidRPr="00ED341A">
        <w:rPr>
          <w:rFonts w:ascii="Times New Roman" w:hAnsi="Times New Roman" w:cs="Times New Roman"/>
        </w:rPr>
        <w:t xml:space="preserve"> first hypothesis, there is no evidence that the poll tax was paid during the fall months of September, October and November, instead there is very strong evidence suggesting it was paid during late </w:t>
      </w:r>
      <w:r w:rsidR="00F30C8E" w:rsidRPr="00ED341A">
        <w:rPr>
          <w:rFonts w:ascii="Times New Roman" w:hAnsi="Times New Roman" w:cs="Times New Roman"/>
        </w:rPr>
        <w:t xml:space="preserve">the </w:t>
      </w:r>
      <w:r w:rsidRPr="00ED341A">
        <w:rPr>
          <w:rFonts w:ascii="Times New Roman" w:hAnsi="Times New Roman" w:cs="Times New Roman"/>
        </w:rPr>
        <w:t>summer in the months of July, August and September</w:t>
      </w:r>
      <w:r w:rsidR="00F30C8E" w:rsidRPr="00ED341A">
        <w:rPr>
          <w:rFonts w:ascii="Times New Roman" w:hAnsi="Times New Roman" w:cs="Times New Roman"/>
        </w:rPr>
        <w:t xml:space="preserve">. Specifically, August had the most receipts. </w:t>
      </w:r>
    </w:p>
    <w:p w14:paraId="400FF45B" w14:textId="3B17D886" w:rsidR="00D2460F" w:rsidRPr="00ED341A" w:rsidRDefault="00D2460F" w:rsidP="00ED341A">
      <w:pPr>
        <w:spacing w:line="360" w:lineRule="auto"/>
        <w:rPr>
          <w:rFonts w:ascii="Times New Roman" w:hAnsi="Times New Roman" w:cs="Times New Roman"/>
        </w:rPr>
      </w:pPr>
      <w:r w:rsidRPr="00ED341A">
        <w:rPr>
          <w:rFonts w:ascii="Times New Roman" w:hAnsi="Times New Roman" w:cs="Times New Roman"/>
        </w:rPr>
        <w:t xml:space="preserve">Secondly, there is limited evidence suggesting that the period in which the poll tax was paid during the year changed between 50 BCE to 250 CE. </w:t>
      </w:r>
      <w:r w:rsidR="00F30C8E" w:rsidRPr="00ED341A">
        <w:rPr>
          <w:rFonts w:ascii="Times New Roman" w:hAnsi="Times New Roman" w:cs="Times New Roman"/>
        </w:rPr>
        <w:t>Instead, my analysis show that it remained relatively stable within the year during this period</w:t>
      </w:r>
      <w:r w:rsidR="000E467D">
        <w:rPr>
          <w:rFonts w:ascii="Times New Roman" w:hAnsi="Times New Roman" w:cs="Times New Roman"/>
        </w:rPr>
        <w:t xml:space="preserve"> in alignment with my second hypothesis. </w:t>
      </w:r>
    </w:p>
    <w:p w14:paraId="236B16A6" w14:textId="0FCFD458" w:rsidR="00D2460F" w:rsidRPr="00ED341A" w:rsidRDefault="00F30C8E" w:rsidP="00ED341A">
      <w:pPr>
        <w:spacing w:line="360" w:lineRule="auto"/>
        <w:rPr>
          <w:rFonts w:ascii="Times New Roman" w:hAnsi="Times New Roman" w:cs="Times New Roman"/>
        </w:rPr>
      </w:pPr>
      <w:r w:rsidRPr="00ED341A">
        <w:rPr>
          <w:rFonts w:ascii="Times New Roman" w:hAnsi="Times New Roman" w:cs="Times New Roman"/>
        </w:rPr>
        <w:t xml:space="preserve">Notably, there are numerous limitations that must be considered. </w:t>
      </w:r>
      <w:r w:rsidR="000E467D">
        <w:rPr>
          <w:rFonts w:ascii="Times New Roman" w:hAnsi="Times New Roman" w:cs="Times New Roman"/>
        </w:rPr>
        <w:t>Most important;</w:t>
      </w:r>
      <w:r w:rsidRPr="00ED341A">
        <w:rPr>
          <w:rFonts w:ascii="Times New Roman" w:hAnsi="Times New Roman" w:cs="Times New Roman"/>
        </w:rPr>
        <w:t xml:space="preserve"> papyri only survive under certain conditions. We know that Egypt’s dry climate was good at preserving papyri, but our data may still overrepresent certain regions whose climate was better at </w:t>
      </w:r>
      <w:r w:rsidRPr="00ED341A">
        <w:rPr>
          <w:rFonts w:ascii="Times New Roman" w:hAnsi="Times New Roman" w:cs="Times New Roman"/>
        </w:rPr>
        <w:lastRenderedPageBreak/>
        <w:t xml:space="preserve">preservation, making it easier for archeologists to estimate dating, and thus making it into our corpus of literature </w:t>
      </w:r>
      <w:r w:rsidR="000E467D">
        <w:rPr>
          <w:rFonts w:ascii="Times New Roman" w:hAnsi="Times New Roman" w:cs="Times New Roman"/>
        </w:rPr>
        <w:t>because it</w:t>
      </w:r>
      <w:r w:rsidRPr="00ED341A">
        <w:rPr>
          <w:rFonts w:ascii="Times New Roman" w:hAnsi="Times New Roman" w:cs="Times New Roman"/>
        </w:rPr>
        <w:t xml:space="preserve"> </w:t>
      </w:r>
      <w:r w:rsidR="000E467D">
        <w:rPr>
          <w:rFonts w:ascii="Times New Roman" w:hAnsi="Times New Roman" w:cs="Times New Roman"/>
        </w:rPr>
        <w:t xml:space="preserve">included </w:t>
      </w:r>
      <w:r w:rsidRPr="00ED341A">
        <w:rPr>
          <w:rFonts w:ascii="Times New Roman" w:hAnsi="Times New Roman" w:cs="Times New Roman"/>
        </w:rPr>
        <w:t xml:space="preserve">month and year dates. Hence, drawing a conclusion over the entirety of Roman-Egypt and the period of 50 BCE to 200 CE could be </w:t>
      </w:r>
      <w:r w:rsidR="00ED1A90">
        <w:rPr>
          <w:rFonts w:ascii="Times New Roman" w:hAnsi="Times New Roman" w:cs="Times New Roman"/>
        </w:rPr>
        <w:t>misleading</w:t>
      </w:r>
      <w:r w:rsidRPr="00ED341A">
        <w:rPr>
          <w:rFonts w:ascii="Times New Roman" w:hAnsi="Times New Roman" w:cs="Times New Roman"/>
        </w:rPr>
        <w:t xml:space="preserve">. </w:t>
      </w:r>
      <w:r w:rsidR="00ED1A90">
        <w:rPr>
          <w:rFonts w:ascii="Times New Roman" w:hAnsi="Times New Roman" w:cs="Times New Roman"/>
        </w:rPr>
        <w:t>Second, is documentation bias, where only receipts that are recorded with the data we need is considered. In this case, month and year data.</w:t>
      </w:r>
    </w:p>
    <w:p w14:paraId="079CBD67" w14:textId="77777777" w:rsidR="00F30C8E" w:rsidRPr="00ED341A" w:rsidRDefault="00F30C8E" w:rsidP="00ED341A">
      <w:pPr>
        <w:spacing w:line="360" w:lineRule="auto"/>
        <w:rPr>
          <w:rFonts w:ascii="Times New Roman" w:hAnsi="Times New Roman" w:cs="Times New Roman"/>
        </w:rPr>
      </w:pPr>
    </w:p>
    <w:p w14:paraId="548250FD" w14:textId="41393509" w:rsidR="00D2460F" w:rsidRPr="00ED341A" w:rsidRDefault="00D2460F" w:rsidP="00ED341A">
      <w:pPr>
        <w:spacing w:line="360" w:lineRule="auto"/>
        <w:rPr>
          <w:rFonts w:ascii="Times New Roman" w:hAnsi="Times New Roman" w:cs="Times New Roman"/>
          <w:b/>
          <w:bCs/>
        </w:rPr>
      </w:pPr>
      <w:r w:rsidRPr="00ED341A">
        <w:rPr>
          <w:rFonts w:ascii="Times New Roman" w:hAnsi="Times New Roman" w:cs="Times New Roman"/>
          <w:b/>
          <w:bCs/>
        </w:rPr>
        <w:t>Background information and bibliographic search</w:t>
      </w:r>
    </w:p>
    <w:p w14:paraId="012A4C1B" w14:textId="2D2B92CD" w:rsidR="00ED341A" w:rsidRPr="00ED341A" w:rsidRDefault="00ED341A" w:rsidP="00ED341A">
      <w:pPr>
        <w:spacing w:before="100" w:beforeAutospacing="1" w:after="100" w:afterAutospacing="1" w:line="360" w:lineRule="auto"/>
        <w:rPr>
          <w:rFonts w:ascii="Times New Roman" w:eastAsia="Times New Roman" w:hAnsi="Times New Roman" w:cs="Times New Roman"/>
          <w:kern w:val="0"/>
          <w14:ligatures w14:val="none"/>
        </w:rPr>
      </w:pPr>
      <w:r w:rsidRPr="00ED341A">
        <w:rPr>
          <w:rFonts w:ascii="Times New Roman" w:eastAsia="Times New Roman" w:hAnsi="Times New Roman" w:cs="Times New Roman"/>
          <w:kern w:val="0"/>
          <w14:ligatures w14:val="none"/>
        </w:rPr>
        <w:t xml:space="preserve">I need to understand why the poll tax in Roman Egypt was primarily paid during July, August, and September. I stand by my hypothesis in that this pattern relates to the harvest season. Therefore, I need more detailed information on what crops were grown and when these crops were typically harvested between 50 BCE and 200 CE. </w:t>
      </w:r>
    </w:p>
    <w:p w14:paraId="4EB65EBB" w14:textId="3CFCEA30" w:rsidR="00ED341A" w:rsidRPr="00ED341A" w:rsidRDefault="00ED341A" w:rsidP="00ED341A">
      <w:pPr>
        <w:spacing w:before="100" w:beforeAutospacing="1" w:after="100" w:afterAutospacing="1" w:line="360" w:lineRule="auto"/>
        <w:rPr>
          <w:rFonts w:ascii="Times New Roman" w:eastAsia="Times New Roman" w:hAnsi="Times New Roman" w:cs="Times New Roman"/>
          <w:kern w:val="0"/>
          <w14:ligatures w14:val="none"/>
        </w:rPr>
      </w:pPr>
      <w:r w:rsidRPr="00ED341A">
        <w:rPr>
          <w:rFonts w:ascii="Times New Roman" w:eastAsia="Times New Roman" w:hAnsi="Times New Roman" w:cs="Times New Roman"/>
          <w:kern w:val="0"/>
          <w14:ligatures w14:val="none"/>
        </w:rPr>
        <w:t xml:space="preserve">Additionally, I need more information about the administration of Roman Egypt between 50 BCE and 200 CE. The period is known for being politically stable. I argue that this could explain why the poll tax remained relatively </w:t>
      </w:r>
      <w:r w:rsidR="00ED1A90">
        <w:rPr>
          <w:rFonts w:ascii="Times New Roman" w:eastAsia="Times New Roman" w:hAnsi="Times New Roman" w:cs="Times New Roman"/>
          <w:kern w:val="0"/>
          <w14:ligatures w14:val="none"/>
        </w:rPr>
        <w:t xml:space="preserve">over this period. </w:t>
      </w:r>
      <w:r w:rsidRPr="00ED341A">
        <w:rPr>
          <w:rFonts w:ascii="Times New Roman" w:eastAsia="Times New Roman" w:hAnsi="Times New Roman" w:cs="Times New Roman"/>
          <w:kern w:val="0"/>
          <w14:ligatures w14:val="none"/>
        </w:rPr>
        <w:t xml:space="preserve"> </w:t>
      </w:r>
    </w:p>
    <w:p w14:paraId="1ECCC307" w14:textId="204C8404" w:rsidR="00AE11A5" w:rsidRPr="00ED341A" w:rsidRDefault="00AE11A5" w:rsidP="00ED341A">
      <w:pPr>
        <w:spacing w:line="360" w:lineRule="auto"/>
        <w:rPr>
          <w:rFonts w:ascii="Times New Roman" w:hAnsi="Times New Roman" w:cs="Times New Roman"/>
        </w:rPr>
      </w:pPr>
      <w:r w:rsidRPr="00ED341A">
        <w:rPr>
          <w:rFonts w:ascii="Times New Roman" w:hAnsi="Times New Roman" w:cs="Times New Roman"/>
        </w:rPr>
        <w:t xml:space="preserve">I performed a literature search to identify relevant bibliography. Specifically, I applied the following two queries </w:t>
      </w:r>
      <w:r w:rsidR="00ED1A90">
        <w:rPr>
          <w:rFonts w:ascii="Times New Roman" w:hAnsi="Times New Roman" w:cs="Times New Roman"/>
        </w:rPr>
        <w:t>to</w:t>
      </w:r>
      <w:r w:rsidRPr="00ED341A">
        <w:rPr>
          <w:rFonts w:ascii="Times New Roman" w:hAnsi="Times New Roman" w:cs="Times New Roman"/>
        </w:rPr>
        <w:t xml:space="preserve"> the JSTOR database.</w:t>
      </w:r>
    </w:p>
    <w:tbl>
      <w:tblPr>
        <w:tblStyle w:val="TableGrid"/>
        <w:tblW w:w="0" w:type="auto"/>
        <w:tblLook w:val="04A0" w:firstRow="1" w:lastRow="0" w:firstColumn="1" w:lastColumn="0" w:noHBand="0" w:noVBand="1"/>
      </w:tblPr>
      <w:tblGrid>
        <w:gridCol w:w="5004"/>
        <w:gridCol w:w="4346"/>
      </w:tblGrid>
      <w:tr w:rsidR="00AE3306" w:rsidRPr="00ED341A" w14:paraId="7D269953" w14:textId="49F2051F" w:rsidTr="00AE3306">
        <w:tc>
          <w:tcPr>
            <w:tcW w:w="5004" w:type="dxa"/>
          </w:tcPr>
          <w:p w14:paraId="708A1A79" w14:textId="4205AC46" w:rsidR="00AE3306" w:rsidRPr="00ED341A" w:rsidRDefault="00AE3306" w:rsidP="00ED341A">
            <w:pPr>
              <w:spacing w:line="360" w:lineRule="auto"/>
              <w:rPr>
                <w:rFonts w:ascii="Times New Roman" w:hAnsi="Times New Roman" w:cs="Times New Roman"/>
              </w:rPr>
            </w:pPr>
            <w:r w:rsidRPr="00ED341A">
              <w:rPr>
                <w:rFonts w:ascii="Times New Roman" w:hAnsi="Times New Roman" w:cs="Times New Roman"/>
              </w:rPr>
              <w:t xml:space="preserve">((("roman </w:t>
            </w:r>
            <w:proofErr w:type="spellStart"/>
            <w:r w:rsidRPr="00ED341A">
              <w:rPr>
                <w:rFonts w:ascii="Times New Roman" w:hAnsi="Times New Roman" w:cs="Times New Roman"/>
              </w:rPr>
              <w:t>egypt</w:t>
            </w:r>
            <w:proofErr w:type="spellEnd"/>
            <w:r w:rsidRPr="00ED341A">
              <w:rPr>
                <w:rFonts w:ascii="Times New Roman" w:hAnsi="Times New Roman" w:cs="Times New Roman"/>
              </w:rPr>
              <w:t>" OR "</w:t>
            </w:r>
            <w:proofErr w:type="spellStart"/>
            <w:r w:rsidRPr="00ED341A">
              <w:rPr>
                <w:rFonts w:ascii="Times New Roman" w:hAnsi="Times New Roman" w:cs="Times New Roman"/>
              </w:rPr>
              <w:t>greco-roman</w:t>
            </w:r>
            <w:proofErr w:type="spellEnd"/>
            <w:r w:rsidRPr="00ED341A">
              <w:rPr>
                <w:rFonts w:ascii="Times New Roman" w:hAnsi="Times New Roman" w:cs="Times New Roman"/>
              </w:rPr>
              <w:t xml:space="preserve"> </w:t>
            </w:r>
            <w:proofErr w:type="spellStart"/>
            <w:r w:rsidRPr="00ED341A">
              <w:rPr>
                <w:rFonts w:ascii="Times New Roman" w:hAnsi="Times New Roman" w:cs="Times New Roman"/>
              </w:rPr>
              <w:t>egypt</w:t>
            </w:r>
            <w:proofErr w:type="spellEnd"/>
            <w:r w:rsidRPr="00ED341A">
              <w:rPr>
                <w:rFonts w:ascii="Times New Roman" w:hAnsi="Times New Roman" w:cs="Times New Roman"/>
              </w:rPr>
              <w:t xml:space="preserve">") AND ("poll tax" OR </w:t>
            </w:r>
            <w:proofErr w:type="spellStart"/>
            <w:r w:rsidRPr="00ED341A">
              <w:rPr>
                <w:rFonts w:ascii="Times New Roman" w:hAnsi="Times New Roman" w:cs="Times New Roman"/>
              </w:rPr>
              <w:t>laographi</w:t>
            </w:r>
            <w:proofErr w:type="spellEnd"/>
            <w:r w:rsidRPr="00ED341A">
              <w:rPr>
                <w:rFonts w:ascii="Times New Roman" w:hAnsi="Times New Roman" w:cs="Times New Roman"/>
              </w:rPr>
              <w:t>*) AND (harvest OR "agricultural cycle" OR "agricultural calendar")))</w:t>
            </w:r>
          </w:p>
        </w:tc>
        <w:tc>
          <w:tcPr>
            <w:tcW w:w="4346" w:type="dxa"/>
          </w:tcPr>
          <w:p w14:paraId="64BB5498" w14:textId="48605AD7" w:rsidR="00AE3306" w:rsidRPr="00ED341A" w:rsidRDefault="00AE3306" w:rsidP="00ED341A">
            <w:pPr>
              <w:spacing w:line="360" w:lineRule="auto"/>
              <w:rPr>
                <w:rFonts w:ascii="Times New Roman" w:hAnsi="Times New Roman" w:cs="Times New Roman"/>
              </w:rPr>
            </w:pPr>
            <w:r w:rsidRPr="00ED341A">
              <w:rPr>
                <w:rFonts w:ascii="Times New Roman" w:hAnsi="Times New Roman" w:cs="Times New Roman"/>
              </w:rPr>
              <w:t>86 results</w:t>
            </w:r>
          </w:p>
        </w:tc>
      </w:tr>
    </w:tbl>
    <w:p w14:paraId="2FA22AFD" w14:textId="77777777" w:rsidR="00AE11A5" w:rsidRPr="00ED341A" w:rsidRDefault="00AE11A5" w:rsidP="00ED341A">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A623C" w:rsidRPr="00ED341A" w14:paraId="513D1041" w14:textId="77777777" w:rsidTr="008A623C">
        <w:tc>
          <w:tcPr>
            <w:tcW w:w="4675" w:type="dxa"/>
          </w:tcPr>
          <w:p w14:paraId="633FEC0C" w14:textId="01050877" w:rsidR="008A623C" w:rsidRPr="00ED341A" w:rsidRDefault="008A623C" w:rsidP="00ED341A">
            <w:pPr>
              <w:spacing w:line="360" w:lineRule="auto"/>
              <w:rPr>
                <w:rFonts w:ascii="Times New Roman" w:hAnsi="Times New Roman" w:cs="Times New Roman"/>
              </w:rPr>
            </w:pPr>
            <w:r w:rsidRPr="00ED341A">
              <w:rPr>
                <w:rFonts w:ascii="Times New Roman" w:hAnsi="Times New Roman" w:cs="Times New Roman"/>
              </w:rPr>
              <w:t xml:space="preserve">((("roman </w:t>
            </w:r>
            <w:proofErr w:type="spellStart"/>
            <w:r w:rsidRPr="00ED341A">
              <w:rPr>
                <w:rFonts w:ascii="Times New Roman" w:hAnsi="Times New Roman" w:cs="Times New Roman"/>
              </w:rPr>
              <w:t>egypt</w:t>
            </w:r>
            <w:proofErr w:type="spellEnd"/>
            <w:r w:rsidRPr="00ED341A">
              <w:rPr>
                <w:rFonts w:ascii="Times New Roman" w:hAnsi="Times New Roman" w:cs="Times New Roman"/>
              </w:rPr>
              <w:t>" OR "</w:t>
            </w:r>
            <w:proofErr w:type="spellStart"/>
            <w:r w:rsidRPr="00ED341A">
              <w:rPr>
                <w:rFonts w:ascii="Times New Roman" w:hAnsi="Times New Roman" w:cs="Times New Roman"/>
              </w:rPr>
              <w:t>greco-roman</w:t>
            </w:r>
            <w:proofErr w:type="spellEnd"/>
            <w:r w:rsidRPr="00ED341A">
              <w:rPr>
                <w:rFonts w:ascii="Times New Roman" w:hAnsi="Times New Roman" w:cs="Times New Roman"/>
              </w:rPr>
              <w:t xml:space="preserve"> </w:t>
            </w:r>
            <w:proofErr w:type="spellStart"/>
            <w:r w:rsidRPr="00ED341A">
              <w:rPr>
                <w:rFonts w:ascii="Times New Roman" w:hAnsi="Times New Roman" w:cs="Times New Roman"/>
              </w:rPr>
              <w:t>egypt</w:t>
            </w:r>
            <w:proofErr w:type="spellEnd"/>
            <w:r w:rsidRPr="00ED341A">
              <w:rPr>
                <w:rFonts w:ascii="Times New Roman" w:hAnsi="Times New Roman" w:cs="Times New Roman"/>
              </w:rPr>
              <w:t>") AND (administration OR "tax system" OR "taxation" OR "economic policy" OR bureaucracy) AND ("stability")))</w:t>
            </w:r>
          </w:p>
        </w:tc>
        <w:tc>
          <w:tcPr>
            <w:tcW w:w="4675" w:type="dxa"/>
          </w:tcPr>
          <w:p w14:paraId="264F74B5" w14:textId="5F5F81FA" w:rsidR="008A623C" w:rsidRPr="00ED341A" w:rsidRDefault="008A623C" w:rsidP="00ED341A">
            <w:pPr>
              <w:spacing w:line="360" w:lineRule="auto"/>
              <w:rPr>
                <w:rFonts w:ascii="Times New Roman" w:hAnsi="Times New Roman" w:cs="Times New Roman"/>
              </w:rPr>
            </w:pPr>
            <w:r w:rsidRPr="00ED341A">
              <w:rPr>
                <w:rFonts w:ascii="Times New Roman" w:hAnsi="Times New Roman" w:cs="Times New Roman"/>
              </w:rPr>
              <w:t>427 results</w:t>
            </w:r>
          </w:p>
        </w:tc>
      </w:tr>
    </w:tbl>
    <w:p w14:paraId="05F5E703" w14:textId="77777777" w:rsidR="008A623C" w:rsidRPr="00ED341A" w:rsidRDefault="008A623C" w:rsidP="00ED341A">
      <w:pPr>
        <w:spacing w:line="360" w:lineRule="auto"/>
        <w:rPr>
          <w:rFonts w:ascii="Times New Roman" w:hAnsi="Times New Roman" w:cs="Times New Roman"/>
        </w:rPr>
      </w:pPr>
    </w:p>
    <w:p w14:paraId="18D3EB64" w14:textId="77777777" w:rsidR="00ED1A90" w:rsidRDefault="00F10D07" w:rsidP="00ED341A">
      <w:pPr>
        <w:spacing w:line="360" w:lineRule="auto"/>
        <w:rPr>
          <w:rFonts w:ascii="Times New Roman" w:hAnsi="Times New Roman" w:cs="Times New Roman"/>
        </w:rPr>
      </w:pPr>
      <w:r w:rsidRPr="00ED341A">
        <w:rPr>
          <w:rFonts w:ascii="Times New Roman" w:hAnsi="Times New Roman" w:cs="Times New Roman"/>
        </w:rPr>
        <w:t>I selected relevant</w:t>
      </w:r>
      <w:r w:rsidR="00AE11A5" w:rsidRPr="00ED341A">
        <w:rPr>
          <w:rFonts w:ascii="Times New Roman" w:hAnsi="Times New Roman" w:cs="Times New Roman"/>
        </w:rPr>
        <w:t xml:space="preserve"> bibliography</w:t>
      </w:r>
      <w:r w:rsidRPr="00ED341A">
        <w:rPr>
          <w:rFonts w:ascii="Times New Roman" w:hAnsi="Times New Roman" w:cs="Times New Roman"/>
        </w:rPr>
        <w:t xml:space="preserve"> based on their abstract. See the </w:t>
      </w:r>
      <w:r w:rsidR="00AE11A5" w:rsidRPr="00ED341A">
        <w:rPr>
          <w:rFonts w:ascii="Times New Roman" w:hAnsi="Times New Roman" w:cs="Times New Roman"/>
        </w:rPr>
        <w:t>bibliography section.</w:t>
      </w:r>
      <w:r w:rsidR="00AE3306" w:rsidRPr="00ED341A">
        <w:rPr>
          <w:rFonts w:ascii="Times New Roman" w:hAnsi="Times New Roman" w:cs="Times New Roman"/>
        </w:rPr>
        <w:t xml:space="preserve"> I also included a book</w:t>
      </w:r>
      <w:r w:rsidR="008A623C" w:rsidRPr="00ED341A">
        <w:rPr>
          <w:rFonts w:ascii="Times New Roman" w:hAnsi="Times New Roman" w:cs="Times New Roman"/>
        </w:rPr>
        <w:t xml:space="preserve"> recommended by</w:t>
      </w:r>
      <w:r w:rsidR="00AE3306" w:rsidRPr="00ED341A">
        <w:rPr>
          <w:rFonts w:ascii="Times New Roman" w:hAnsi="Times New Roman" w:cs="Times New Roman"/>
        </w:rPr>
        <w:t xml:space="preserve"> Kim.</w:t>
      </w:r>
    </w:p>
    <w:p w14:paraId="574738FA" w14:textId="255DC178" w:rsidR="00AE3306" w:rsidRPr="00ED1A90" w:rsidRDefault="00500415" w:rsidP="00ED341A">
      <w:pPr>
        <w:spacing w:line="360" w:lineRule="auto"/>
        <w:rPr>
          <w:rFonts w:ascii="Times New Roman" w:hAnsi="Times New Roman" w:cs="Times New Roman"/>
        </w:rPr>
      </w:pPr>
      <w:r w:rsidRPr="00ED341A">
        <w:rPr>
          <w:rFonts w:ascii="Times New Roman" w:hAnsi="Times New Roman" w:cs="Times New Roman"/>
          <w:b/>
          <w:bCs/>
        </w:rPr>
        <w:lastRenderedPageBreak/>
        <w:t>Bibliography</w:t>
      </w:r>
    </w:p>
    <w:p w14:paraId="2D9B8620" w14:textId="1806E133" w:rsidR="00ED1A90" w:rsidRPr="00ED341A" w:rsidRDefault="00AE3306" w:rsidP="00ED341A">
      <w:pPr>
        <w:spacing w:line="360" w:lineRule="auto"/>
        <w:rPr>
          <w:rFonts w:ascii="Times New Roman" w:hAnsi="Times New Roman" w:cs="Times New Roman"/>
        </w:rPr>
      </w:pPr>
      <w:r w:rsidRPr="00ED341A">
        <w:rPr>
          <w:rFonts w:ascii="Times New Roman" w:hAnsi="Times New Roman" w:cs="Times New Roman"/>
        </w:rPr>
        <w:t>Wallace, Sherman LeRoy. 1938. Taxation in Egypt from Augustus to Diocletian. Princeton: Princeton University Press</w:t>
      </w:r>
    </w:p>
    <w:p w14:paraId="07054254" w14:textId="3BDA6644" w:rsidR="00B76401" w:rsidRDefault="00AE3306" w:rsidP="00ED1A90">
      <w:pPr>
        <w:spacing w:after="0" w:line="360" w:lineRule="auto"/>
        <w:rPr>
          <w:rFonts w:ascii="Times New Roman" w:eastAsia="Times New Roman" w:hAnsi="Times New Roman" w:cs="Times New Roman"/>
          <w:kern w:val="0"/>
          <w14:ligatures w14:val="none"/>
        </w:rPr>
      </w:pPr>
      <w:r w:rsidRPr="00AE3306">
        <w:rPr>
          <w:rFonts w:ascii="Times New Roman" w:eastAsia="Times New Roman" w:hAnsi="Times New Roman" w:cs="Times New Roman"/>
          <w:kern w:val="0"/>
          <w14:ligatures w14:val="none"/>
        </w:rPr>
        <w:t xml:space="preserve">Monson, Andrew. “Late Ptolemaic Capitation Taxes and the Poll Tax in Roman Egypt.” </w:t>
      </w:r>
      <w:r w:rsidRPr="00AE3306">
        <w:rPr>
          <w:rFonts w:ascii="Times New Roman" w:eastAsia="Times New Roman" w:hAnsi="Times New Roman" w:cs="Times New Roman"/>
          <w:i/>
          <w:iCs/>
          <w:kern w:val="0"/>
          <w14:ligatures w14:val="none"/>
        </w:rPr>
        <w:t>The Bulletin of the American Society of Papyrologists</w:t>
      </w:r>
      <w:r w:rsidRPr="00AE3306">
        <w:rPr>
          <w:rFonts w:ascii="Times New Roman" w:eastAsia="Times New Roman" w:hAnsi="Times New Roman" w:cs="Times New Roman"/>
          <w:kern w:val="0"/>
          <w14:ligatures w14:val="none"/>
        </w:rPr>
        <w:t xml:space="preserve"> 51 (2014): 127–60. </w:t>
      </w:r>
      <w:hyperlink r:id="rId10" w:history="1">
        <w:r w:rsidR="00ED1A90" w:rsidRPr="00AE3306">
          <w:rPr>
            <w:rStyle w:val="Hyperlink"/>
            <w:rFonts w:ascii="Times New Roman" w:eastAsia="Times New Roman" w:hAnsi="Times New Roman" w:cs="Times New Roman"/>
            <w:kern w:val="0"/>
            <w14:ligatures w14:val="none"/>
          </w:rPr>
          <w:t>http://www.jstor.org/stable/24520161</w:t>
        </w:r>
      </w:hyperlink>
      <w:r w:rsidRPr="00AE3306">
        <w:rPr>
          <w:rFonts w:ascii="Times New Roman" w:eastAsia="Times New Roman" w:hAnsi="Times New Roman" w:cs="Times New Roman"/>
          <w:kern w:val="0"/>
          <w14:ligatures w14:val="none"/>
        </w:rPr>
        <w:t>.</w:t>
      </w:r>
    </w:p>
    <w:p w14:paraId="4FFFB2C5" w14:textId="77777777" w:rsidR="00ED1A90" w:rsidRPr="00ED1A90" w:rsidRDefault="00ED1A90" w:rsidP="00ED1A90">
      <w:pPr>
        <w:spacing w:after="0" w:line="360" w:lineRule="auto"/>
        <w:rPr>
          <w:rFonts w:ascii="Times New Roman" w:eastAsia="Times New Roman" w:hAnsi="Times New Roman" w:cs="Times New Roman"/>
          <w:kern w:val="0"/>
          <w14:ligatures w14:val="none"/>
        </w:rPr>
      </w:pPr>
    </w:p>
    <w:p w14:paraId="351CA196" w14:textId="7AC804CB" w:rsidR="00ED1A90" w:rsidRDefault="00AE3306" w:rsidP="00ED341A">
      <w:pPr>
        <w:spacing w:after="0" w:line="360" w:lineRule="auto"/>
        <w:rPr>
          <w:rFonts w:ascii="Times New Roman" w:eastAsia="Times New Roman" w:hAnsi="Times New Roman" w:cs="Times New Roman"/>
          <w:kern w:val="0"/>
          <w14:ligatures w14:val="none"/>
        </w:rPr>
      </w:pPr>
      <w:r w:rsidRPr="00AE3306">
        <w:rPr>
          <w:rFonts w:ascii="Times New Roman" w:eastAsia="Times New Roman" w:hAnsi="Times New Roman" w:cs="Times New Roman"/>
          <w:kern w:val="0"/>
          <w14:ligatures w14:val="none"/>
        </w:rPr>
        <w:t xml:space="preserve">Brunt, P. A. “The Administrators of Roman Egypt.” </w:t>
      </w:r>
      <w:r w:rsidRPr="00AE3306">
        <w:rPr>
          <w:rFonts w:ascii="Times New Roman" w:eastAsia="Times New Roman" w:hAnsi="Times New Roman" w:cs="Times New Roman"/>
          <w:i/>
          <w:iCs/>
          <w:kern w:val="0"/>
          <w14:ligatures w14:val="none"/>
        </w:rPr>
        <w:t>The Journal of Roman Studies</w:t>
      </w:r>
      <w:r w:rsidRPr="00AE3306">
        <w:rPr>
          <w:rFonts w:ascii="Times New Roman" w:eastAsia="Times New Roman" w:hAnsi="Times New Roman" w:cs="Times New Roman"/>
          <w:kern w:val="0"/>
          <w14:ligatures w14:val="none"/>
        </w:rPr>
        <w:t xml:space="preserve"> 65 (1975): 124–47. </w:t>
      </w:r>
      <w:hyperlink r:id="rId11" w:history="1">
        <w:r w:rsidR="00ED1A90" w:rsidRPr="00AE3306">
          <w:rPr>
            <w:rStyle w:val="Hyperlink"/>
            <w:rFonts w:ascii="Times New Roman" w:eastAsia="Times New Roman" w:hAnsi="Times New Roman" w:cs="Times New Roman"/>
            <w:kern w:val="0"/>
            <w14:ligatures w14:val="none"/>
          </w:rPr>
          <w:t>https://doi.org/10.2307/370067</w:t>
        </w:r>
      </w:hyperlink>
      <w:r w:rsidRPr="00AE3306">
        <w:rPr>
          <w:rFonts w:ascii="Times New Roman" w:eastAsia="Times New Roman" w:hAnsi="Times New Roman" w:cs="Times New Roman"/>
          <w:kern w:val="0"/>
          <w14:ligatures w14:val="none"/>
        </w:rPr>
        <w:t>.</w:t>
      </w:r>
    </w:p>
    <w:p w14:paraId="55D1476E" w14:textId="77777777" w:rsidR="00B76401" w:rsidRPr="00ED341A" w:rsidRDefault="00B76401" w:rsidP="00ED341A">
      <w:pPr>
        <w:spacing w:line="360" w:lineRule="auto"/>
        <w:rPr>
          <w:rFonts w:ascii="Times New Roman" w:hAnsi="Times New Roman" w:cs="Times New Roman"/>
          <w:b/>
          <w:bCs/>
        </w:rPr>
      </w:pPr>
    </w:p>
    <w:p w14:paraId="5E543E8E" w14:textId="1D3F1384" w:rsidR="008A623C" w:rsidRDefault="008A623C" w:rsidP="00ED341A">
      <w:pPr>
        <w:spacing w:after="0" w:line="360" w:lineRule="auto"/>
        <w:rPr>
          <w:rFonts w:ascii="Times New Roman" w:eastAsia="Times New Roman" w:hAnsi="Times New Roman" w:cs="Times New Roman"/>
          <w:kern w:val="0"/>
          <w14:ligatures w14:val="none"/>
        </w:rPr>
      </w:pPr>
      <w:r w:rsidRPr="008A623C">
        <w:rPr>
          <w:rFonts w:ascii="Times New Roman" w:eastAsia="Times New Roman" w:hAnsi="Times New Roman" w:cs="Times New Roman"/>
          <w:kern w:val="0"/>
          <w14:ligatures w14:val="none"/>
        </w:rPr>
        <w:t xml:space="preserve">Monson, Andrew. “Rule and Revenue in Egypt and Rome: Political Stability and Fiscal Institutions.” </w:t>
      </w:r>
      <w:r w:rsidRPr="008A623C">
        <w:rPr>
          <w:rFonts w:ascii="Times New Roman" w:eastAsia="Times New Roman" w:hAnsi="Times New Roman" w:cs="Times New Roman"/>
          <w:i/>
          <w:iCs/>
          <w:kern w:val="0"/>
          <w14:ligatures w14:val="none"/>
        </w:rPr>
        <w:t xml:space="preserve">Historical Social Research / </w:t>
      </w:r>
      <w:proofErr w:type="spellStart"/>
      <w:r w:rsidRPr="008A623C">
        <w:rPr>
          <w:rFonts w:ascii="Times New Roman" w:eastAsia="Times New Roman" w:hAnsi="Times New Roman" w:cs="Times New Roman"/>
          <w:i/>
          <w:iCs/>
          <w:kern w:val="0"/>
          <w14:ligatures w14:val="none"/>
        </w:rPr>
        <w:t>Historische</w:t>
      </w:r>
      <w:proofErr w:type="spellEnd"/>
      <w:r w:rsidRPr="008A623C">
        <w:rPr>
          <w:rFonts w:ascii="Times New Roman" w:eastAsia="Times New Roman" w:hAnsi="Times New Roman" w:cs="Times New Roman"/>
          <w:i/>
          <w:iCs/>
          <w:kern w:val="0"/>
          <w14:ligatures w14:val="none"/>
        </w:rPr>
        <w:t xml:space="preserve"> </w:t>
      </w:r>
      <w:proofErr w:type="spellStart"/>
      <w:r w:rsidRPr="008A623C">
        <w:rPr>
          <w:rFonts w:ascii="Times New Roman" w:eastAsia="Times New Roman" w:hAnsi="Times New Roman" w:cs="Times New Roman"/>
          <w:i/>
          <w:iCs/>
          <w:kern w:val="0"/>
          <w14:ligatures w14:val="none"/>
        </w:rPr>
        <w:t>Sozialforschung</w:t>
      </w:r>
      <w:proofErr w:type="spellEnd"/>
      <w:r w:rsidRPr="008A623C">
        <w:rPr>
          <w:rFonts w:ascii="Times New Roman" w:eastAsia="Times New Roman" w:hAnsi="Times New Roman" w:cs="Times New Roman"/>
          <w:kern w:val="0"/>
          <w14:ligatures w14:val="none"/>
        </w:rPr>
        <w:t xml:space="preserve"> 32, no. 4 (122) (2007): 252–74. </w:t>
      </w:r>
      <w:hyperlink r:id="rId12" w:history="1">
        <w:r w:rsidR="00ED1A90" w:rsidRPr="008A623C">
          <w:rPr>
            <w:rStyle w:val="Hyperlink"/>
            <w:rFonts w:ascii="Times New Roman" w:eastAsia="Times New Roman" w:hAnsi="Times New Roman" w:cs="Times New Roman"/>
            <w:kern w:val="0"/>
            <w14:ligatures w14:val="none"/>
          </w:rPr>
          <w:t>http://www.jstor.org/stable/20762249</w:t>
        </w:r>
      </w:hyperlink>
      <w:r w:rsidRPr="008A623C">
        <w:rPr>
          <w:rFonts w:ascii="Times New Roman" w:eastAsia="Times New Roman" w:hAnsi="Times New Roman" w:cs="Times New Roman"/>
          <w:kern w:val="0"/>
          <w14:ligatures w14:val="none"/>
        </w:rPr>
        <w:t>.</w:t>
      </w:r>
    </w:p>
    <w:p w14:paraId="297C82C3" w14:textId="77777777" w:rsidR="008A623C" w:rsidRPr="00ED341A" w:rsidRDefault="008A623C" w:rsidP="00ED341A">
      <w:pPr>
        <w:spacing w:line="360" w:lineRule="auto"/>
        <w:rPr>
          <w:rFonts w:ascii="Times New Roman" w:hAnsi="Times New Roman" w:cs="Times New Roman"/>
          <w:b/>
          <w:bCs/>
        </w:rPr>
      </w:pPr>
    </w:p>
    <w:p w14:paraId="0E3C75D4" w14:textId="62BB6547" w:rsidR="008A623C" w:rsidRDefault="008A623C" w:rsidP="00ED341A">
      <w:pPr>
        <w:spacing w:after="0" w:line="360" w:lineRule="auto"/>
        <w:rPr>
          <w:rFonts w:ascii="Times New Roman" w:eastAsia="Times New Roman" w:hAnsi="Times New Roman" w:cs="Times New Roman"/>
          <w:kern w:val="0"/>
          <w14:ligatures w14:val="none"/>
        </w:rPr>
      </w:pPr>
      <w:r w:rsidRPr="008A623C">
        <w:rPr>
          <w:rFonts w:ascii="Times New Roman" w:eastAsia="Times New Roman" w:hAnsi="Times New Roman" w:cs="Times New Roman"/>
          <w:kern w:val="0"/>
          <w14:ligatures w14:val="none"/>
        </w:rPr>
        <w:t xml:space="preserve">Hopkins, Keith. “Taxes and Trade in the Roman Empire (200 B.C.-A.D. 400).” </w:t>
      </w:r>
      <w:r w:rsidRPr="008A623C">
        <w:rPr>
          <w:rFonts w:ascii="Times New Roman" w:eastAsia="Times New Roman" w:hAnsi="Times New Roman" w:cs="Times New Roman"/>
          <w:i/>
          <w:iCs/>
          <w:kern w:val="0"/>
          <w14:ligatures w14:val="none"/>
        </w:rPr>
        <w:t>The Journal of Roman Studies</w:t>
      </w:r>
      <w:r w:rsidRPr="008A623C">
        <w:rPr>
          <w:rFonts w:ascii="Times New Roman" w:eastAsia="Times New Roman" w:hAnsi="Times New Roman" w:cs="Times New Roman"/>
          <w:kern w:val="0"/>
          <w14:ligatures w14:val="none"/>
        </w:rPr>
        <w:t xml:space="preserve"> 70 (1980): 101–25. </w:t>
      </w:r>
      <w:hyperlink r:id="rId13" w:history="1">
        <w:r w:rsidR="00ED1A90" w:rsidRPr="008A623C">
          <w:rPr>
            <w:rStyle w:val="Hyperlink"/>
            <w:rFonts w:ascii="Times New Roman" w:eastAsia="Times New Roman" w:hAnsi="Times New Roman" w:cs="Times New Roman"/>
            <w:kern w:val="0"/>
            <w14:ligatures w14:val="none"/>
          </w:rPr>
          <w:t>https://doi.org/10.2307/299558</w:t>
        </w:r>
      </w:hyperlink>
      <w:r w:rsidRPr="008A623C">
        <w:rPr>
          <w:rFonts w:ascii="Times New Roman" w:eastAsia="Times New Roman" w:hAnsi="Times New Roman" w:cs="Times New Roman"/>
          <w:kern w:val="0"/>
          <w14:ligatures w14:val="none"/>
        </w:rPr>
        <w:t>.</w:t>
      </w:r>
    </w:p>
    <w:p w14:paraId="2AC7B600" w14:textId="77777777" w:rsidR="00ED1A90" w:rsidRPr="008A623C" w:rsidRDefault="00ED1A90" w:rsidP="00ED341A">
      <w:pPr>
        <w:spacing w:after="0" w:line="360" w:lineRule="auto"/>
        <w:rPr>
          <w:rFonts w:ascii="Times New Roman" w:eastAsia="Times New Roman" w:hAnsi="Times New Roman" w:cs="Times New Roman"/>
          <w:kern w:val="0"/>
          <w14:ligatures w14:val="none"/>
        </w:rPr>
      </w:pPr>
    </w:p>
    <w:p w14:paraId="5D97CBA2" w14:textId="77777777" w:rsidR="008A623C" w:rsidRPr="00ED341A" w:rsidRDefault="008A623C" w:rsidP="00ED341A">
      <w:pPr>
        <w:spacing w:line="360" w:lineRule="auto"/>
        <w:rPr>
          <w:rFonts w:ascii="Times New Roman" w:hAnsi="Times New Roman" w:cs="Times New Roman"/>
          <w:b/>
          <w:bCs/>
        </w:rPr>
      </w:pPr>
    </w:p>
    <w:p w14:paraId="0487CC86" w14:textId="21DBA0D2" w:rsidR="00B76401" w:rsidRPr="00ED341A" w:rsidRDefault="00B76401" w:rsidP="00ED341A">
      <w:pPr>
        <w:spacing w:line="360" w:lineRule="auto"/>
        <w:rPr>
          <w:rFonts w:ascii="Times New Roman" w:hAnsi="Times New Roman" w:cs="Times New Roman"/>
          <w:b/>
        </w:rPr>
      </w:pPr>
    </w:p>
    <w:sectPr w:rsidR="00B76401" w:rsidRPr="00ED341A">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EF57D" w14:textId="77777777" w:rsidR="003252E4" w:rsidRDefault="003252E4" w:rsidP="00C52E3C">
      <w:pPr>
        <w:spacing w:after="0" w:line="240" w:lineRule="auto"/>
      </w:pPr>
      <w:r>
        <w:separator/>
      </w:r>
    </w:p>
  </w:endnote>
  <w:endnote w:type="continuationSeparator" w:id="0">
    <w:p w14:paraId="03BE4B95" w14:textId="77777777" w:rsidR="003252E4" w:rsidRDefault="003252E4" w:rsidP="00C52E3C">
      <w:pPr>
        <w:spacing w:after="0" w:line="240" w:lineRule="auto"/>
      </w:pPr>
      <w:r>
        <w:continuationSeparator/>
      </w:r>
    </w:p>
  </w:endnote>
  <w:endnote w:type="continuationNotice" w:id="1">
    <w:p w14:paraId="0EF9DF9A" w14:textId="77777777" w:rsidR="003252E4" w:rsidRDefault="00325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3982217"/>
      <w:docPartObj>
        <w:docPartGallery w:val="Page Numbers (Bottom of Page)"/>
        <w:docPartUnique/>
      </w:docPartObj>
    </w:sdtPr>
    <w:sdtEndPr>
      <w:rPr>
        <w:rStyle w:val="PageNumber"/>
      </w:rPr>
    </w:sdtEndPr>
    <w:sdtContent>
      <w:p w14:paraId="5A94968B" w14:textId="335D9C39" w:rsidR="00C52E3C" w:rsidRDefault="00C52E3C" w:rsidP="008A1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52762" w14:textId="77777777" w:rsidR="00C52E3C" w:rsidRDefault="00C52E3C" w:rsidP="00C52E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97904050"/>
      <w:docPartObj>
        <w:docPartGallery w:val="Page Numbers (Bottom of Page)"/>
        <w:docPartUnique/>
      </w:docPartObj>
    </w:sdtPr>
    <w:sdtEndPr>
      <w:rPr>
        <w:rStyle w:val="PageNumber"/>
      </w:rPr>
    </w:sdtEndPr>
    <w:sdtContent>
      <w:p w14:paraId="7FE6354D" w14:textId="34BE2AE5" w:rsidR="00C52E3C" w:rsidRPr="00C52E3C" w:rsidRDefault="00C52E3C" w:rsidP="008A1C2C">
        <w:pPr>
          <w:pStyle w:val="Footer"/>
          <w:framePr w:wrap="none" w:vAnchor="text" w:hAnchor="margin" w:xAlign="right" w:y="1"/>
          <w:rPr>
            <w:rStyle w:val="PageNumber"/>
            <w:rFonts w:ascii="Times New Roman" w:hAnsi="Times New Roman" w:cs="Times New Roman"/>
          </w:rPr>
        </w:pPr>
        <w:r w:rsidRPr="00C52E3C">
          <w:rPr>
            <w:rStyle w:val="PageNumber"/>
            <w:rFonts w:ascii="Times New Roman" w:hAnsi="Times New Roman" w:cs="Times New Roman"/>
          </w:rPr>
          <w:fldChar w:fldCharType="begin"/>
        </w:r>
        <w:r w:rsidRPr="00C52E3C">
          <w:rPr>
            <w:rStyle w:val="PageNumber"/>
            <w:rFonts w:ascii="Times New Roman" w:hAnsi="Times New Roman" w:cs="Times New Roman"/>
          </w:rPr>
          <w:instrText xml:space="preserve"> PAGE </w:instrText>
        </w:r>
        <w:r w:rsidRPr="00C52E3C">
          <w:rPr>
            <w:rStyle w:val="PageNumber"/>
            <w:rFonts w:ascii="Times New Roman" w:hAnsi="Times New Roman" w:cs="Times New Roman"/>
          </w:rPr>
          <w:fldChar w:fldCharType="separate"/>
        </w:r>
        <w:r w:rsidRPr="00C52E3C">
          <w:rPr>
            <w:rStyle w:val="PageNumber"/>
            <w:rFonts w:ascii="Times New Roman" w:hAnsi="Times New Roman" w:cs="Times New Roman"/>
            <w:noProof/>
          </w:rPr>
          <w:t>1</w:t>
        </w:r>
        <w:r w:rsidRPr="00C52E3C">
          <w:rPr>
            <w:rStyle w:val="PageNumber"/>
            <w:rFonts w:ascii="Times New Roman" w:hAnsi="Times New Roman" w:cs="Times New Roman"/>
          </w:rPr>
          <w:fldChar w:fldCharType="end"/>
        </w:r>
      </w:p>
    </w:sdtContent>
  </w:sdt>
  <w:p w14:paraId="4C51F9BA" w14:textId="17670AC3" w:rsidR="00C52E3C" w:rsidRPr="00C52E3C" w:rsidRDefault="00C52E3C" w:rsidP="00C52E3C">
    <w:pPr>
      <w:pStyle w:val="Footer"/>
      <w:ind w:right="360"/>
      <w:rPr>
        <w:rFonts w:ascii="Times New Roman" w:hAnsi="Times New Roman" w:cs="Times New Roman"/>
      </w:rPr>
    </w:pPr>
    <w:r w:rsidRPr="00C52E3C">
      <w:rPr>
        <w:rFonts w:ascii="Times New Roman" w:hAnsi="Times New Roman" w:cs="Times New Roman"/>
      </w:rPr>
      <w:t>CLST 1201, Written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878BE" w14:textId="77777777" w:rsidR="003252E4" w:rsidRDefault="003252E4" w:rsidP="00C52E3C">
      <w:pPr>
        <w:spacing w:after="0" w:line="240" w:lineRule="auto"/>
      </w:pPr>
      <w:r>
        <w:separator/>
      </w:r>
    </w:p>
  </w:footnote>
  <w:footnote w:type="continuationSeparator" w:id="0">
    <w:p w14:paraId="17535BA9" w14:textId="77777777" w:rsidR="003252E4" w:rsidRDefault="003252E4" w:rsidP="00C52E3C">
      <w:pPr>
        <w:spacing w:after="0" w:line="240" w:lineRule="auto"/>
      </w:pPr>
      <w:r>
        <w:continuationSeparator/>
      </w:r>
    </w:p>
  </w:footnote>
  <w:footnote w:type="continuationNotice" w:id="1">
    <w:p w14:paraId="5CC5FAB5" w14:textId="77777777" w:rsidR="003252E4" w:rsidRDefault="00325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E5EE5" w14:textId="4ED91711" w:rsidR="00C52E3C" w:rsidRPr="00C52E3C" w:rsidRDefault="00C52E3C">
    <w:pPr>
      <w:pStyle w:val="Header"/>
      <w:rPr>
        <w:rFonts w:ascii="Times New Roman" w:hAnsi="Times New Roman" w:cs="Times New Roman"/>
      </w:rPr>
    </w:pPr>
    <w:r w:rsidRPr="00C52E3C">
      <w:rPr>
        <w:rFonts w:ascii="Times New Roman" w:hAnsi="Times New Roman" w:cs="Times New Roman"/>
      </w:rPr>
      <w:t>Didrik Wiig-Andersen</w:t>
    </w:r>
    <w:r w:rsidRPr="00C52E3C">
      <w:rPr>
        <w:rFonts w:ascii="Times New Roman" w:hAnsi="Times New Roman" w:cs="Times New Roman"/>
      </w:rPr>
      <w:tab/>
    </w:r>
    <w:r w:rsidRPr="00C52E3C">
      <w:rPr>
        <w:rFonts w:ascii="Times New Roman" w:hAnsi="Times New Roman" w:cs="Times New Roman"/>
      </w:rPr>
      <w:tab/>
    </w:r>
    <w:r w:rsidR="006B38E6">
      <w:rPr>
        <w:rFonts w:ascii="Times New Roman" w:hAnsi="Times New Roman" w:cs="Times New Roman"/>
      </w:rPr>
      <w:t>Mon Apr 7, 2025</w:t>
    </w:r>
  </w:p>
  <w:p w14:paraId="4E0D0A08" w14:textId="77777777" w:rsidR="00C52E3C" w:rsidRPr="00C52E3C" w:rsidRDefault="00C52E3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480"/>
    <w:multiLevelType w:val="hybridMultilevel"/>
    <w:tmpl w:val="57DE3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13788"/>
    <w:multiLevelType w:val="hybridMultilevel"/>
    <w:tmpl w:val="163C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61DD8"/>
    <w:multiLevelType w:val="hybridMultilevel"/>
    <w:tmpl w:val="71C03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51053"/>
    <w:multiLevelType w:val="hybridMultilevel"/>
    <w:tmpl w:val="9CCA9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93C43"/>
    <w:multiLevelType w:val="hybridMultilevel"/>
    <w:tmpl w:val="95A8E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162EE"/>
    <w:multiLevelType w:val="hybridMultilevel"/>
    <w:tmpl w:val="6540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8495D"/>
    <w:multiLevelType w:val="hybridMultilevel"/>
    <w:tmpl w:val="D7D0043A"/>
    <w:lvl w:ilvl="0" w:tplc="9C2E308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4469B"/>
    <w:multiLevelType w:val="hybridMultilevel"/>
    <w:tmpl w:val="B50C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2437D"/>
    <w:multiLevelType w:val="hybridMultilevel"/>
    <w:tmpl w:val="B4444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4135A"/>
    <w:multiLevelType w:val="hybridMultilevel"/>
    <w:tmpl w:val="DB16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354576">
    <w:abstractNumId w:val="6"/>
  </w:num>
  <w:num w:numId="2" w16cid:durableId="2078743822">
    <w:abstractNumId w:val="8"/>
  </w:num>
  <w:num w:numId="3" w16cid:durableId="744687904">
    <w:abstractNumId w:val="3"/>
  </w:num>
  <w:num w:numId="4" w16cid:durableId="915480252">
    <w:abstractNumId w:val="2"/>
  </w:num>
  <w:num w:numId="5" w16cid:durableId="305623650">
    <w:abstractNumId w:val="7"/>
  </w:num>
  <w:num w:numId="6" w16cid:durableId="428814633">
    <w:abstractNumId w:val="0"/>
  </w:num>
  <w:num w:numId="7" w16cid:durableId="1708871697">
    <w:abstractNumId w:val="9"/>
  </w:num>
  <w:num w:numId="8" w16cid:durableId="1763525631">
    <w:abstractNumId w:val="4"/>
  </w:num>
  <w:num w:numId="9" w16cid:durableId="256521033">
    <w:abstractNumId w:val="5"/>
  </w:num>
  <w:num w:numId="10" w16cid:durableId="11228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CC"/>
    <w:rsid w:val="000556A7"/>
    <w:rsid w:val="00096006"/>
    <w:rsid w:val="000D1AB7"/>
    <w:rsid w:val="000E467D"/>
    <w:rsid w:val="000F7553"/>
    <w:rsid w:val="00110E21"/>
    <w:rsid w:val="001151F5"/>
    <w:rsid w:val="00127629"/>
    <w:rsid w:val="00141951"/>
    <w:rsid w:val="00165090"/>
    <w:rsid w:val="001678F3"/>
    <w:rsid w:val="00194336"/>
    <w:rsid w:val="001A03D5"/>
    <w:rsid w:val="00275F70"/>
    <w:rsid w:val="00287679"/>
    <w:rsid w:val="002A70C5"/>
    <w:rsid w:val="002F2CC1"/>
    <w:rsid w:val="003062E7"/>
    <w:rsid w:val="003252E4"/>
    <w:rsid w:val="003354CD"/>
    <w:rsid w:val="00341628"/>
    <w:rsid w:val="003527A8"/>
    <w:rsid w:val="003C620B"/>
    <w:rsid w:val="003D116F"/>
    <w:rsid w:val="003E0418"/>
    <w:rsid w:val="003E0BFD"/>
    <w:rsid w:val="00420B43"/>
    <w:rsid w:val="004357F5"/>
    <w:rsid w:val="004369B6"/>
    <w:rsid w:val="00442204"/>
    <w:rsid w:val="00446172"/>
    <w:rsid w:val="00467ECC"/>
    <w:rsid w:val="00483D5E"/>
    <w:rsid w:val="004D5F73"/>
    <w:rsid w:val="00500415"/>
    <w:rsid w:val="00552E2B"/>
    <w:rsid w:val="005841D2"/>
    <w:rsid w:val="005867C6"/>
    <w:rsid w:val="00593D80"/>
    <w:rsid w:val="0059474E"/>
    <w:rsid w:val="00594F7E"/>
    <w:rsid w:val="005C0BD0"/>
    <w:rsid w:val="005F5C37"/>
    <w:rsid w:val="006054BD"/>
    <w:rsid w:val="00677881"/>
    <w:rsid w:val="00680428"/>
    <w:rsid w:val="006B38E6"/>
    <w:rsid w:val="006B799B"/>
    <w:rsid w:val="006C70FE"/>
    <w:rsid w:val="006C7D8A"/>
    <w:rsid w:val="006D0BA3"/>
    <w:rsid w:val="006D2BEA"/>
    <w:rsid w:val="006F41CE"/>
    <w:rsid w:val="007224A5"/>
    <w:rsid w:val="0074038E"/>
    <w:rsid w:val="00744CF3"/>
    <w:rsid w:val="00761C06"/>
    <w:rsid w:val="0076748E"/>
    <w:rsid w:val="007B3D57"/>
    <w:rsid w:val="00864253"/>
    <w:rsid w:val="00877A9C"/>
    <w:rsid w:val="008919A5"/>
    <w:rsid w:val="008A507A"/>
    <w:rsid w:val="008A623C"/>
    <w:rsid w:val="008B141F"/>
    <w:rsid w:val="008D3D44"/>
    <w:rsid w:val="00920893"/>
    <w:rsid w:val="00945C70"/>
    <w:rsid w:val="00946F5E"/>
    <w:rsid w:val="00981C69"/>
    <w:rsid w:val="009878B7"/>
    <w:rsid w:val="00A03AC0"/>
    <w:rsid w:val="00A31B2E"/>
    <w:rsid w:val="00A803DE"/>
    <w:rsid w:val="00AA600B"/>
    <w:rsid w:val="00AC33C7"/>
    <w:rsid w:val="00AD465E"/>
    <w:rsid w:val="00AE11A5"/>
    <w:rsid w:val="00AE3306"/>
    <w:rsid w:val="00AF7D00"/>
    <w:rsid w:val="00B030C3"/>
    <w:rsid w:val="00B1726D"/>
    <w:rsid w:val="00B34AAB"/>
    <w:rsid w:val="00B423FB"/>
    <w:rsid w:val="00B471D0"/>
    <w:rsid w:val="00B63E5F"/>
    <w:rsid w:val="00B71EBA"/>
    <w:rsid w:val="00B754CD"/>
    <w:rsid w:val="00B76401"/>
    <w:rsid w:val="00B8008F"/>
    <w:rsid w:val="00B81986"/>
    <w:rsid w:val="00B95DE3"/>
    <w:rsid w:val="00BF316F"/>
    <w:rsid w:val="00C52E3C"/>
    <w:rsid w:val="00CE46C5"/>
    <w:rsid w:val="00D112AD"/>
    <w:rsid w:val="00D2460F"/>
    <w:rsid w:val="00E141F9"/>
    <w:rsid w:val="00E229B7"/>
    <w:rsid w:val="00E27E1A"/>
    <w:rsid w:val="00E323E0"/>
    <w:rsid w:val="00E37F64"/>
    <w:rsid w:val="00E412E7"/>
    <w:rsid w:val="00E56014"/>
    <w:rsid w:val="00E9428A"/>
    <w:rsid w:val="00EA667B"/>
    <w:rsid w:val="00ED1A90"/>
    <w:rsid w:val="00ED341A"/>
    <w:rsid w:val="00ED48E8"/>
    <w:rsid w:val="00EE06F8"/>
    <w:rsid w:val="00EE121E"/>
    <w:rsid w:val="00F00BE9"/>
    <w:rsid w:val="00F0418A"/>
    <w:rsid w:val="00F10D07"/>
    <w:rsid w:val="00F30C8E"/>
    <w:rsid w:val="00F57EB3"/>
    <w:rsid w:val="00F6253D"/>
    <w:rsid w:val="00F66252"/>
    <w:rsid w:val="00FC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191FB"/>
  <w15:chartTrackingRefBased/>
  <w15:docId w15:val="{182EBD5C-D5BA-F645-B286-5F8EDD5F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ECC"/>
    <w:rPr>
      <w:rFonts w:eastAsiaTheme="majorEastAsia" w:cstheme="majorBidi"/>
      <w:color w:val="272727" w:themeColor="text1" w:themeTint="D8"/>
    </w:rPr>
  </w:style>
  <w:style w:type="paragraph" w:styleId="Title">
    <w:name w:val="Title"/>
    <w:basedOn w:val="Normal"/>
    <w:next w:val="Normal"/>
    <w:link w:val="TitleChar"/>
    <w:uiPriority w:val="10"/>
    <w:qFormat/>
    <w:rsid w:val="0046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ECC"/>
    <w:pPr>
      <w:spacing w:before="160"/>
      <w:jc w:val="center"/>
    </w:pPr>
    <w:rPr>
      <w:i/>
      <w:iCs/>
      <w:color w:val="404040" w:themeColor="text1" w:themeTint="BF"/>
    </w:rPr>
  </w:style>
  <w:style w:type="character" w:customStyle="1" w:styleId="QuoteChar">
    <w:name w:val="Quote Char"/>
    <w:basedOn w:val="DefaultParagraphFont"/>
    <w:link w:val="Quote"/>
    <w:uiPriority w:val="29"/>
    <w:rsid w:val="00467ECC"/>
    <w:rPr>
      <w:i/>
      <w:iCs/>
      <w:color w:val="404040" w:themeColor="text1" w:themeTint="BF"/>
    </w:rPr>
  </w:style>
  <w:style w:type="paragraph" w:styleId="ListParagraph">
    <w:name w:val="List Paragraph"/>
    <w:basedOn w:val="Normal"/>
    <w:uiPriority w:val="34"/>
    <w:qFormat/>
    <w:rsid w:val="00467ECC"/>
    <w:pPr>
      <w:ind w:left="720"/>
      <w:contextualSpacing/>
    </w:pPr>
  </w:style>
  <w:style w:type="character" w:styleId="IntenseEmphasis">
    <w:name w:val="Intense Emphasis"/>
    <w:basedOn w:val="DefaultParagraphFont"/>
    <w:uiPriority w:val="21"/>
    <w:qFormat/>
    <w:rsid w:val="00467ECC"/>
    <w:rPr>
      <w:i/>
      <w:iCs/>
      <w:color w:val="0F4761" w:themeColor="accent1" w:themeShade="BF"/>
    </w:rPr>
  </w:style>
  <w:style w:type="paragraph" w:styleId="IntenseQuote">
    <w:name w:val="Intense Quote"/>
    <w:basedOn w:val="Normal"/>
    <w:next w:val="Normal"/>
    <w:link w:val="IntenseQuoteChar"/>
    <w:uiPriority w:val="30"/>
    <w:qFormat/>
    <w:rsid w:val="00467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ECC"/>
    <w:rPr>
      <w:i/>
      <w:iCs/>
      <w:color w:val="0F4761" w:themeColor="accent1" w:themeShade="BF"/>
    </w:rPr>
  </w:style>
  <w:style w:type="character" w:styleId="IntenseReference">
    <w:name w:val="Intense Reference"/>
    <w:basedOn w:val="DefaultParagraphFont"/>
    <w:uiPriority w:val="32"/>
    <w:qFormat/>
    <w:rsid w:val="00467ECC"/>
    <w:rPr>
      <w:b/>
      <w:bCs/>
      <w:smallCaps/>
      <w:color w:val="0F4761" w:themeColor="accent1" w:themeShade="BF"/>
      <w:spacing w:val="5"/>
    </w:rPr>
  </w:style>
  <w:style w:type="paragraph" w:styleId="Header">
    <w:name w:val="header"/>
    <w:basedOn w:val="Normal"/>
    <w:link w:val="HeaderChar"/>
    <w:uiPriority w:val="99"/>
    <w:unhideWhenUsed/>
    <w:rsid w:val="00C52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E3C"/>
  </w:style>
  <w:style w:type="paragraph" w:styleId="Footer">
    <w:name w:val="footer"/>
    <w:basedOn w:val="Normal"/>
    <w:link w:val="FooterChar"/>
    <w:uiPriority w:val="99"/>
    <w:unhideWhenUsed/>
    <w:rsid w:val="00C52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E3C"/>
  </w:style>
  <w:style w:type="character" w:styleId="PageNumber">
    <w:name w:val="page number"/>
    <w:basedOn w:val="DefaultParagraphFont"/>
    <w:uiPriority w:val="99"/>
    <w:semiHidden/>
    <w:unhideWhenUsed/>
    <w:rsid w:val="00C52E3C"/>
  </w:style>
  <w:style w:type="table" w:styleId="TableGrid">
    <w:name w:val="Table Grid"/>
    <w:basedOn w:val="TableNormal"/>
    <w:uiPriority w:val="39"/>
    <w:rsid w:val="006D2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6A7"/>
    <w:rPr>
      <w:color w:val="467886" w:themeColor="hyperlink"/>
      <w:u w:val="single"/>
    </w:rPr>
  </w:style>
  <w:style w:type="character" w:styleId="UnresolvedMention">
    <w:name w:val="Unresolved Mention"/>
    <w:basedOn w:val="DefaultParagraphFont"/>
    <w:uiPriority w:val="99"/>
    <w:semiHidden/>
    <w:unhideWhenUsed/>
    <w:rsid w:val="000556A7"/>
    <w:rPr>
      <w:color w:val="605E5C"/>
      <w:shd w:val="clear" w:color="auto" w:fill="E1DFDD"/>
    </w:rPr>
  </w:style>
  <w:style w:type="character" w:styleId="FollowedHyperlink">
    <w:name w:val="FollowedHyperlink"/>
    <w:basedOn w:val="DefaultParagraphFont"/>
    <w:uiPriority w:val="99"/>
    <w:semiHidden/>
    <w:unhideWhenUsed/>
    <w:rsid w:val="000556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81984">
      <w:bodyDiv w:val="1"/>
      <w:marLeft w:val="0"/>
      <w:marRight w:val="0"/>
      <w:marTop w:val="0"/>
      <w:marBottom w:val="0"/>
      <w:divBdr>
        <w:top w:val="none" w:sz="0" w:space="0" w:color="auto"/>
        <w:left w:val="none" w:sz="0" w:space="0" w:color="auto"/>
        <w:bottom w:val="none" w:sz="0" w:space="0" w:color="auto"/>
        <w:right w:val="none" w:sz="0" w:space="0" w:color="auto"/>
      </w:divBdr>
    </w:div>
    <w:div w:id="458500476">
      <w:bodyDiv w:val="1"/>
      <w:marLeft w:val="0"/>
      <w:marRight w:val="0"/>
      <w:marTop w:val="0"/>
      <w:marBottom w:val="0"/>
      <w:divBdr>
        <w:top w:val="none" w:sz="0" w:space="0" w:color="auto"/>
        <w:left w:val="none" w:sz="0" w:space="0" w:color="auto"/>
        <w:bottom w:val="none" w:sz="0" w:space="0" w:color="auto"/>
        <w:right w:val="none" w:sz="0" w:space="0" w:color="auto"/>
      </w:divBdr>
    </w:div>
    <w:div w:id="701831255">
      <w:bodyDiv w:val="1"/>
      <w:marLeft w:val="0"/>
      <w:marRight w:val="0"/>
      <w:marTop w:val="0"/>
      <w:marBottom w:val="0"/>
      <w:divBdr>
        <w:top w:val="none" w:sz="0" w:space="0" w:color="auto"/>
        <w:left w:val="none" w:sz="0" w:space="0" w:color="auto"/>
        <w:bottom w:val="none" w:sz="0" w:space="0" w:color="auto"/>
        <w:right w:val="none" w:sz="0" w:space="0" w:color="auto"/>
      </w:divBdr>
      <w:divsChild>
        <w:div w:id="234438551">
          <w:marLeft w:val="0"/>
          <w:marRight w:val="0"/>
          <w:marTop w:val="0"/>
          <w:marBottom w:val="0"/>
          <w:divBdr>
            <w:top w:val="none" w:sz="0" w:space="0" w:color="auto"/>
            <w:left w:val="none" w:sz="0" w:space="0" w:color="auto"/>
            <w:bottom w:val="none" w:sz="0" w:space="0" w:color="auto"/>
            <w:right w:val="none" w:sz="0" w:space="0" w:color="auto"/>
          </w:divBdr>
          <w:divsChild>
            <w:div w:id="17892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6820">
      <w:bodyDiv w:val="1"/>
      <w:marLeft w:val="0"/>
      <w:marRight w:val="0"/>
      <w:marTop w:val="0"/>
      <w:marBottom w:val="0"/>
      <w:divBdr>
        <w:top w:val="none" w:sz="0" w:space="0" w:color="auto"/>
        <w:left w:val="none" w:sz="0" w:space="0" w:color="auto"/>
        <w:bottom w:val="none" w:sz="0" w:space="0" w:color="auto"/>
        <w:right w:val="none" w:sz="0" w:space="0" w:color="auto"/>
      </w:divBdr>
      <w:divsChild>
        <w:div w:id="492720182">
          <w:marLeft w:val="0"/>
          <w:marRight w:val="0"/>
          <w:marTop w:val="0"/>
          <w:marBottom w:val="0"/>
          <w:divBdr>
            <w:top w:val="none" w:sz="0" w:space="0" w:color="auto"/>
            <w:left w:val="none" w:sz="0" w:space="0" w:color="auto"/>
            <w:bottom w:val="none" w:sz="0" w:space="0" w:color="auto"/>
            <w:right w:val="none" w:sz="0" w:space="0" w:color="auto"/>
          </w:divBdr>
          <w:divsChild>
            <w:div w:id="1128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771">
      <w:bodyDiv w:val="1"/>
      <w:marLeft w:val="0"/>
      <w:marRight w:val="0"/>
      <w:marTop w:val="0"/>
      <w:marBottom w:val="0"/>
      <w:divBdr>
        <w:top w:val="none" w:sz="0" w:space="0" w:color="auto"/>
        <w:left w:val="none" w:sz="0" w:space="0" w:color="auto"/>
        <w:bottom w:val="none" w:sz="0" w:space="0" w:color="auto"/>
        <w:right w:val="none" w:sz="0" w:space="0" w:color="auto"/>
      </w:divBdr>
    </w:div>
    <w:div w:id="1803184893">
      <w:bodyDiv w:val="1"/>
      <w:marLeft w:val="0"/>
      <w:marRight w:val="0"/>
      <w:marTop w:val="0"/>
      <w:marBottom w:val="0"/>
      <w:divBdr>
        <w:top w:val="none" w:sz="0" w:space="0" w:color="auto"/>
        <w:left w:val="none" w:sz="0" w:space="0" w:color="auto"/>
        <w:bottom w:val="none" w:sz="0" w:space="0" w:color="auto"/>
        <w:right w:val="none" w:sz="0" w:space="0" w:color="auto"/>
      </w:divBdr>
      <w:divsChild>
        <w:div w:id="1539706437">
          <w:marLeft w:val="0"/>
          <w:marRight w:val="0"/>
          <w:marTop w:val="0"/>
          <w:marBottom w:val="0"/>
          <w:divBdr>
            <w:top w:val="none" w:sz="0" w:space="0" w:color="auto"/>
            <w:left w:val="none" w:sz="0" w:space="0" w:color="auto"/>
            <w:bottom w:val="none" w:sz="0" w:space="0" w:color="auto"/>
            <w:right w:val="none" w:sz="0" w:space="0" w:color="auto"/>
          </w:divBdr>
          <w:divsChild>
            <w:div w:id="1040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82">
      <w:bodyDiv w:val="1"/>
      <w:marLeft w:val="0"/>
      <w:marRight w:val="0"/>
      <w:marTop w:val="0"/>
      <w:marBottom w:val="0"/>
      <w:divBdr>
        <w:top w:val="none" w:sz="0" w:space="0" w:color="auto"/>
        <w:left w:val="none" w:sz="0" w:space="0" w:color="auto"/>
        <w:bottom w:val="none" w:sz="0" w:space="0" w:color="auto"/>
        <w:right w:val="none" w:sz="0" w:space="0" w:color="auto"/>
      </w:divBdr>
      <w:divsChild>
        <w:div w:id="805969104">
          <w:marLeft w:val="0"/>
          <w:marRight w:val="0"/>
          <w:marTop w:val="0"/>
          <w:marBottom w:val="0"/>
          <w:divBdr>
            <w:top w:val="none" w:sz="0" w:space="0" w:color="auto"/>
            <w:left w:val="none" w:sz="0" w:space="0" w:color="auto"/>
            <w:bottom w:val="none" w:sz="0" w:space="0" w:color="auto"/>
            <w:right w:val="none" w:sz="0" w:space="0" w:color="auto"/>
          </w:divBdr>
          <w:divsChild>
            <w:div w:id="473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149">
      <w:bodyDiv w:val="1"/>
      <w:marLeft w:val="0"/>
      <w:marRight w:val="0"/>
      <w:marTop w:val="0"/>
      <w:marBottom w:val="0"/>
      <w:divBdr>
        <w:top w:val="none" w:sz="0" w:space="0" w:color="auto"/>
        <w:left w:val="none" w:sz="0" w:space="0" w:color="auto"/>
        <w:bottom w:val="none" w:sz="0" w:space="0" w:color="auto"/>
        <w:right w:val="none" w:sz="0" w:space="0" w:color="auto"/>
      </w:divBdr>
      <w:divsChild>
        <w:div w:id="588392991">
          <w:marLeft w:val="0"/>
          <w:marRight w:val="0"/>
          <w:marTop w:val="0"/>
          <w:marBottom w:val="0"/>
          <w:divBdr>
            <w:top w:val="none" w:sz="0" w:space="0" w:color="auto"/>
            <w:left w:val="none" w:sz="0" w:space="0" w:color="auto"/>
            <w:bottom w:val="none" w:sz="0" w:space="0" w:color="auto"/>
            <w:right w:val="none" w:sz="0" w:space="0" w:color="auto"/>
          </w:divBdr>
          <w:divsChild>
            <w:div w:id="5229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rikwiigandersen/clst_1201_project/blob/main/Written%20Assignment%202/data_processing_and_analysis/data_cleaned.xlsx" TargetMode="External"/><Relationship Id="rId13" Type="http://schemas.openxmlformats.org/officeDocument/2006/relationships/hyperlink" Target="https://doi.org/10.2307/29955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stor.org/stable/2076224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37006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jstor.org/stable/24520161" TargetMode="External"/><Relationship Id="rId4" Type="http://schemas.openxmlformats.org/officeDocument/2006/relationships/webSettings" Target="webSettings.xml"/><Relationship Id="rId9" Type="http://schemas.openxmlformats.org/officeDocument/2006/relationships/hyperlink" Target="https://github.com/didrikwiigandersen/clst_1201_project/blob/main/Written%20Assignment%202/data_processing_and_analysis/written_assignment_2.ipyn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Wiig-Andersen, Didrik</dc:creator>
  <cp:keywords/>
  <dc:description/>
  <cp:lastModifiedBy>Wiig-Andersen, Didrik</cp:lastModifiedBy>
  <cp:revision>2</cp:revision>
  <cp:lastPrinted>2025-04-08T02:36:00Z</cp:lastPrinted>
  <dcterms:created xsi:type="dcterms:W3CDTF">2025-04-29T01:07:00Z</dcterms:created>
  <dcterms:modified xsi:type="dcterms:W3CDTF">2025-04-29T01:07:00Z</dcterms:modified>
</cp:coreProperties>
</file>