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蒙特卡罗算法模型的灵敏度分析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模型原理：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灵敏度未失效概率</w:t>
      </w:r>
      <w:r>
        <w:rPr>
          <w:rFonts w:hint="eastAsia"/>
          <w:position w:val="-12"/>
          <w:lang w:val="en-US" w:eastAsia="zh-CN"/>
        </w:rPr>
        <w:object>
          <v:shape id="_x0000_i1028" o:spt="75" type="#_x0000_t75" style="height:17.3pt;width:13.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8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对基本变量</w:t>
      </w:r>
      <w:r>
        <w:rPr>
          <w:rFonts w:hint="eastAsia"/>
          <w:position w:val="-12"/>
          <w:lang w:val="en-US" w:eastAsia="zh-CN"/>
        </w:rPr>
        <w:object>
          <v:shape id="_x0000_i1029" o:spt="75" type="#_x0000_t75" style="height:18pt;width:13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9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的分布参数</w:t>
      </w:r>
      <w:r>
        <w:rPr>
          <w:rFonts w:hint="eastAsia"/>
          <w:position w:val="-14"/>
          <w:lang w:val="en-US" w:eastAsia="zh-CN"/>
        </w:rPr>
        <w:object>
          <v:shape id="_x0000_i1030" o:spt="75" type="#_x0000_t75" style="height:20pt;width:24.9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0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（i=1,2,...,n;k=1,2,...,m）,其中</w:t>
      </w:r>
      <w:r>
        <w:rPr>
          <w:rFonts w:hint="eastAsia"/>
          <w:position w:val="-12"/>
          <w:lang w:val="en-US" w:eastAsia="zh-CN"/>
        </w:rPr>
        <w:object>
          <v:shape id="_x0000_i1034" o:spt="75" alt="" type="#_x0000_t75" style="height:18pt;width:13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4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为第i个变量</w:t>
      </w:r>
      <w:r>
        <w:rPr>
          <w:rFonts w:hint="eastAsia"/>
          <w:position w:val="-12"/>
          <w:lang w:val="en-US" w:eastAsia="zh-CN"/>
        </w:rPr>
        <w:object>
          <v:shape id="_x0000_i1035" o:spt="75" alt="" type="#_x0000_t75" style="height:18pt;width:1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5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分布参数总数的偏导数，将失效概率的积分对分布参数</w:t>
      </w:r>
      <w:r>
        <w:rPr>
          <w:rFonts w:hint="eastAsia"/>
          <w:position w:val="-14"/>
          <w:lang w:val="en-US" w:eastAsia="zh-CN"/>
        </w:rPr>
        <w:object>
          <v:shape id="_x0000_i1036" o:spt="75" type="#_x0000_t75" style="height:20pt;width:24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6" DrawAspect="Content" ObjectID="_1468075730" r:id="rId13">
            <o:LockedField>false</o:LockedField>
          </o:OLEObject>
        </w:object>
      </w:r>
      <w:r>
        <w:rPr>
          <w:rFonts w:hint="eastAsia"/>
          <w:lang w:val="en-US" w:eastAsia="zh-CN"/>
        </w:rPr>
        <w:t>求导数，则得到可靠性灵敏度</w:t>
      </w:r>
      <w:r>
        <w:rPr>
          <w:rFonts w:hint="eastAsia"/>
          <w:position w:val="-34"/>
          <w:lang w:val="en-US" w:eastAsia="zh-CN"/>
        </w:rPr>
        <w:object>
          <v:shape id="_x0000_i1037" o:spt="75" type="#_x0000_t75" style="height:38pt;width:35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7" DrawAspect="Content" ObjectID="_1468075731" r:id="rId14">
            <o:LockedField>false</o:LockedField>
          </o:OLEObject>
        </w:object>
      </w:r>
      <w:r>
        <w:rPr>
          <w:rFonts w:hint="eastAsia"/>
          <w:lang w:val="en-US" w:eastAsia="zh-CN"/>
        </w:rPr>
        <w:t>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68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position w:val="-34"/>
          <w:lang w:val="en-US" w:eastAsia="zh-CN"/>
        </w:rPr>
        <w:object>
          <v:shape id="_x0000_i1039" o:spt="75" type="#_x0000_t75" style="height:38pt;width:110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9" DrawAspect="Content" ObjectID="_1468075732" r:id="rId16">
            <o:LockedField>false</o:LockedField>
          </o:OLEObject>
        </w:objec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（1）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Monte Carlo模拟过程中，采用样本均值代替总体均值，数学期望可以用样本函数的均值</w:t>
      </w:r>
      <w:r>
        <w:rPr>
          <w:rFonts w:hint="eastAsia"/>
          <w:position w:val="-34"/>
          <w:lang w:val="en-US" w:eastAsia="zh-CN"/>
        </w:rPr>
        <w:object>
          <v:shape id="_x0000_i1040" o:spt="75" type="#_x0000_t75" style="height:38pt;width:35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40" DrawAspect="Content" ObjectID="_1468075733" r:id="rId18">
            <o:LockedField>false</o:LockedField>
          </o:OLEObject>
        </w:object>
      </w:r>
      <w:r>
        <w:rPr>
          <w:rFonts w:hint="eastAsia"/>
          <w:lang w:val="en-US" w:eastAsia="zh-CN"/>
        </w:rPr>
        <w:t>来估计：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26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position w:val="-40"/>
          <w:lang w:val="en-US" w:eastAsia="zh-CN"/>
        </w:rPr>
        <w:object>
          <v:shape id="_x0000_i1041" o:spt="75" type="#_x0000_t75" style="height:44pt;width:150.95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41" DrawAspect="Content" ObjectID="_1468075734" r:id="rId20">
            <o:LockedField>false</o:LockedField>
          </o:OLEObject>
        </w:objec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（2）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失效概率对于参数的无量纲灵敏度系数表达式如下：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26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position w:val="-34"/>
          <w:lang w:val="en-US" w:eastAsia="zh-CN"/>
        </w:rPr>
        <w:object>
          <v:shape id="_x0000_i1042" o:spt="75" type="#_x0000_t75" style="height:38pt;width:182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42" DrawAspect="Content" ObjectID="_1468075735" r:id="rId22">
            <o:LockedField>false</o:LockedField>
          </o:OLEObject>
        </w:objec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（3）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890" w:hanging="1890" w:hangingChars="9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同理采用样本点均值作为总体的均，则</w:t>
      </w:r>
      <w:r>
        <w:rPr>
          <w:rFonts w:hint="eastAsia"/>
          <w:position w:val="-20"/>
          <w:lang w:val="en-US" w:eastAsia="zh-CN"/>
        </w:rPr>
        <w:object>
          <v:shape id="_x0000_i1044" o:spt="75" type="#_x0000_t75" style="height:22pt;width:26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44" DrawAspect="Content" ObjectID="_1468075736" r:id="rId24">
            <o:LockedField>false</o:LockedField>
          </o:OLEObject>
        </w:object>
      </w:r>
      <w:r>
        <w:rPr>
          <w:rFonts w:hint="eastAsia"/>
          <w:lang w:val="en-US" w:eastAsia="zh-CN"/>
        </w:rPr>
        <w:t>的Monte Carlo估</w:t>
      </w:r>
      <w:r>
        <w:rPr>
          <w:rFonts w:hint="eastAsia"/>
          <w:position w:val="-42"/>
          <w:lang w:val="en-US" w:eastAsia="zh-CN"/>
        </w:rPr>
        <w:object>
          <v:shape id="_x0000_i1046" o:spt="75" type="#_x0000_t75" style="height:45pt;width:148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46" DrawAspect="Content" ObjectID="_1468075737" r:id="rId26">
            <o:LockedField>false</o:LockedField>
          </o:OLEObject>
        </w:objec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（4）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890" w:hanging="1890" w:hangingChars="9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</w:t>
      </w:r>
      <w:r>
        <w:rPr>
          <w:rFonts w:hint="eastAsia"/>
          <w:position w:val="-12"/>
          <w:lang w:val="en-US" w:eastAsia="zh-CN"/>
        </w:rPr>
        <w:object>
          <v:shape id="_x0000_i1047" o:spt="75" type="#_x0000_t75" style="height:18pt;width:113pt;" o:ole="t" filled="f" o:preferrelative="t" stroked="f" coordsize="21600,21600"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47" DrawAspect="Content" ObjectID="_1468075738" r:id="rId28">
            <o:LockedField>false</o:LockedField>
          </o:OLEObject>
        </w:object>
      </w:r>
      <w:r>
        <w:rPr>
          <w:rFonts w:hint="eastAsia"/>
          <w:lang w:val="en-US" w:eastAsia="zh-CN"/>
        </w:rPr>
        <w:t>表示基本随机变量，</w:t>
      </w:r>
      <w:r>
        <w:rPr>
          <w:rFonts w:hint="eastAsia"/>
          <w:position w:val="-12"/>
          <w:lang w:val="en-US" w:eastAsia="zh-CN"/>
        </w:rPr>
        <w:object>
          <v:shape id="_x0000_i1048" o:spt="75" type="#_x0000_t75" style="height:19pt;width:102pt;" o:ole="t" filled="f" o:preferrelative="t" stroked="f" coordsize="21600,21600"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8" DrawAspect="Content" ObjectID="_1468075739" r:id="rId30">
            <o:LockedField>false</o:LockedField>
          </o:OLEObject>
        </w:object>
      </w:r>
      <w:r>
        <w:rPr>
          <w:rFonts w:hint="eastAsia"/>
          <w:lang w:val="en-US" w:eastAsia="zh-CN"/>
        </w:rPr>
        <w:t>的来联合概率密度函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890" w:hanging="1890" w:hangingChars="9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数，用</w:t>
      </w:r>
      <w:r>
        <w:rPr>
          <w:rFonts w:hint="eastAsia"/>
          <w:position w:val="-12"/>
          <w:lang w:val="en-US" w:eastAsia="zh-CN"/>
        </w:rPr>
        <w:object>
          <v:shape id="_x0000_i1049" o:spt="75" type="#_x0000_t75" style="height:18pt;width:116pt;" o:ole="t" filled="f" o:preferrelative="t" stroked="f" coordsize="21600,21600"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9" DrawAspect="Content" ObjectID="_1468075740" r:id="rId32">
            <o:LockedField>false</o:LockedField>
          </o:OLEObject>
        </w:object>
      </w:r>
      <w:r>
        <w:rPr>
          <w:rFonts w:hint="eastAsia"/>
          <w:lang w:val="en-US" w:eastAsia="zh-CN"/>
        </w:rPr>
        <w:t>表示来联合累计分布函数，那么系统的失效概率可表示为：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630" w:firstLineChars="3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18"/>
          <w:lang w:val="en-US" w:eastAsia="zh-CN"/>
        </w:rPr>
        <w:object>
          <v:shape id="_x0000_i1051" o:spt="75" type="#_x0000_t75" style="height:23pt;width:324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51" DrawAspect="Content" ObjectID="_1468075741" r:id="rId3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（5）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假设功能函数</w:t>
      </w:r>
      <w:r>
        <w:rPr>
          <w:rFonts w:hint="eastAsia"/>
          <w:position w:val="-12"/>
          <w:lang w:val="en-US" w:eastAsia="zh-CN"/>
        </w:rPr>
        <w:object>
          <v:shape id="_x0000_i1052" o:spt="75" type="#_x0000_t75" style="height:18pt;width:74pt;" o:ole="t" filled="f" o:preferrelative="t" stroked="f" coordsize="21600,21600"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52" DrawAspect="Content" ObjectID="_1468075742" r:id="rId36">
            <o:LockedField>false</o:LockedField>
          </o:OLEObject>
        </w:object>
      </w:r>
      <w:r>
        <w:rPr>
          <w:rFonts w:hint="eastAsia"/>
          <w:lang w:val="en-US" w:eastAsia="zh-CN"/>
        </w:rPr>
        <w:t>,则功能函数的概率密度函数为：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260" w:leftChars="0"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54" o:spt="75" type="#_x0000_t75" style="height:37pt;width:160pt;" o:ole="t" filled="f" o:preferrelative="t" stroked="f" coordsize="21600,21600"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54" DrawAspect="Content" ObjectID="_1468075743" r:id="rId3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（6）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通过变化可以将功能函数转换为标准正态分布</w:t>
      </w:r>
      <w:r>
        <w:rPr>
          <w:rFonts w:hint="eastAsia"/>
          <w:position w:val="-10"/>
          <w:lang w:val="en-US" w:eastAsia="zh-CN"/>
        </w:rPr>
        <w:object>
          <v:shape id="_x0000_i1056" o:spt="75" type="#_x0000_t75" style="height:16pt;width:56pt;" o:ole="t" filled="f" o:preferrelative="t" stroked="f" coordsize="21600,21600"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56" DrawAspect="Content" ObjectID="_1468075744" r:id="rId40">
            <o:LockedField>false</o:LockedField>
          </o:OLEObject>
        </w:object>
      </w:r>
      <w:r>
        <w:rPr>
          <w:rFonts w:hint="eastAsia"/>
          <w:lang w:val="en-US" w:eastAsia="zh-CN"/>
        </w:rPr>
        <w:t>，那么其他概率密度分布函数为：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260" w:leftChars="0"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7" o:spt="75" type="#_x0000_t75" style="height:35pt;width:112pt;" o:ole="t" filled="f" o:preferrelative="t" stroked="f" coordsize="21600,21600"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57" DrawAspect="Content" ObjectID="_1468075745" r:id="rId42">
            <o:LockedField>false</o:LockedField>
          </o:OLEObject>
        </w:objec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（7）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260" w:leftChars="0"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default"/>
          <w:position w:val="-18"/>
          <w:lang w:val="en-US" w:eastAsia="zh-CN"/>
        </w:rPr>
        <w:object>
          <v:shape id="_x0000_i1058" o:spt="75" type="#_x0000_t75" style="height:26pt;width:87pt;" o:ole="t" filled="f" o:preferrelative="t" stroked="f" coordsize="21600,21600"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58" DrawAspect="Content" ObjectID="_1468075746" r:id="rId44">
            <o:LockedField>false</o:LockedField>
          </o:OLEObject>
        </w:objec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（8）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从而代入分析得到失效概率为：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630" w:firstLineChars="300"/>
        <w:jc w:val="left"/>
        <w:textAlignment w:val="auto"/>
        <w:rPr>
          <w:rFonts w:hint="eastAsia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59" o:spt="75" type="#_x0000_t75" style="height:37pt;width:281pt;" o:ole="t" filled="f" o:preferrelative="t" stroked="f" coordsize="21600,21600"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59" DrawAspect="Content" ObjectID="_1468075747" r:id="rId46">
            <o:LockedField>false</o:LockedField>
          </o:OLEObject>
        </w:objec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（9）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可靠性指标、失效概率和可靠概率分别表示为：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260" w:leftChars="0" w:firstLine="630" w:firstLineChars="300"/>
        <w:jc w:val="left"/>
        <w:textAlignment w:val="auto"/>
        <w:rPr>
          <w:rFonts w:hint="eastAsia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60" o:spt="75" type="#_x0000_t75" style="height:34pt;width:40pt;" o:ole="t" filled="f" o:preferrelative="t" stroked="f" coordsize="21600,21600"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60" DrawAspect="Content" ObjectID="_1468075748" r:id="rId48">
            <o:LockedField>false</o:LockedField>
          </o:OLEObject>
        </w:objec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（10）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260" w:leftChars="0" w:firstLine="630" w:firstLineChars="300"/>
        <w:jc w:val="left"/>
        <w:textAlignment w:val="auto"/>
        <w:rPr>
          <w:rFonts w:hint="eastAsia"/>
          <w:lang w:val="en-US" w:eastAsia="zh-CN"/>
        </w:rPr>
      </w:pPr>
      <w:r>
        <w:rPr>
          <w:rFonts w:hint="default"/>
          <w:position w:val="-14"/>
          <w:lang w:val="en-US" w:eastAsia="zh-CN"/>
        </w:rPr>
        <w:object>
          <v:shape id="_x0000_i1061" o:spt="75" type="#_x0000_t75" style="height:19pt;width:109pt;" o:ole="t" filled="f" o:preferrelative="t" stroked="f" coordsize="21600,21600"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61" DrawAspect="Content" ObjectID="_1468075749" r:id="rId50">
            <o:LockedField>false</o:LockedField>
          </o:OLEObject>
        </w:objec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（11）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260" w:leftChars="0" w:firstLine="630" w:firstLineChars="300"/>
        <w:jc w:val="left"/>
        <w:textAlignment w:val="auto"/>
        <w:rPr>
          <w:rFonts w:hint="eastAsia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62" o:spt="75" type="#_x0000_t75" style="height:18pt;width:51pt;" o:ole="t" filled="f" o:preferrelative="t" stroked="f" coordsize="21600,21600"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62" DrawAspect="Content" ObjectID="_1468075750" r:id="rId52">
            <o:LockedField>false</o:LockedField>
          </o:OLEObject>
        </w:objec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（12）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Monte Carlo法计算分类可靠度的大致过程如下：由基本随机参数的联合概率密度函数</w:t>
      </w:r>
      <w:r>
        <w:rPr>
          <w:rFonts w:hint="eastAsia"/>
          <w:position w:val="-12"/>
          <w:lang w:val="en-US" w:eastAsia="zh-CN"/>
        </w:rPr>
        <w:object>
          <v:shape id="_x0000_i1063" o:spt="75" type="#_x0000_t75" style="height:18pt;width:34pt;" o:ole="t" filled="f" o:preferrelative="t" stroked="f" coordsize="21600,21600"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63" DrawAspect="Content" ObjectID="_1468075751" r:id="rId54">
            <o:LockedField>false</o:LockedField>
          </o:OLEObject>
        </w:object>
      </w:r>
      <w:r>
        <w:rPr>
          <w:rFonts w:hint="eastAsia"/>
          <w:lang w:val="en-US" w:eastAsia="zh-CN"/>
        </w:rPr>
        <w:t>模拟产生N组随机样本</w:t>
      </w:r>
      <w:r>
        <w:rPr>
          <w:rFonts w:hint="eastAsia"/>
          <w:position w:val="-14"/>
          <w:lang w:val="en-US" w:eastAsia="zh-CN"/>
        </w:rPr>
        <w:object>
          <v:shape id="_x0000_i1064" o:spt="75" type="#_x0000_t75" style="height:19pt;width:82pt;" o:ole="t" filled="f" o:preferrelative="t" stroked="f" coordsize="21600,21600"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64" DrawAspect="Content" ObjectID="_1468075752" r:id="rId56">
            <o:LockedField>false</o:LockedField>
          </o:OLEObject>
        </w:object>
      </w:r>
      <w:r>
        <w:rPr>
          <w:rFonts w:hint="eastAsia"/>
          <w:lang w:val="en-US" w:eastAsia="zh-CN"/>
        </w:rPr>
        <w:t>，把样本数据值带入分类化学成分含量的极限状态方程里，然后统计落入可靠域里的样本点数，用频率</w:t>
      </w:r>
      <w:r>
        <w:rPr>
          <w:rFonts w:hint="eastAsia"/>
          <w:position w:val="-24"/>
          <w:lang w:val="en-US" w:eastAsia="zh-CN"/>
        </w:rPr>
        <w:object>
          <v:shape id="_x0000_i1065" o:spt="75" type="#_x0000_t75" style="height:31pt;width:19pt;" o:ole="t" filled="f" o:preferrelative="t" stroked="f" coordsize="21600,21600"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65" DrawAspect="Content" ObjectID="_1468075753" r:id="rId58">
            <o:LockedField>false</o:LockedField>
          </o:OLEObject>
        </w:object>
      </w:r>
      <w:r>
        <w:rPr>
          <w:rFonts w:hint="eastAsia"/>
          <w:lang w:val="en-US" w:eastAsia="zh-CN"/>
        </w:rPr>
        <w:t>近似代替可靠度</w:t>
      </w:r>
      <w:r>
        <w:rPr>
          <w:rFonts w:hint="eastAsia"/>
          <w:position w:val="-12"/>
          <w:lang w:val="en-US" w:eastAsia="zh-CN"/>
        </w:rPr>
        <w:object>
          <v:shape id="_x0000_i1066" o:spt="75" type="#_x0000_t75" style="height:18pt;width:13.95pt;" o:ole="t" filled="f" o:preferrelative="t" stroked="f" coordsize="21600,21600"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66" DrawAspect="Content" ObjectID="_1468075754" r:id="rId60">
            <o:LockedField>false</o:LockedField>
          </o:OLEObject>
        </w:object>
      </w:r>
      <w:r>
        <w:rPr>
          <w:rFonts w:hint="eastAsia"/>
          <w:lang w:val="en-US" w:eastAsia="zh-CN"/>
        </w:rPr>
        <w:t>，则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67" o:spt="75" type="#_x0000_t75" style="height:31pt;width:291pt;" o:ole="t" filled="f" o:preferrelative="t" stroked="f" coordsize="21600,21600"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67" DrawAspect="Content" ObjectID="_1468075755" r:id="rId62">
            <o:LockedField>false</o:LockedField>
          </o:OLEObject>
        </w:objec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（13）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其中：</w:t>
      </w:r>
      <w:r>
        <w:rPr>
          <w:rFonts w:hint="eastAsia"/>
          <w:position w:val="-18"/>
          <w:lang w:val="en-US" w:eastAsia="zh-CN"/>
        </w:rPr>
        <w:object>
          <v:shape id="_x0000_i1068" o:spt="75" type="#_x0000_t75" style="height:28.55pt;width:123.6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68" DrawAspect="Content" ObjectID="_1468075756" r:id="rId64">
            <o:LockedField>false</o:LockedField>
          </o:OLEObject>
        </w:object>
      </w:r>
      <w:r>
        <w:rPr>
          <w:rFonts w:hint="eastAsia"/>
          <w:lang w:val="en-US" w:eastAsia="zh-CN"/>
        </w:rPr>
        <w:t>为可靠域的指示函数；</w:t>
      </w:r>
      <w:r>
        <w:rPr>
          <w:rFonts w:hint="eastAsia"/>
          <w:position w:val="-4"/>
          <w:lang w:val="en-US" w:eastAsia="zh-CN"/>
        </w:rPr>
        <w:object>
          <v:shape id="_x0000_i1069" o:spt="75" type="#_x0000_t75" style="height:15pt;width:17pt;" o:ole="t" filled="f" o:preferrelative="t" stroked="f" coordsize="21600,21600"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69" DrawAspect="Content" ObjectID="_1468075757" r:id="rId66">
            <o:LockedField>false</o:LockedField>
          </o:OLEObject>
        </w:object>
      </w:r>
      <w:r>
        <w:rPr>
          <w:rFonts w:hint="eastAsia"/>
          <w:lang w:val="en-US" w:eastAsia="zh-CN"/>
        </w:rPr>
        <w:t>表示n维变量空间；</w:t>
      </w:r>
      <w:r>
        <w:rPr>
          <w:rFonts w:hint="eastAsia"/>
          <w:position w:val="-10"/>
          <w:lang w:val="en-US" w:eastAsia="zh-CN"/>
        </w:rPr>
        <w:object>
          <v:shape id="_x0000_i1070" o:spt="75" type="#_x0000_t75" style="height:16pt;width:23pt;" o:ole="t" filled="f" o:preferrelative="t" stroked="f" coordsize="21600,21600"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70" DrawAspect="Content" ObjectID="_1468075758" r:id="rId68">
            <o:LockedField>false</o:LockedField>
          </o:OLEObject>
        </w:object>
      </w:r>
      <w:r>
        <w:rPr>
          <w:rFonts w:hint="eastAsia"/>
          <w:lang w:val="en-US" w:eastAsia="zh-CN"/>
        </w:rPr>
        <w:t>表示数学期望算子。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260" w:leftChars="0" w:firstLine="420" w:firstLineChars="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890" w:hanging="1890" w:hangingChars="90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890" w:hanging="1890" w:hangingChars="90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46EDC"/>
    <w:rsid w:val="0A9726E3"/>
    <w:rsid w:val="1CAD25ED"/>
    <w:rsid w:val="1EB3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1" Type="http://schemas.openxmlformats.org/officeDocument/2006/relationships/fontTable" Target="fontTable.xml"/><Relationship Id="rId70" Type="http://schemas.openxmlformats.org/officeDocument/2006/relationships/customXml" Target="../customXml/item1.xml"/><Relationship Id="rId7" Type="http://schemas.openxmlformats.org/officeDocument/2006/relationships/image" Target="media/image2.wmf"/><Relationship Id="rId69" Type="http://schemas.openxmlformats.org/officeDocument/2006/relationships/image" Target="media/image32.wmf"/><Relationship Id="rId68" Type="http://schemas.openxmlformats.org/officeDocument/2006/relationships/oleObject" Target="embeddings/oleObject34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3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2.bin"/><Relationship Id="rId63" Type="http://schemas.openxmlformats.org/officeDocument/2006/relationships/image" Target="media/image29.wmf"/><Relationship Id="rId62" Type="http://schemas.openxmlformats.org/officeDocument/2006/relationships/oleObject" Target="embeddings/oleObject31.bin"/><Relationship Id="rId61" Type="http://schemas.openxmlformats.org/officeDocument/2006/relationships/image" Target="media/image28.wmf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2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9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5.bin"/><Relationship Id="rId5" Type="http://schemas.openxmlformats.org/officeDocument/2006/relationships/image" Target="media/image1.wmf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image" Target="media/image8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" Type="http://schemas.openxmlformats.org/officeDocument/2006/relationships/image" Target="media/image6.wmf"/><Relationship Id="rId16" Type="http://schemas.openxmlformats.org/officeDocument/2006/relationships/oleObject" Target="embeddings/oleObject8.bin"/><Relationship Id="rId15" Type="http://schemas.openxmlformats.org/officeDocument/2006/relationships/image" Target="media/image5.wmf"/><Relationship Id="rId14" Type="http://schemas.openxmlformats.org/officeDocument/2006/relationships/oleObject" Target="embeddings/oleObject7.bin"/><Relationship Id="rId13" Type="http://schemas.openxmlformats.org/officeDocument/2006/relationships/oleObject" Target="embeddings/oleObject6.bin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2022-09-18T05:54:40Z</dcterms:created>
  <dc:creator>didshow</dc:creator>
  <cp:lastModifiedBy>没心没肺人不累</cp:lastModifiedBy>
  <dcterms:modified xsi:type="dcterms:W3CDTF">2022-09-18T07:20:36Z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