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ind w:firstLine="540" w:firstLineChars="200"/>
        <w:jc w:val="left"/>
        <w:rPr>
          <w:rFonts w:ascii="微软雅黑" w:hAnsi="微软雅黑" w:eastAsia="微软雅黑"/>
          <w:color w:val="121212"/>
          <w:sz w:val="27"/>
          <w:szCs w:val="27"/>
          <w:shd w:val="clear" w:color="auto" w:fill="FFFFFF"/>
        </w:rPr>
      </w:pPr>
      <w:r>
        <w:rPr>
          <w:rFonts w:hint="eastAsia" w:ascii="微软雅黑" w:hAnsi="微软雅黑" w:eastAsia="微软雅黑"/>
          <w:color w:val="121212"/>
          <w:sz w:val="27"/>
          <w:szCs w:val="27"/>
          <w:shd w:val="clear" w:color="auto" w:fill="FFFFFF"/>
        </w:rPr>
        <w:t>4</w:t>
      </w:r>
      <w:r>
        <w:rPr>
          <w:rFonts w:ascii="微软雅黑" w:hAnsi="微软雅黑" w:eastAsia="微软雅黑"/>
          <w:color w:val="121212"/>
          <w:sz w:val="27"/>
          <w:szCs w:val="27"/>
          <w:shd w:val="clear" w:color="auto" w:fill="FFFFFF"/>
        </w:rPr>
        <w:t>.1</w:t>
      </w:r>
      <w:r>
        <w:rPr>
          <w:rFonts w:hint="eastAsia" w:ascii="微软雅黑" w:hAnsi="微软雅黑" w:eastAsia="微软雅黑"/>
          <w:color w:val="121212"/>
          <w:sz w:val="27"/>
          <w:szCs w:val="27"/>
          <w:shd w:val="clear" w:color="auto" w:fill="FFFFFF"/>
        </w:rPr>
        <w:t>问题四的求解与分析</w:t>
      </w:r>
    </w:p>
    <w:p>
      <w:pPr>
        <w:widowControl/>
        <w:spacing w:before="100" w:beforeAutospacing="1" w:after="100" w:afterAutospacing="1"/>
        <w:ind w:firstLine="480" w:firstLineChars="200"/>
        <w:jc w:val="left"/>
        <w:rPr>
          <w:rFonts w:hint="eastAsia" w:ascii="宋体" w:hAnsi="宋体" w:eastAsia="宋体" w:cs="宋体"/>
          <w:kern w:val="0"/>
          <w:sz w:val="24"/>
          <w:szCs w:val="24"/>
        </w:rPr>
      </w:pPr>
      <w:r>
        <w:rPr>
          <w:rFonts w:hint="eastAsia" w:ascii="宋体" w:hAnsi="宋体" w:eastAsia="宋体" w:cs="宋体"/>
          <w:kern w:val="0"/>
          <w:sz w:val="24"/>
          <w:szCs w:val="24"/>
        </w:rPr>
        <w:t>根据题意将问题分为两个小问。第一小问</w:t>
      </w:r>
      <w:r>
        <w:rPr>
          <w:rFonts w:ascii="宋体" w:hAnsi="宋体" w:eastAsia="宋体"/>
          <w:sz w:val="24"/>
          <w:szCs w:val="24"/>
        </w:rPr>
        <w:t>针对不同类别的玻璃文物样品，分析其化学成分之间的关联关系</w:t>
      </w:r>
      <w:r>
        <w:rPr>
          <w:rFonts w:hint="eastAsia" w:ascii="宋体" w:hAnsi="宋体" w:eastAsia="宋体"/>
          <w:sz w:val="24"/>
          <w:szCs w:val="24"/>
        </w:rPr>
        <w:t>。第二小问</w:t>
      </w:r>
      <w:r>
        <w:rPr>
          <w:rFonts w:ascii="宋体" w:hAnsi="宋体" w:eastAsia="宋体"/>
          <w:sz w:val="24"/>
          <w:szCs w:val="24"/>
        </w:rPr>
        <w:t>比较不同类别之间的化学成分关联关系的差异性。</w:t>
      </w:r>
    </w:p>
    <w:p>
      <w:pPr>
        <w:widowControl/>
        <w:spacing w:before="100" w:beforeAutospacing="1" w:after="100" w:afterAutospacing="1"/>
        <w:ind w:firstLine="540" w:firstLineChars="200"/>
        <w:jc w:val="left"/>
        <w:rPr>
          <w:rFonts w:ascii="微软雅黑" w:hAnsi="微软雅黑" w:eastAsia="微软雅黑"/>
          <w:color w:val="121212"/>
          <w:sz w:val="27"/>
          <w:szCs w:val="27"/>
          <w:shd w:val="clear" w:color="auto" w:fill="FFFFFF"/>
        </w:rPr>
      </w:pPr>
      <w:r>
        <w:rPr>
          <w:rFonts w:hint="eastAsia" w:ascii="微软雅黑" w:hAnsi="微软雅黑" w:eastAsia="微软雅黑"/>
          <w:color w:val="121212"/>
          <w:sz w:val="27"/>
          <w:szCs w:val="27"/>
          <w:shd w:val="clear" w:color="auto" w:fill="FFFFFF"/>
        </w:rPr>
        <w:t>4</w:t>
      </w:r>
      <w:r>
        <w:rPr>
          <w:rFonts w:ascii="微软雅黑" w:hAnsi="微软雅黑" w:eastAsia="微软雅黑"/>
          <w:color w:val="121212"/>
          <w:sz w:val="27"/>
          <w:szCs w:val="27"/>
          <w:shd w:val="clear" w:color="auto" w:fill="FFFFFF"/>
        </w:rPr>
        <w:t>.1.1</w:t>
      </w:r>
      <w:r>
        <w:rPr>
          <w:rFonts w:hint="eastAsia" w:ascii="微软雅黑" w:hAnsi="微软雅黑" w:eastAsia="微软雅黑"/>
          <w:color w:val="121212"/>
          <w:sz w:val="27"/>
          <w:szCs w:val="27"/>
          <w:shd w:val="clear" w:color="auto" w:fill="FFFFFF"/>
        </w:rPr>
        <w:t>数据预处理</w:t>
      </w:r>
    </w:p>
    <w:p>
      <w:pPr>
        <w:widowControl/>
        <w:spacing w:before="100" w:beforeAutospacing="1" w:after="100" w:afterAutospacing="1"/>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根据玻璃文物类别的差异，将文物分为四类，如下：</w:t>
      </w:r>
    </w:p>
    <w:p>
      <w:pPr>
        <w:widowControl/>
        <w:jc w:val="center"/>
        <w:rPr>
          <w:rFonts w:ascii="宋体" w:hAnsi="宋体" w:eastAsia="宋体" w:cs="宋体"/>
          <w:kern w:val="0"/>
          <w:sz w:val="24"/>
          <w:szCs w:val="24"/>
        </w:rPr>
      </w:pPr>
      <w:r>
        <w:drawing>
          <wp:inline distT="0" distB="0" distL="114300" distR="114300">
            <wp:extent cx="4130040" cy="1432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130040" cy="1432560"/>
                    </a:xfrm>
                    <a:prstGeom prst="rect">
                      <a:avLst/>
                    </a:prstGeom>
                    <a:noFill/>
                    <a:ln>
                      <a:noFill/>
                    </a:ln>
                  </pic:spPr>
                </pic:pic>
              </a:graphicData>
            </a:graphic>
          </wp:inline>
        </w:drawing>
      </w:r>
    </w:p>
    <w:p>
      <w:pPr>
        <w:widowControl/>
        <w:spacing w:before="100" w:beforeAutospacing="1" w:after="100" w:afterAutospacing="1"/>
        <w:ind w:firstLine="540" w:firstLineChars="200"/>
        <w:jc w:val="left"/>
        <w:rPr>
          <w:rFonts w:ascii="微软雅黑" w:hAnsi="微软雅黑" w:eastAsia="微软雅黑"/>
          <w:color w:val="121212"/>
          <w:sz w:val="27"/>
          <w:szCs w:val="27"/>
          <w:shd w:val="clear" w:color="auto" w:fill="FFFFFF"/>
        </w:rPr>
      </w:pPr>
      <w:r>
        <w:rPr>
          <w:rFonts w:hint="eastAsia" w:ascii="微软雅黑" w:hAnsi="微软雅黑" w:eastAsia="微软雅黑"/>
          <w:color w:val="121212"/>
          <w:sz w:val="27"/>
          <w:szCs w:val="27"/>
          <w:shd w:val="clear" w:color="auto" w:fill="FFFFFF"/>
        </w:rPr>
        <w:t>4</w:t>
      </w:r>
      <w:r>
        <w:rPr>
          <w:rFonts w:ascii="微软雅黑" w:hAnsi="微软雅黑" w:eastAsia="微软雅黑"/>
          <w:color w:val="121212"/>
          <w:sz w:val="27"/>
          <w:szCs w:val="27"/>
          <w:shd w:val="clear" w:color="auto" w:fill="FFFFFF"/>
        </w:rPr>
        <w:t>.1.2</w:t>
      </w:r>
      <w:r>
        <w:rPr>
          <w:rFonts w:hint="eastAsia" w:ascii="微软雅黑" w:hAnsi="微软雅黑" w:eastAsia="微软雅黑"/>
          <w:color w:val="121212"/>
          <w:sz w:val="27"/>
          <w:szCs w:val="27"/>
          <w:shd w:val="clear" w:color="auto" w:fill="FFFFFF"/>
        </w:rPr>
        <w:t>问题四模型的建立与求解</w:t>
      </w:r>
    </w:p>
    <w:p>
      <w:pPr>
        <w:widowControl/>
        <w:spacing w:before="100" w:beforeAutospacing="1" w:after="100" w:afterAutospacing="1"/>
        <w:ind w:firstLine="480" w:firstLineChars="200"/>
        <w:jc w:val="left"/>
        <w:rPr>
          <w:rFonts w:ascii="宋体" w:hAnsi="宋体" w:eastAsia="宋体" w:cs="宋体"/>
          <w:kern w:val="0"/>
          <w:sz w:val="24"/>
          <w:szCs w:val="24"/>
        </w:rPr>
      </w:pPr>
      <w:r>
        <w:rPr>
          <w:rFonts w:ascii="宋体" w:hAnsi="宋体" w:eastAsia="宋体"/>
          <w:sz w:val="24"/>
          <w:szCs w:val="24"/>
        </w:rPr>
        <w:t>针对不同类别的玻璃文物样品，分析其化学成分之间的关联关系</w:t>
      </w:r>
      <w:r>
        <w:rPr>
          <w:rFonts w:hint="eastAsia" w:ascii="宋体" w:hAnsi="宋体" w:eastAsia="宋体"/>
          <w:sz w:val="24"/>
          <w:szCs w:val="24"/>
        </w:rPr>
        <w:t>，我们选择建立灰色关联分析模型，用关联系数和关联度来表征各化学成分间的关联关系。</w:t>
      </w:r>
      <w:r>
        <w:rPr>
          <w:rFonts w:hint="eastAsia" w:ascii="宋体" w:hAnsi="宋体" w:eastAsia="宋体"/>
          <w:color w:val="111111"/>
          <w:sz w:val="24"/>
          <w:szCs w:val="24"/>
          <w:shd w:val="clear" w:color="auto" w:fill="FFFFFF"/>
        </w:rPr>
        <w:t>关联系数表示了</w:t>
      </w:r>
      <w:r>
        <w:rPr>
          <w:rStyle w:val="7"/>
          <w:rFonts w:hint="eastAsia" w:ascii="宋体" w:hAnsi="宋体" w:eastAsia="宋体"/>
          <w:b w:val="0"/>
          <w:bCs w:val="0"/>
          <w:color w:val="111111"/>
          <w:sz w:val="24"/>
          <w:szCs w:val="24"/>
          <w:shd w:val="clear" w:color="auto" w:fill="FFFFFF"/>
        </w:rPr>
        <w:t>各个时刻参考序列和比较序列之间的关联程度</w:t>
      </w:r>
      <w:r>
        <w:rPr>
          <w:rFonts w:hint="eastAsia" w:ascii="宋体" w:hAnsi="宋体" w:eastAsia="宋体"/>
          <w:b/>
          <w:bCs/>
          <w:color w:val="111111"/>
          <w:sz w:val="24"/>
          <w:szCs w:val="24"/>
          <w:shd w:val="clear" w:color="auto" w:fill="FFFFFF"/>
        </w:rPr>
        <w:t>，</w:t>
      </w:r>
      <w:r>
        <w:rPr>
          <w:rFonts w:hint="eastAsia" w:ascii="宋体" w:hAnsi="宋体" w:eastAsia="宋体"/>
          <w:color w:val="111111"/>
          <w:sz w:val="24"/>
          <w:szCs w:val="24"/>
          <w:shd w:val="clear" w:color="auto" w:fill="FFFFFF"/>
        </w:rPr>
        <w:t>为了从总体上了解序列之间的关联程度，必须求出它们的时间平均值，即关联度。</w:t>
      </w:r>
      <w:r>
        <w:rPr>
          <w:rFonts w:hint="eastAsia" w:ascii="宋体" w:hAnsi="宋体" w:eastAsia="宋体"/>
          <w:sz w:val="24"/>
          <w:szCs w:val="24"/>
        </w:rPr>
        <w:t>在不同类别的玻璃文物中，分别选择不同的的化学成分作为模型的母序列，其余变量作为子序列，利用S</w:t>
      </w:r>
      <w:r>
        <w:rPr>
          <w:rFonts w:ascii="宋体" w:hAnsi="宋体" w:eastAsia="宋体"/>
          <w:sz w:val="24"/>
          <w:szCs w:val="24"/>
        </w:rPr>
        <w:t>PSS</w:t>
      </w:r>
      <w:r>
        <w:rPr>
          <w:rFonts w:hint="eastAsia" w:ascii="宋体" w:hAnsi="宋体" w:eastAsia="宋体"/>
          <w:sz w:val="24"/>
          <w:szCs w:val="24"/>
        </w:rPr>
        <w:t>处理得到以下结果：</w:t>
      </w: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p>
    <w:p>
      <w:pPr>
        <w:rPr>
          <w:rFonts w:ascii="微软雅黑" w:hAnsi="微软雅黑" w:eastAsia="微软雅黑"/>
          <w:color w:val="000000"/>
          <w:szCs w:val="21"/>
          <w:shd w:val="clear" w:color="auto" w:fill="FFFFFF"/>
        </w:rPr>
      </w:pPr>
      <w:r>
        <w:drawing>
          <wp:inline distT="0" distB="0" distL="0" distR="0">
            <wp:extent cx="5143500" cy="2937510"/>
            <wp:effectExtent l="0" t="0" r="7620" b="3810"/>
            <wp:docPr id="62" name="图片 6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图表, 条形图&#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143500" cy="2937510"/>
                    </a:xfrm>
                    <a:prstGeom prst="rect">
                      <a:avLst/>
                    </a:prstGeom>
                    <a:noFill/>
                    <a:ln>
                      <a:noFill/>
                    </a:ln>
                  </pic:spPr>
                </pic:pic>
              </a:graphicData>
            </a:graphic>
          </wp:inline>
        </w:drawing>
      </w:r>
    </w:p>
    <w:p>
      <w:pPr>
        <w:ind w:firstLine="1260" w:firstLineChars="600"/>
        <w:rPr>
          <w:rFonts w:ascii="微软雅黑" w:hAnsi="微软雅黑" w:eastAsia="微软雅黑"/>
          <w:color w:val="000000"/>
          <w:szCs w:val="21"/>
          <w:shd w:val="clear" w:color="auto" w:fill="FFFFFF"/>
        </w:rPr>
      </w:pPr>
      <w:r>
        <w:rPr>
          <w:rFonts w:hint="eastAsia" w:ascii="微软雅黑" w:hAnsi="微软雅黑" w:eastAsia="微软雅黑"/>
          <w:color w:val="000000"/>
          <w:szCs w:val="21"/>
          <w:shd w:val="clear" w:color="auto" w:fill="FFFFFF"/>
        </w:rPr>
        <w:t>图 高钾玻璃氧化前二氧化硅作为母序列的灰色模型关联度图</w:t>
      </w:r>
    </w:p>
    <w:p>
      <w:pPr>
        <w:rPr>
          <w:rFonts w:hint="eastAsia" w:ascii="微软雅黑" w:hAnsi="微软雅黑" w:eastAsia="微软雅黑"/>
          <w:color w:val="000000"/>
          <w:szCs w:val="21"/>
          <w:shd w:val="clear" w:color="auto" w:fill="FFFFFF"/>
        </w:rPr>
      </w:pPr>
    </w:p>
    <w:p>
      <w:pPr>
        <w:jc w:val="center"/>
        <w:rPr>
          <w:rFonts w:hint="eastAsia" w:ascii="微软雅黑" w:hAnsi="微软雅黑" w:eastAsia="微软雅黑"/>
          <w:color w:val="000000"/>
          <w:szCs w:val="21"/>
          <w:shd w:val="clear" w:color="auto" w:fill="FFFFFF"/>
        </w:rPr>
      </w:pPr>
      <w:r>
        <w:rPr>
          <w:rFonts w:hint="eastAsia" w:ascii="微软雅黑" w:hAnsi="微软雅黑" w:eastAsia="微软雅黑"/>
          <w:color w:val="000000"/>
          <w:szCs w:val="21"/>
          <w:shd w:val="clear" w:color="auto" w:fill="FFFFFF"/>
        </w:rPr>
        <w:drawing>
          <wp:inline distT="0" distB="0" distL="0" distR="0">
            <wp:extent cx="5443855" cy="3110230"/>
            <wp:effectExtent l="0" t="0" r="4445" b="0"/>
            <wp:docPr id="43" name="图片 4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图表, 条形图&#10;&#10;描述已自动生成"/>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9384" cy="3159457"/>
                    </a:xfrm>
                    <a:prstGeom prst="rect">
                      <a:avLst/>
                    </a:prstGeom>
                  </pic:spPr>
                </pic:pic>
              </a:graphicData>
            </a:graphic>
          </wp:inline>
        </w:drawing>
      </w:r>
      <w:r>
        <w:rPr>
          <w:rFonts w:hint="eastAsia" w:ascii="微软雅黑" w:hAnsi="微软雅黑" w:eastAsia="微软雅黑"/>
          <w:color w:val="000000"/>
          <w:szCs w:val="21"/>
          <w:shd w:val="clear" w:color="auto" w:fill="FFFFFF"/>
        </w:rPr>
        <w:t>图高钾玻璃氧化后二氧化硅作为母序列的灰色模型关联度图</w:t>
      </w:r>
    </w:p>
    <w:p>
      <w:pPr>
        <w:widowControl/>
        <w:spacing w:before="100" w:beforeAutospacing="1" w:after="100" w:afterAutospacing="1"/>
        <w:ind w:firstLine="480" w:firstLineChars="200"/>
        <w:jc w:val="left"/>
        <w:rPr>
          <w:rFonts w:ascii="宋体" w:hAnsi="宋体" w:eastAsia="宋体" w:cs="宋体"/>
          <w:kern w:val="0"/>
          <w:sz w:val="24"/>
          <w:szCs w:val="24"/>
        </w:rPr>
      </w:pPr>
    </w:p>
    <w:p>
      <w:pPr>
        <w:widowControl/>
        <w:spacing w:before="100" w:beforeAutospacing="1" w:after="100" w:afterAutospacing="1"/>
        <w:ind w:firstLine="480" w:firstLineChars="200"/>
        <w:jc w:val="left"/>
        <w:rPr>
          <w:rFonts w:ascii="宋体" w:hAnsi="宋体" w:eastAsia="宋体" w:cs="宋体"/>
          <w:kern w:val="0"/>
          <w:sz w:val="24"/>
          <w:szCs w:val="24"/>
        </w:rPr>
      </w:pPr>
    </w:p>
    <w:p>
      <w:pPr>
        <w:widowControl/>
        <w:spacing w:before="100" w:beforeAutospacing="1" w:after="100" w:afterAutospacing="1"/>
        <w:ind w:firstLine="480" w:firstLineChars="200"/>
        <w:jc w:val="left"/>
        <w:rPr>
          <w:rFonts w:hint="eastAsia" w:ascii="宋体" w:hAnsi="宋体" w:eastAsia="宋体"/>
          <w:color w:val="111111"/>
          <w:sz w:val="24"/>
          <w:szCs w:val="24"/>
          <w:shd w:val="clear" w:color="auto" w:fill="FFFFFF"/>
        </w:rPr>
      </w:pPr>
    </w:p>
    <w:p>
      <w:pPr>
        <w:widowControl/>
        <w:spacing w:before="100" w:beforeAutospacing="1" w:after="100" w:afterAutospacing="1"/>
        <w:ind w:firstLine="480" w:firstLineChars="200"/>
        <w:jc w:val="left"/>
        <w:rPr>
          <w:rFonts w:hint="eastAsia"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2402840" cy="3484880"/>
            <wp:effectExtent l="0" t="0" r="0" b="1270"/>
            <wp:docPr id="58" name="图片 58"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图片包含 表格&#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427748" cy="3520394"/>
                    </a:xfrm>
                    <a:prstGeom prst="rect">
                      <a:avLst/>
                    </a:prstGeom>
                    <a:noFill/>
                    <a:ln>
                      <a:noFill/>
                    </a:ln>
                  </pic:spPr>
                </pic:pic>
              </a:graphicData>
            </a:graphic>
          </wp:inline>
        </w:drawing>
      </w:r>
      <w:r>
        <w:rPr>
          <w:rFonts w:ascii="宋体" w:hAnsi="宋体" w:eastAsia="宋体" w:cs="宋体"/>
          <w:kern w:val="0"/>
          <w:sz w:val="24"/>
          <w:szCs w:val="24"/>
        </w:rPr>
        <w:drawing>
          <wp:inline distT="0" distB="0" distL="0" distR="0">
            <wp:extent cx="2616200" cy="3493135"/>
            <wp:effectExtent l="0" t="0" r="0" b="0"/>
            <wp:docPr id="57" name="图片 57"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图片包含 表格&#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49217" cy="3536788"/>
                    </a:xfrm>
                    <a:prstGeom prst="rect">
                      <a:avLst/>
                    </a:prstGeom>
                    <a:noFill/>
                    <a:ln>
                      <a:noFill/>
                    </a:ln>
                  </pic:spPr>
                </pic:pic>
              </a:graphicData>
            </a:graphic>
          </wp:inline>
        </w:drawing>
      </w:r>
    </w:p>
    <w:p>
      <w:pPr>
        <w:ind w:firstLine="1470" w:firstLineChars="700"/>
      </w:pPr>
      <w:r>
        <w:rPr>
          <w:rFonts w:hint="eastAsia"/>
        </w:rPr>
        <w:t xml:space="preserve">表 高钾风化前 </w:t>
      </w:r>
      <w:r>
        <w:t xml:space="preserve">                     </w:t>
      </w:r>
      <w:r>
        <w:rPr>
          <w:rFonts w:hint="eastAsia"/>
        </w:rPr>
        <w:t>表 铅钡风化前</w:t>
      </w:r>
    </w:p>
    <w:p>
      <w:pPr>
        <w:widowControl/>
        <w:jc w:val="left"/>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2442845" cy="3552190"/>
            <wp:effectExtent l="0" t="0" r="0" b="0"/>
            <wp:docPr id="59" name="图片 59"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图片包含 表格&#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462224" cy="3580548"/>
                    </a:xfrm>
                    <a:prstGeom prst="rect">
                      <a:avLst/>
                    </a:prstGeom>
                    <a:noFill/>
                    <a:ln>
                      <a:noFill/>
                    </a:ln>
                  </pic:spPr>
                </pic:pic>
              </a:graphicData>
            </a:graphic>
          </wp:inline>
        </w:drawing>
      </w:r>
      <w:r>
        <w:t xml:space="preserve"> </w:t>
      </w:r>
      <w:r>
        <w:rPr>
          <w:rFonts w:ascii="宋体" w:hAnsi="宋体" w:eastAsia="宋体" w:cs="宋体"/>
          <w:kern w:val="0"/>
          <w:sz w:val="24"/>
          <w:szCs w:val="24"/>
        </w:rPr>
        <w:drawing>
          <wp:inline distT="0" distB="0" distL="0" distR="0">
            <wp:extent cx="2508250" cy="3596005"/>
            <wp:effectExtent l="0" t="0" r="6350" b="444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539495" cy="3641002"/>
                    </a:xfrm>
                    <a:prstGeom prst="rect">
                      <a:avLst/>
                    </a:prstGeom>
                    <a:noFill/>
                    <a:ln>
                      <a:noFill/>
                    </a:ln>
                  </pic:spPr>
                </pic:pic>
              </a:graphicData>
            </a:graphic>
          </wp:inline>
        </w:drawing>
      </w:r>
    </w:p>
    <w:p>
      <w:pPr>
        <w:ind w:firstLine="1890" w:firstLineChars="900"/>
        <w:rPr>
          <w:rFonts w:hint="eastAsia"/>
        </w:rPr>
      </w:pPr>
      <w:r>
        <w:rPr>
          <w:rFonts w:hint="eastAsia"/>
        </w:rPr>
        <w:t xml:space="preserve">表 高钾风化后 </w:t>
      </w:r>
      <w:r>
        <w:t xml:space="preserve">                    </w:t>
      </w:r>
      <w:r>
        <w:rPr>
          <w:rFonts w:hint="eastAsia"/>
        </w:rPr>
        <w:t>表 铅钡风化后</w:t>
      </w:r>
    </w:p>
    <w:p>
      <w:pPr>
        <w:widowControl/>
        <w:spacing w:before="100" w:beforeAutospacing="1" w:after="100" w:afterAutospacing="1"/>
        <w:ind w:firstLine="480" w:firstLineChars="200"/>
        <w:jc w:val="left"/>
        <w:rPr>
          <w:rFonts w:ascii="宋体" w:hAnsi="宋体" w:eastAsia="宋体"/>
          <w:sz w:val="24"/>
          <w:szCs w:val="24"/>
        </w:rPr>
      </w:pPr>
      <w:r>
        <w:rPr>
          <w:rFonts w:hint="eastAsia" w:ascii="宋体" w:hAnsi="宋体" w:eastAsia="宋体" w:cs="宋体"/>
          <w:kern w:val="0"/>
          <w:sz w:val="24"/>
          <w:szCs w:val="24"/>
        </w:rPr>
        <w:t>由上列表格可知，在高钾玻璃风化前，与二氧化硅联系最紧密的是氧化钾和氧化铝，其关联度分别为0</w:t>
      </w:r>
      <w:r>
        <w:rPr>
          <w:rFonts w:ascii="宋体" w:hAnsi="宋体" w:eastAsia="宋体" w:cs="宋体"/>
          <w:kern w:val="0"/>
          <w:sz w:val="24"/>
          <w:szCs w:val="24"/>
        </w:rPr>
        <w:t>.894</w:t>
      </w:r>
      <w:r>
        <w:rPr>
          <w:rFonts w:hint="eastAsia" w:ascii="宋体" w:hAnsi="宋体" w:eastAsia="宋体" w:cs="宋体"/>
          <w:kern w:val="0"/>
          <w:sz w:val="24"/>
          <w:szCs w:val="24"/>
        </w:rPr>
        <w:t>和0</w:t>
      </w:r>
      <w:r>
        <w:rPr>
          <w:rFonts w:ascii="宋体" w:hAnsi="宋体" w:eastAsia="宋体" w:cs="宋体"/>
          <w:kern w:val="0"/>
          <w:sz w:val="24"/>
          <w:szCs w:val="24"/>
        </w:rPr>
        <w:t>.866</w:t>
      </w:r>
      <w:r>
        <w:rPr>
          <w:rFonts w:hint="eastAsia" w:ascii="宋体" w:hAnsi="宋体" w:eastAsia="宋体" w:cs="宋体"/>
          <w:kern w:val="0"/>
          <w:sz w:val="24"/>
          <w:szCs w:val="24"/>
        </w:rPr>
        <w:t>。同理通过上列表格我们也能读出</w:t>
      </w:r>
      <w:r>
        <w:rPr>
          <w:rFonts w:ascii="宋体" w:hAnsi="宋体" w:eastAsia="宋体"/>
          <w:sz w:val="24"/>
          <w:szCs w:val="24"/>
        </w:rPr>
        <w:t>不同类别的玻璃文物样品其化学成分之间的关联关系</w:t>
      </w:r>
      <w:r>
        <w:rPr>
          <w:rFonts w:hint="eastAsia" w:ascii="宋体" w:hAnsi="宋体" w:eastAsia="宋体"/>
          <w:sz w:val="24"/>
          <w:szCs w:val="24"/>
        </w:rPr>
        <w:t>。</w:t>
      </w:r>
    </w:p>
    <w:p>
      <w:pPr>
        <w:widowControl/>
        <w:spacing w:before="100" w:beforeAutospacing="1" w:after="100" w:afterAutospacing="1"/>
        <w:ind w:firstLine="480" w:firstLineChars="200"/>
        <w:jc w:val="left"/>
        <w:rPr>
          <w:rFonts w:hint="eastAsia" w:ascii="宋体" w:hAnsi="宋体" w:eastAsia="宋体"/>
          <w:sz w:val="24"/>
          <w:szCs w:val="24"/>
        </w:rPr>
      </w:pPr>
      <w:r>
        <w:rPr>
          <w:rFonts w:hint="eastAsia" w:ascii="宋体" w:hAnsi="宋体" w:eastAsia="宋体"/>
          <w:sz w:val="24"/>
          <w:szCs w:val="24"/>
        </w:rPr>
        <w:t>由此，第一问解决。</w:t>
      </w:r>
    </w:p>
    <w:p>
      <w:pPr>
        <w:widowControl/>
        <w:spacing w:before="100" w:beforeAutospacing="1" w:after="100" w:afterAutospacing="1"/>
        <w:ind w:firstLine="420" w:firstLineChars="200"/>
        <w:jc w:val="center"/>
      </w:pPr>
      <w:r>
        <w:drawing>
          <wp:inline distT="0" distB="0" distL="114300" distR="114300">
            <wp:extent cx="4578350" cy="2755265"/>
            <wp:effectExtent l="0" t="0" r="889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578350" cy="2755265"/>
                    </a:xfrm>
                    <a:prstGeom prst="rect">
                      <a:avLst/>
                    </a:prstGeom>
                    <a:noFill/>
                    <a:ln>
                      <a:noFill/>
                    </a:ln>
                  </pic:spPr>
                </pic:pic>
              </a:graphicData>
            </a:graphic>
          </wp:inline>
        </w:drawing>
      </w:r>
      <w:r>
        <w:drawing>
          <wp:inline distT="0" distB="0" distL="114300" distR="114300">
            <wp:extent cx="4584065" cy="2755265"/>
            <wp:effectExtent l="0" t="0" r="317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4584065" cy="2755265"/>
                    </a:xfrm>
                    <a:prstGeom prst="rect">
                      <a:avLst/>
                    </a:prstGeom>
                    <a:noFill/>
                    <a:ln>
                      <a:noFill/>
                    </a:ln>
                  </pic:spPr>
                </pic:pic>
              </a:graphicData>
            </a:graphic>
          </wp:inline>
        </w:drawing>
      </w:r>
    </w:p>
    <w:p>
      <w:pPr>
        <w:widowControl/>
        <w:spacing w:before="100" w:beforeAutospacing="1" w:after="100" w:afterAutospacing="1"/>
        <w:jc w:val="center"/>
      </w:pPr>
      <w:r>
        <w:rPr>
          <w:rFonts w:hint="eastAsia"/>
          <w:lang w:val="en-US" w:eastAsia="zh-CN"/>
        </w:rPr>
        <w:t xml:space="preserve">    </w:t>
      </w:r>
      <w:r>
        <w:drawing>
          <wp:inline distT="0" distB="0" distL="114300" distR="114300">
            <wp:extent cx="4584065" cy="2755265"/>
            <wp:effectExtent l="0" t="0" r="317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584065" cy="2755265"/>
                    </a:xfrm>
                    <a:prstGeom prst="rect">
                      <a:avLst/>
                    </a:prstGeom>
                    <a:noFill/>
                    <a:ln>
                      <a:noFill/>
                    </a:ln>
                  </pic:spPr>
                </pic:pic>
              </a:graphicData>
            </a:graphic>
          </wp:inline>
        </w:drawing>
      </w:r>
    </w:p>
    <w:p>
      <w:pPr>
        <w:widowControl/>
        <w:spacing w:before="100" w:beforeAutospacing="1" w:after="100" w:afterAutospacing="1"/>
        <w:jc w:val="center"/>
      </w:pPr>
    </w:p>
    <w:p>
      <w:pPr>
        <w:widowControl/>
        <w:spacing w:before="100" w:beforeAutospacing="1" w:after="100" w:afterAutospacing="1"/>
        <w:jc w:val="center"/>
      </w:pPr>
      <w:bookmarkStart w:id="0" w:name="_GoBack"/>
      <w:bookmarkEnd w:id="0"/>
      <w:r>
        <w:drawing>
          <wp:inline distT="0" distB="0" distL="114300" distR="114300">
            <wp:extent cx="4584065" cy="2755265"/>
            <wp:effectExtent l="0" t="0" r="317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4584065" cy="2755265"/>
                    </a:xfrm>
                    <a:prstGeom prst="rect">
                      <a:avLst/>
                    </a:prstGeom>
                    <a:noFill/>
                    <a:ln>
                      <a:noFill/>
                    </a:ln>
                  </pic:spPr>
                </pic:pic>
              </a:graphicData>
            </a:graphic>
          </wp:inline>
        </w:drawing>
      </w:r>
    </w:p>
    <w:p>
      <w:pPr>
        <w:widowControl/>
        <w:spacing w:before="100" w:beforeAutospacing="1" w:after="100" w:afterAutospacing="1"/>
        <w:ind w:firstLine="420" w:firstLineChars="200"/>
        <w:jc w:val="left"/>
        <w:rPr>
          <w:rFonts w:hint="default" w:eastAsiaTheme="minorEastAsia"/>
          <w:lang w:val="en-US" w:eastAsia="zh-CN"/>
        </w:rPr>
      </w:pPr>
    </w:p>
    <w:p>
      <w:pPr>
        <w:widowControl/>
        <w:spacing w:before="100" w:beforeAutospacing="1" w:after="100" w:afterAutospacing="1"/>
        <w:ind w:firstLine="420" w:firstLineChars="200"/>
        <w:jc w:val="left"/>
        <w:rPr>
          <w:rFonts w:hint="default"/>
          <w:lang w:val="en-US" w:eastAsia="zh-CN"/>
        </w:rPr>
      </w:pPr>
    </w:p>
    <w:p>
      <w:pPr>
        <w:widowControl/>
        <w:spacing w:before="100" w:beforeAutospacing="1" w:after="100" w:afterAutospacing="1"/>
        <w:ind w:firstLine="480" w:firstLineChars="20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rPr>
        <w:t>对于第二问，</w:t>
      </w:r>
      <w:r>
        <w:rPr>
          <w:rFonts w:ascii="宋体" w:hAnsi="宋体" w:eastAsia="宋体"/>
          <w:sz w:val="24"/>
          <w:szCs w:val="24"/>
        </w:rPr>
        <w:t>比较不同类别之间的化学成分关联关系的差异性。</w:t>
      </w:r>
      <w:r>
        <w:rPr>
          <w:rFonts w:hint="eastAsia" w:ascii="宋体" w:hAnsi="宋体" w:eastAsia="宋体" w:cs="宋体"/>
          <w:kern w:val="0"/>
          <w:sz w:val="24"/>
          <w:szCs w:val="24"/>
        </w:rPr>
        <w:t>同样在上面的表格中，我们对所计算出来的灰色关联系数进行了求方差处理，处理结果也在</w:t>
      </w:r>
      <w:r>
        <w:rPr>
          <w:rFonts w:hint="eastAsia" w:ascii="宋体" w:hAnsi="宋体" w:eastAsia="宋体" w:cs="宋体"/>
          <w:kern w:val="0"/>
          <w:sz w:val="24"/>
          <w:szCs w:val="24"/>
          <w:lang w:val="en-US" w:eastAsia="zh-CN"/>
        </w:rPr>
        <w:t>上述折线图</w:t>
      </w:r>
      <w:r>
        <w:rPr>
          <w:rFonts w:hint="eastAsia" w:ascii="宋体" w:hAnsi="宋体" w:eastAsia="宋体" w:cs="宋体"/>
          <w:kern w:val="0"/>
          <w:sz w:val="24"/>
          <w:szCs w:val="24"/>
        </w:rPr>
        <w:t>中。通过观察</w:t>
      </w:r>
      <w:r>
        <w:rPr>
          <w:rFonts w:hint="eastAsia" w:ascii="宋体" w:hAnsi="宋体" w:eastAsia="宋体" w:cs="宋体"/>
          <w:kern w:val="0"/>
          <w:sz w:val="24"/>
          <w:szCs w:val="24"/>
          <w:lang w:val="en-US" w:eastAsia="zh-CN"/>
        </w:rPr>
        <w:t>折线图</w:t>
      </w:r>
      <w:r>
        <w:rPr>
          <w:rFonts w:hint="eastAsia" w:ascii="宋体" w:hAnsi="宋体" w:eastAsia="宋体" w:cs="宋体"/>
          <w:kern w:val="0"/>
          <w:sz w:val="24"/>
          <w:szCs w:val="24"/>
        </w:rPr>
        <w:t>我们很容易发现，玻璃文物风化前后各化学成分间的关联关系基本保持不变，高钾玻璃文物的化学成分的关联关系比铅钡玻璃文物的更集中更为稳定。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C50"/>
    <w:rsid w:val="000F683D"/>
    <w:rsid w:val="00270D2C"/>
    <w:rsid w:val="003E2C50"/>
    <w:rsid w:val="004001C3"/>
    <w:rsid w:val="004363BD"/>
    <w:rsid w:val="0055697A"/>
    <w:rsid w:val="005659E7"/>
    <w:rsid w:val="00601E52"/>
    <w:rsid w:val="006122CD"/>
    <w:rsid w:val="006E0E28"/>
    <w:rsid w:val="007209CC"/>
    <w:rsid w:val="008159D1"/>
    <w:rsid w:val="00A376D4"/>
    <w:rsid w:val="00AE11FD"/>
    <w:rsid w:val="00B06157"/>
    <w:rsid w:val="00B27BE9"/>
    <w:rsid w:val="00B90457"/>
    <w:rsid w:val="00BE145C"/>
    <w:rsid w:val="00C004DE"/>
    <w:rsid w:val="00C640F2"/>
    <w:rsid w:val="00CD2739"/>
    <w:rsid w:val="00D42641"/>
    <w:rsid w:val="00D970B9"/>
    <w:rsid w:val="00E3104A"/>
    <w:rsid w:val="00F11846"/>
    <w:rsid w:val="00F12096"/>
    <w:rsid w:val="00F65143"/>
    <w:rsid w:val="00F76EEB"/>
    <w:rsid w:val="05C33593"/>
    <w:rsid w:val="315E58A7"/>
    <w:rsid w:val="529B1D65"/>
    <w:rsid w:val="59F91416"/>
    <w:rsid w:val="5B853D09"/>
    <w:rsid w:val="6F0F4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8">
    <w:name w:val="页眉 字符"/>
    <w:basedOn w:val="6"/>
    <w:link w:val="3"/>
    <w:qFormat/>
    <w:uiPriority w:val="99"/>
    <w:rPr>
      <w:sz w:val="18"/>
      <w:szCs w:val="18"/>
    </w:rPr>
  </w:style>
  <w:style w:type="character" w:customStyle="1" w:styleId="9">
    <w:name w:val="页脚 字符"/>
    <w:basedOn w:val="6"/>
    <w:link w:val="2"/>
    <w:uiPriority w:val="99"/>
    <w:rPr>
      <w:sz w:val="18"/>
      <w:szCs w:val="18"/>
    </w:rPr>
  </w:style>
  <w:style w:type="paragraph" w:customStyle="1" w:styleId="10">
    <w:name w:val="ztext-empty-paragraph"/>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109</Words>
  <Characters>623</Characters>
  <Lines>5</Lines>
  <Paragraphs>1</Paragraphs>
  <TotalTime>3</TotalTime>
  <ScaleCrop>false</ScaleCrop>
  <LinksUpToDate>false</LinksUpToDate>
  <CharactersWithSpaces>731</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2022-09-18T03:50:00Z</dcterms:created>
  <dc:creator>卢 顺发</dc:creator>
  <cp:lastModifiedBy>没心没肺人不累</cp:lastModifiedBy>
  <dcterms:modified xsi:type="dcterms:W3CDTF">2022-09-18T08:25:54Z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