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3"/>
        <w:widowControl/>
      </w:pPr>
      <w:r>
        <w:t xml:space="preserve">分析流程</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0.771</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14905.513</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KMO检验的结果显示，KMO的值为0.771，同时，Bartlett球形检验的结果显示，显著性P值为0.000***，水平上呈现显著性，拒绝原假设，各变量间具有相关性，主成分分析有效，程度为一般。</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33.74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49.431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57.619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65.701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73.109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80.442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94.865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97.543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99.467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99.894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方差解释表中，在主成分5时，总方差解释的特征根低于1.0，变量解释的贡献率达到73.109，以上仅为参考，若特征根小于1.0临界值过大，也可以集合具体情况具体分析。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155526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55526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gridCol w:w="100"/>
        <w:gridCol w:w="100"/>
      </w:tblGrid>
      <w:tr>
        <w:tc>
          <w:tcPr>
            <w:gridSpan w:val="12"/>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0"/>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主成分10</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RID_1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AGE_1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PIB_1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ABETA_1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TAU_1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PTAU_1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ADAS13_1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CDRSB_1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ADAS11_1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MMSE_1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LDELTOTAL_1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DIGITSCOR_1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TRABSCOR_1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0.298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0.285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-0.249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-0.434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-0.136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0.381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gridCol w:w="100"/>
      </w:tblGrid>
      <w:tr>
        <w:tc>
          <w:tcPr>
            <w:gridSpan w:val="12"/>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0"/>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RID_1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AGE_1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PIB_1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ABETA_1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TAU_1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PTAU_1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ADAS13_1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CDRSB_1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ADAS11_1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MMSE_1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LDELTOTAL_1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DIGITSCOR_1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TRABSCOR_1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-0.259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-0.157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0.383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0.0024850665872491744×RID_1+0.006808190851429656×AGE_1+0.017635746991739074×PIB_1-0.05904231947060954×ABETA_1+0.048918835961174294×TAU_1+0.04575656325069753×PTAU_1+0.20759042961643623×ADAS13_1+0.18515886366813167×CDRSB_1+0.20636815055819885×ADAS11_1-0.19693965516277426×MMSE_1-0.13716476186356072×LDELTOTAL_1-0.15187260345157277×DIGITSCOR_1+0.13791097316200235×TRABSCOR_1</w:t>
      </w:r>
      <w:r>
        <w:rPr>
          <w:b w:val="false"/>
          <w:bCs w:val="false"/>
          <w:color w:val="000000"/>
          <w:sz w:val="18"/>
          <w:szCs w:val="18"/>
        </w:rPr>
        <w:br/>
        <w:t xml:space="preserve">F2=0.02111176720393411×RID_1-0.025860081714108137×AGE_1+0.06255293542914936×PIB_1-0.16025186536334265×ABETA_1+0.4637824568200275×TAU_1+0.4692143977863494×PTAU_1-0.04996497348153745×ADAS13_1-0.05867474245449825×CDRSB_1-0.060492480627164794×ADAS11_1+0.057980962165430236×MMSE_1-0.06086890195826133×LDELTOTAL_1+0.07014059351741371×DIGITSCOR_1-0.051890812490957575×TRABSCOR_1</w:t>
      </w:r>
      <w:r>
        <w:rPr>
          <w:b w:val="false"/>
          <w:bCs w:val="false"/>
          <w:color w:val="000000"/>
          <w:sz w:val="18"/>
          <w:szCs w:val="18"/>
        </w:rPr>
        <w:br/>
        <w:t xml:space="preserve">F3=0.2598862361498174×RID_1+0.6021959076723886×AGE_1-0.3723999364289862×PIB_1+0.4083418778234817×ABETA_1+0.15089394107914464×TAU_1+0.12536532997962593×PTAU_1-0.04744310414278284×ADAS13_1-0.01247413786597617×CDRSB_1-0.06096026229617245×ADAS11_1+0.06028941860927489×MMSE_1+0.16706316391840748×LDELTOTAL_1-0.22193160440966325×DIGITSCOR_1+0.28014721316782026×TRABSCOR_1</w:t>
      </w:r>
      <w:r>
        <w:rPr>
          <w:b w:val="false"/>
          <w:bCs w:val="false"/>
          <w:color w:val="000000"/>
          <w:sz w:val="18"/>
          <w:szCs w:val="18"/>
        </w:rPr>
        <w:br/>
        <w:t xml:space="preserve">F4=0.7006965119421421×RID_1-0.3132349883381715×AGE_1+0.46563203457684604×PIB_1+0.08789418274285872×ABETA_1-0.014117150006136817×TAU_1-0.018524290688149238×PTAU_1-0.031277514576454356×ADAS13_1-0.060950705755729216×CDRSB_1-0.054469701202609556×ADAS11_1+0.06937722040661773×MMSE_1+0.1541306719298549×LDELTOTAL_1-0.16673974360051547×DIGITSCOR_1+0.2712453312579106×TRABSCOR_1</w:t>
      </w:r>
      <w:r>
        <w:rPr>
          <w:b w:val="false"/>
          <w:bCs w:val="false"/>
          <w:color w:val="000000"/>
          <w:sz w:val="18"/>
          <w:szCs w:val="18"/>
        </w:rPr>
        <w:br/>
        <w:t xml:space="preserve">F5=0.08339048058646781×RID_1+0.6611363835798786×AGE_1+0.6384866163350135×PIB_1+0.003727017655856524×ABETA_1-0.06272401661721329×TAU_1-0.06522563921563605×PTAU_1+0.025295874622817238×ADAS13_1+0.06408675394930217×CDRSB_1+0.031113558839203567×ADAS11_1-0.013721765326403757×MMSE_1-0.24031526368985331×LDELTOTAL_1+0.21849725414761598×DIGITSCOR_1-0.25897345854871023×TRABSCOR_1</w:t>
      </w:r>
      <w:r>
        <w:rPr>
          <w:b w:val="false"/>
          <w:bCs w:val="false"/>
          <w:color w:val="000000"/>
          <w:sz w:val="18"/>
          <w:szCs w:val="18"/>
        </w:rPr>
        <w:br/>
        <w:t xml:space="preserve">F6=0.5760060338048997×RID_1-0.09543933047964448×AGE_1-0.4017402755140512×PIB_1+0.0863852494824019×ABETA_1+0.0020775172211340226×TAU_1-0.006142822288064218×PTAU_1+0.12649027296869067×ADAS13_1+0.21064403120065248×CDRSB_1+0.16844731234894023×ADAS11_1-0.13773474380316497×MMSE_1-0.12175908770472765×LDELTOTAL_1+0.45710207901130695×DIGITSCOR_1-0.4556923135336403×TRABSCOR_1</w:t>
      </w:r>
      <w:r>
        <w:rPr>
          <w:b w:val="false"/>
          <w:bCs w:val="false"/>
          <w:color w:val="000000"/>
          <w:sz w:val="18"/>
          <w:szCs w:val="18"/>
        </w:rPr>
        <w:br/>
        <w:t xml:space="preserve">F7=-0.30156305902252567×RID_1-0.26553028688329183×AGE_1+0.2602362807795818×PIB_1+0.8857458737288114×ABETA_1+0.17048871788840592×TAU_1+0.13400292405956732×PTAU_1+0.11881548264942784×ADAS13_1+0.0953187484093102×CDRSB_1+0.1358693028418679×ADAS11_1-0.09582478378545144×MMSE_1+0.115110037432414×LDELTOTAL_1+0.10505594643781171×DIGITSCOR_1-0.15726168475359673×TRABSCOR_1</w:t>
      </w:r>
      <w:r>
        <w:rPr>
          <w:b w:val="false"/>
          <w:bCs w:val="false"/>
          <w:color w:val="000000"/>
          <w:sz w:val="18"/>
          <w:szCs w:val="18"/>
        </w:rPr>
        <w:br/>
        <w:t xml:space="preserve">F8=-0.048908577182543725×RID_1+0.1595995630552845×AGE_1+0.11972618252615383×PIB_1-0.3123213357095595×ABETA_1+0.04616021113745003×TAU_1+0.054211754457417674×PTAU_1+0.161986575320241×ADAS13_1+0.2016108422281361×CDRSB_1+0.2576749656891125×ADAS11_1-0.1907201542742407×MMSE_1+1.10129156255347×LDELTOTAL_1+0.03831420849981228×DIGITSCOR_1-0.22529910305526984×TRABSCOR_1</w:t>
      </w:r>
      <w:r>
        <w:rPr>
          <w:b w:val="false"/>
          <w:bCs w:val="false"/>
          <w:color w:val="000000"/>
          <w:sz w:val="18"/>
          <w:szCs w:val="18"/>
        </w:rPr>
        <w:br/>
        <w:t xml:space="preserve">F9=-0.137818824264461×RID_1+0.006151704977721881×AGE_1+0.04386642172048547×PIB_1-0.03296118090792566×ABETA_1+0.0017875761461229754×TAU_1-0.015592772836488886×PTAU_1-0.24527805710540518×ADAS13_1+0.5416778429218783×CDRSB_1-0.18561152402881856×ADAS11_1-0.1437940983784701×MMSE_1+0.1020511780991747×LDELTOTAL_1+1.088616613938357×DIGITSCOR_1+1.0016769710142461×TRABSCOR_1</w:t>
      </w:r>
      <w:r>
        <w:rPr>
          <w:b w:val="false"/>
          <w:bCs w:val="false"/>
          <w:color w:val="000000"/>
          <w:sz w:val="18"/>
          <w:szCs w:val="18"/>
        </w:rPr>
        <w:br/>
        <w:t xml:space="preserve">F10=2.856853091146182e-05×RID_1+0.08412330125323333×AGE_1-0.0393749068128692×PIB_1-0.009738791245503378×ABETA_1-0.018345832974727787×TAU_1-0.014958255639707582×PTAU_1+0.7364579428121445×ADAS13_1-1.2178207494378814×CDRSB_1+0.6239473316883707×ADAS11_1+0.10754803480592168×MMSE_1+0.037846475505136416×LDELTOTAL_1+0.5368116901600459×DIGITSCOR_1+0.3833849741027226×TRABSCOR_1</w:t>
      </w:r>
      <w:r>
        <w:rPr>
          <w:b w:val="false"/>
          <w:bCs w:val="false"/>
          <w:color w:val="000000"/>
          <w:sz w:val="18"/>
          <w:szCs w:val="18"/>
        </w:rPr>
        <w:br/>
        <w:t xml:space="preserve">由上可以得到：</w:t>
      </w:r>
      <w:r>
        <w:rPr>
          <w:b w:val="false"/>
          <w:bCs w:val="false"/>
          <w:color w:val="000000"/>
          <w:sz w:val="18"/>
          <w:szCs w:val="18"/>
        </w:rPr>
        <w:br/>
        <w:t xml:space="preserve">F=(0.337/0.975)×F1+(0.157/0.975)×F2+(0.082/0.975)×F3+(0.081/0.975)×F4+(0.074/0.975)×F5+(0.073/0.975)×F6+(0.066/0.975)×F7+(0.049/0.975)×F8+(0.029/0.975)×F9+(0.027/0.975)×F10</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34.59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49.431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16.086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57.619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65.701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8.286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80.442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6.795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94.865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2.999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2.678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97.543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2.746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34.59%、主成分2的权重为16.086%、主成分3的权重为8.394%、主成分4的权重为8.286%、主成分5的权重为7.595%、主成分6的权重为7.518%、主成分7的权重为6.795%、主成分8的权重为4.993%、主成分9的权重为2.999%、主成分10的权重为2.746%，其中指标权重最大值为主成分1（34.59%），最小值为主成分10（2.746%）。</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主成分4</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主成分5</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主成分6</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主成分7</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主成分8</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主成分9</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2.1688825868627872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2.880792793678221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4.216216585922424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2.4320674627521535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-0.7050830907385279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0.44718773728057093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1.0147275489802963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2.139545749453065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0.8683710339461005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2.940366911394626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-1.4090316410558852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2.079665553602039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3.143837193247714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4.1247279702491655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2.6318457710524856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-0.42451287406337246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0.0781985116107493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0.16407513944520294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1.5439697203571474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0.9187380914372124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0.8133672801400845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-1.8385089552588931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2.0735869235579107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2.2504561111163506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7.584266684224988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-1.581331811625948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3.2685357559182275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0.6980702542126228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-3.101186226120559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1.8607981929772894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0.6113916552936082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0.4341291380351419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-1.9222356883589422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1.9133765159168967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1.8465987873462395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8.38613666787711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0.29138392148594255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-1.3999701323992788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-1.0366395783164066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0.20330223294315639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0.7116175121826624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1.159708180628671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-0.003697022721734215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-0.9294823423019566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1.880161268540183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1.664676412770287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4.431215595280893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3.5968159947756315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-0.2178704546275757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0.27752677495992184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0.3645773941695772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3.570064099742493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-0.8878401076330541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2.089155926023248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-0.062081487755295595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1.7688843987539733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1.1951416491325657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5.817743426682478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1.9486650795110456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0.7078414769654053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-0.917413050613969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1.0547323375471036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2.165208468672752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0.22896092442466318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0.8927395661748158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0.09019211607919204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1.703809475567737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0.644433839820192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8.396409167022396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1.6486331997309949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-0.358154329184172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-0.637905177001452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0.35063909087375683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1.0078138079230652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-0.3329012311943828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-0.4662795844892462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0.20940784240669688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1.697708926876813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3.502080310679014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0.9969594575448666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-1.263447401137688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-1.0696354427499373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0.5288549979175805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2.9481473591339307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1.019989805252311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2.475475648573279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0.08970495936876287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2.3035127008311695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1.6250872648930936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3.3520950835286114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-0.4046388085749273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0.4698668031563565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-0.13010144208745367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0.7155339899166874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2.370643498752686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1.3058508412855308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1.5740213350391596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3.1176187053883653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0.31515335714998577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1.5906024772142486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0.5659112194025522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4.925579225129628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-2.876977808374503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4.68716436262546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5.579728751428735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-2.4224111349087174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2.7736588934060906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1.4239450842028232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-0.2114547017038447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-1.427421972756041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1.510732966484225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3.6784113022445357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-1.256520591411185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-1.0907685234575655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-2.208839298671668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0.698205983031511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2.470856789134226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2.776634669028126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4.724013157836889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1.654887295081809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0.07773055888427505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1.4182342682799294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3.412974446962269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-0.9604903747125841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-1.0122732107393386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-1.1806599257287003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1.012029219222392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3.187780169284811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1.8472452117057572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2.0696404004159312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1.188202365510916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-0.2190597459453145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1.4162974418384533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1.3746084944939263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4.56255160561384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3.190936863098262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0.36413493467147934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-0.45885614485946924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-1.040842174568687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1.505013076364415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-1.1995206498497013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-0.37088150071416087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-0.3380650094549758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LMCI</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1.3834922677838672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1.150031790020584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4.58184793779014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1.5876273469533906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-0.2285249661045045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0.0950457974773997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0.48951630502812005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0.8406463501729744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0.05639505840323491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-0.6275122553223196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1.791539561458855</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AD</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1.337588934647518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1.2538273425125945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3.6064259167797426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2.4117964842640154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0.8572802860427982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-0.2551800721102812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-0.0032557944421335006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0.7319708011300687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-0.7347247360473537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0.32640657842314574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1.714229562349596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hsmthxgv-qq-a98bpjv8.png"/><Relationship Id="rId7" Type="http://schemas.openxmlformats.org/officeDocument/2006/relationships/image" Target="media/hgkbvaeywnf_4n1iyx0wy.png"/><Relationship Id="rId8" Type="http://schemas.openxmlformats.org/officeDocument/2006/relationships/image" Target="media/38jaxfwcnyxleeef_xqz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2022-11-19T04:12:35.294Z</dcterms:created>
  <dcterms:modified xsi:type="dcterms:W3CDTF">2022-11-19T04:12:35.294Z</dcterms:modified>
</cp:coreProperties>
</file>

<file path=docProps/custom.xml><?xml version="1.0" encoding="utf-8"?>
<Properties xmlns="http://schemas.openxmlformats.org/officeDocument/2006/custom-properties" xmlns:vt="http://schemas.openxmlformats.org/officeDocument/2006/docPropsVTypes"/>
</file>