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基于LCA、使用层次分析法、熵值法的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建造过程：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建筑设计标准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建筑体型系数</w:t>
      </w:r>
      <w:r>
        <w:rPr>
          <w:rFonts w:hint="default"/>
          <w:lang w:val="en-US" w:eastAsia="zh-CN"/>
        </w:rPr>
        <w:t>S=F0/V0</w:t>
      </w:r>
      <w:r>
        <w:rPr>
          <w:rFonts w:hint="eastAsia"/>
          <w:lang w:val="en-US" w:eastAsia="zh-CN"/>
        </w:rPr>
        <w:t>，S—建筑体型系数F0—建筑的外表面积V0—建筑体积，一般情况下，如果建筑物的体积相同，体型系数越大，其所带来的能耗就会越高。根据相关数据表明，体型系数每增加 0.01，就会多增加 2.5% 的能耗所以，为了能够保障建筑物达到节能的效果，建筑体型系数最好设计在 0.3 以下[1]浅论建筑设计标准与节能技术-文/康永武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建材生产运输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996315"/>
            <wp:effectExtent l="0" t="0" r="254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式中,PE为建材生产阶段生命周期能耗,KJt或kJ/GJ;DE为建材生产直接消耗的能源量,kJ/tM为物料消耗系数,kgltim分别为能源种类、原材料种类.式(5)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3880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368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26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建造及拆除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184658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310890"/>
            <wp:effectExtent l="0" t="0" r="254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1278255"/>
            <wp:effectExtent l="0" t="0" r="127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4845050"/>
            <wp:effectExtent l="0" t="0" r="381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16383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b="559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3.运行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30683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rcRect t="476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碳排放因子和能源总消耗量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建筑过程中需要的材料：</w:t>
      </w:r>
      <w:r>
        <w:rPr>
          <w:rFonts w:ascii="宋体" w:hAnsi="宋体" w:eastAsia="宋体" w:cs="宋体"/>
          <w:sz w:val="24"/>
          <w:szCs w:val="24"/>
        </w:rPr>
        <w:t>钢筋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水泥、沙子、石子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A924A0"/>
    <w:multiLevelType w:val="singleLevel"/>
    <w:tmpl w:val="67A924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0B8F3B00"/>
    <w:rsid w:val="1C3C3BBE"/>
    <w:rsid w:val="300323D3"/>
    <w:rsid w:val="3361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</Words>
  <Characters>306</Characters>
  <Lines>0</Lines>
  <Paragraphs>0</Paragraphs>
  <TotalTime>43</TotalTime>
  <ScaleCrop>false</ScaleCrop>
  <LinksUpToDate>false</LinksUpToDate>
  <CharactersWithSpaces>311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2023-04-29T14:23:39Z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AF69D0C96A634CD5A3DC7DFC5879F6F1</vt:lpwstr>
  </property>
</Properties>
</file>