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sz w:val="36"/>
          <w:szCs w:val="36"/>
        </w:rPr>
        <w:t xml:space="preserve">Two Orderings, Two Methodologies</w:t>
      </w:r>
    </w:p>
    <w:p>
      <w:pPr>
        <w:spacing w:after="360" w:before="0"/>
        <w:jc w:val="left"/>
      </w:pPr>
      <w:r>
        <w:rPr>
          <w:rFonts w:ascii="Arial" w:cs="Arial" w:eastAsia="Arial" w:hAnsi="Arial"/>
          <w:i/>
          <w:iCs/>
          <w:color w:val="555555"/>
          <w:sz w:val="24"/>
          <w:szCs w:val="24"/>
        </w:rPr>
        <w:t xml:space="preserve">A PhD research programme comparing language-derived and behaviour-derived item orderings, with a multidimensional extension of Mokken scale analysis (mMokken)</w:t>
      </w:r>
    </w:p>
    <w:p>
      <w:pPr>
        <w:spacing w:after="40" w:before="0"/>
      </w:pPr>
      <w:r>
        <w:rPr>
          <w:rFonts w:ascii="Arial" w:cs="Arial" w:eastAsia="Arial" w:hAnsi="Arial"/>
          <w:b/>
          <w:bCs/>
          <w:color w:val="555555"/>
          <w:sz w:val="20"/>
          <w:szCs w:val="20"/>
        </w:rPr>
        <w:t xml:space="preserve">Candidate:</w:t>
      </w:r>
      <w:r>
        <w:rPr>
          <w:rFonts w:ascii="Arial" w:cs="Arial" w:eastAsia="Arial" w:hAnsi="Arial"/>
          <w:color w:val="555555"/>
          <w:sz w:val="20"/>
          <w:szCs w:val="20"/>
        </w:rPr>
        <w:t xml:space="preserve">  Diederick Stoel</w:t>
      </w:r>
    </w:p>
    <w:p>
      <w:pPr>
        <w:spacing w:after="40" w:before="0"/>
      </w:pPr>
      <w:r>
        <w:rPr>
          <w:rFonts w:ascii="Arial" w:cs="Arial" w:eastAsia="Arial" w:hAnsi="Arial"/>
          <w:b/>
          <w:bCs/>
          <w:color w:val="555555"/>
          <w:sz w:val="20"/>
          <w:szCs w:val="20"/>
        </w:rPr>
        <w:t xml:space="preserve">Document type:</w:t>
      </w:r>
      <w:r>
        <w:rPr>
          <w:rFonts w:ascii="Arial" w:cs="Arial" w:eastAsia="Arial" w:hAnsi="Arial"/>
          <w:color w:val="555555"/>
          <w:sz w:val="20"/>
          <w:szCs w:val="20"/>
        </w:rPr>
        <w:t xml:space="preserve">  PhD research programme proposal (start document)</w:t>
      </w:r>
    </w:p>
    <w:p>
      <w:pPr>
        <w:spacing w:after="40" w:before="0"/>
      </w:pPr>
      <w:r>
        <w:rPr>
          <w:rFonts w:ascii="Arial" w:cs="Arial" w:eastAsia="Arial" w:hAnsi="Arial"/>
          <w:b/>
          <w:bCs/>
          <w:color w:val="555555"/>
          <w:sz w:val="20"/>
          <w:szCs w:val="20"/>
        </w:rPr>
        <w:t xml:space="preserve">Date:</w:t>
      </w:r>
      <w:r>
        <w:rPr>
          <w:rFonts w:ascii="Arial" w:cs="Arial" w:eastAsia="Arial" w:hAnsi="Arial"/>
          <w:color w:val="555555"/>
          <w:sz w:val="20"/>
          <w:szCs w:val="20"/>
        </w:rPr>
        <w:t xml:space="preserve">  May 2026</w:t>
      </w:r>
    </w:p>
    <w:p>
      <w:pPr>
        <w:spacing w:after="40" w:before="0"/>
      </w:pPr>
      <w:r>
        <w:rPr>
          <w:rFonts w:ascii="Arial" w:cs="Arial" w:eastAsia="Arial" w:hAnsi="Arial"/>
          <w:b/>
          <w:bCs/>
          <w:color w:val="555555"/>
          <w:sz w:val="20"/>
          <w:szCs w:val="20"/>
        </w:rPr>
        <w:t xml:space="preserve">Scope:</w:t>
      </w:r>
      <w:r>
        <w:rPr>
          <w:rFonts w:ascii="Arial" w:cs="Arial" w:eastAsia="Arial" w:hAnsi="Arial"/>
          <w:color w:val="555555"/>
          <w:sz w:val="20"/>
          <w:szCs w:val="20"/>
        </w:rPr>
        <w:t xml:space="preserve">  3–4 year programme, two parallel tracks, 3–4 papers and one open-source package</w:t>
      </w:r>
    </w:p>
    <w:p>
      <w:pPr>
        <w:spacing w:after="40" w:before="0"/>
      </w:pPr>
      <w:r>
        <w:rPr>
          <w:rFonts w:ascii="Arial" w:cs="Arial" w:eastAsia="Arial" w:hAnsi="Arial"/>
          <w:b/>
          <w:bCs/>
          <w:color w:val="555555"/>
          <w:sz w:val="20"/>
          <w:szCs w:val="20"/>
        </w:rPr>
        <w:t xml:space="preserve">Target outlets:</w:t>
      </w:r>
      <w:r>
        <w:rPr>
          <w:rFonts w:ascii="Arial" w:cs="Arial" w:eastAsia="Arial" w:hAnsi="Arial"/>
          <w:color w:val="555555"/>
          <w:sz w:val="20"/>
          <w:szCs w:val="20"/>
        </w:rPr>
        <w:t xml:space="preserve">  Psychometrika; Behavior Research Methods; Methods in Psychology; Journal of Statistical Software (package paper)</w:t>
      </w:r>
    </w:p>
    <w:p>
      <w:pPr>
        <w:pBdr>
          <w:bottom w:val="single" w:color="AAAAAA" w:sz="8" w:space="1"/>
        </w:pBdr>
        <w:spacing w:after="240" w:before="120"/>
      </w:pPr>
      <w:r>
        <w:rPr>
          <w:rFonts w:ascii="Arial" w:cs="Arial" w:eastAsia="Arial" w:hAnsi="Arial"/>
          <w:sz w:val="22"/>
          <w:szCs w:val="22"/>
        </w:rPr>
        <w:t xml:space="preserve"/>
      </w:r>
    </w:p>
    <w:p>
      <w:pPr>
        <w:pStyle w:val="Heading2"/>
        <w:spacing w:after="120" w:before="240"/>
      </w:pPr>
      <w:r>
        <w:rPr>
          <w:rFonts w:ascii="Arial" w:cs="Arial" w:eastAsia="Arial" w:hAnsi="Arial"/>
          <w:b/>
          <w:bCs/>
          <w:sz w:val="24"/>
          <w:szCs w:val="24"/>
        </w:rPr>
        <w:t xml:space="preserve">Abstract</w:t>
      </w:r>
    </w:p>
    <w:p>
      <w:pPr>
        <w:spacing w:after="120" w:before="0" w:line="276"/>
        <w:jc w:val="both"/>
      </w:pPr>
      <w:r>
        <w:rPr>
          <w:rFonts w:ascii="Arial" w:cs="Arial" w:eastAsia="Arial" w:hAnsi="Arial"/>
          <w:sz w:val="22"/>
          <w:szCs w:val="22"/>
        </w:rPr>
        <w:t xml:space="preserve">Items in psychometric scales have a dual nature: they are linguistic objects embedded in semantic fields, and behavioural stimuli that elicit responses from situated respondents. This PhD programme develops a research line that exploits this duality on two interlocking tracks. Track A introduces a methodological framework for comparing two orderings of the same items: a discursive ordering R_D obtained from a large language model via embeddings or direct prompting, and a behavioural ordering R_B obtained from response data via Mokken scale analysis. The framework treats structural congruence between R_D and R_B as the primary inferential target and—extending Mokken’s classical residual-as-signal principle across methods—interprets the residual ε = R_B − R_D as a window onto institutional and individual factors not captured by general semantic structure. Track B develops mMokken: a multidimensional, network-of-paths extension of Mokken scale analysis, analogous to the IRT → mIRT generalisation but on a non-parametric, ordinal footing, accompanied by a Python implementation. The two tracks reinforce one another: mMokken delivers the rich R_B representation (a network of crossing scales) that the general-case R_D / R_B comparison requires. The programme delivers (i) a formal framework, (ii) a multidimensional extension of Mokken scale analysis, (iii) an open-source Python package, and (iv) an empirical demonstration on career-progression data from approximately 1,700 employees across multiple organisations.</w:t>
      </w:r>
    </w:p>
    <w:p>
      <w:pPr>
        <w:pStyle w:val="Heading1"/>
        <w:spacing w:after="180" w:before="360"/>
      </w:pPr>
      <w:r>
        <w:rPr>
          <w:rFonts w:ascii="Arial" w:cs="Arial" w:eastAsia="Arial" w:hAnsi="Arial"/>
          <w:b/>
          <w:bCs/>
          <w:sz w:val="28"/>
          <w:szCs w:val="28"/>
        </w:rPr>
        <w:t xml:space="preserve">1. Background and Rationale</w:t>
      </w:r>
    </w:p>
    <w:p>
      <w:pPr>
        <w:spacing w:after="120" w:before="0" w:line="276"/>
        <w:jc w:val="both"/>
      </w:pPr>
      <w:r>
        <w:rPr>
          <w:rFonts w:ascii="Arial" w:cs="Arial" w:eastAsia="Arial" w:hAnsi="Arial"/>
          <w:sz w:val="22"/>
          <w:szCs w:val="22"/>
        </w:rPr>
        <w:t xml:space="preserve">The same psychometric item can now be ordered in two ways. From language, a large language model can place it earlier or later than other items based on how progression is conventionally talked about. From behaviour, Mokken scale analysis can place it earlier or later based on how respondents endorse it. Both orderings claim to capture progression. Both operate on the same finite set of items. Both are tractable at scale. </w:t>
      </w:r>
      <w:r>
        <w:rPr>
          <w:rFonts w:ascii="Arial" w:cs="Arial" w:eastAsia="Arial" w:hAnsi="Arial"/>
          <w:b/>
          <w:bCs/>
          <w:sz w:val="22"/>
          <w:szCs w:val="22"/>
        </w:rPr>
        <w:t xml:space="preserve">And yet they have never been systematically compared.</w:t>
      </w:r>
    </w:p>
    <w:p>
      <w:pPr>
        <w:spacing w:after="120" w:before="0" w:line="276"/>
        <w:jc w:val="both"/>
      </w:pPr>
      <w:r>
        <w:rPr>
          <w:rFonts w:ascii="Arial" w:cs="Arial" w:eastAsia="Arial" w:hAnsi="Arial"/>
          <w:sz w:val="22"/>
          <w:szCs w:val="22"/>
        </w:rPr>
        <w:t xml:space="preserve">This programme develops the framework for that comparison and argues that the comparison is itself the contribution. Where the two orderings agree, the item structure is overdetermined: both regimes—linguistic and behavioural—reach the same ranking, and the resulting scale is more credible than either method alone could establish. Where the two orderings disagree, the residual is not noise. Following Mokken (1971)’s classical insight that deviations from a cumulative scale are informative about the structure of the domain, we extend the residual-as-signal principle across methods: the part of behavioural ordering that general semantic structure cannot explain is, by construction, a window onto institutional and individual factors that operate outside language.</w:t>
      </w:r>
    </w:p>
    <w:p>
      <w:pPr>
        <w:spacing w:after="120" w:before="0" w:line="276"/>
        <w:jc w:val="both"/>
      </w:pPr>
      <w:r>
        <w:rPr>
          <w:rFonts w:ascii="Arial" w:cs="Arial" w:eastAsia="Arial" w:hAnsi="Arial"/>
          <w:sz w:val="22"/>
          <w:szCs w:val="22"/>
        </w:rPr>
        <w:t xml:space="preserve">A second observation drives the programme. Mokken scale analysis is classically unidimensional, but the domains in which it is used are not. Career progression decomposes into vertical advancement, lateral mobility, and exit-and-re-entry trajectories; health into multiple symptom clusters; skill acquisition into interrelated competences. Forcing this into a single ordering discards exactly the structure that makes the domain interesting. The IRT tradition responded by developing multidimensional IRT (Reckase, 2009). The Mokken tradition has not yet undertaken a comparable systematic generalisation. This programme proposes one—mMokken—and shows that it is exactly what the R_D / R_B comparison needs to become structurally interesting.</w:t>
      </w:r>
    </w:p>
    <w:p>
      <w:pPr>
        <w:spacing w:after="120" w:before="0" w:line="276"/>
        <w:jc w:val="both"/>
      </w:pPr>
      <w:r>
        <w:rPr>
          <w:rFonts w:ascii="Arial" w:cs="Arial" w:eastAsia="Arial" w:hAnsi="Arial"/>
          <w:sz w:val="22"/>
          <w:szCs w:val="22"/>
        </w:rPr>
        <w:t xml:space="preserve">The remainder of this section situates the programme in three converging literatures: classical item response theory and Mokken scale analysis (the source of R_B), recent work on LLM-derived embeddings as access to discursive structure (the source of R_D), and the tradition of comparing multiple measurements of the same construct (the methodological lineage of the comparison move).</w:t>
      </w:r>
    </w:p>
    <w:p>
      <w:pPr>
        <w:spacing w:after="120" w:before="0" w:line="276"/>
        <w:jc w:val="both"/>
      </w:pPr>
      <w:r>
        <w:rPr>
          <w:rFonts w:ascii="Arial" w:cs="Arial" w:eastAsia="Arial" w:hAnsi="Arial"/>
          <w:sz w:val="22"/>
          <w:szCs w:val="22"/>
        </w:rPr>
        <w:t xml:space="preserve">Across the behavioural sciences, progression is a foundational construct. Researchers have long used items—linguistically formulated descriptions of states—to recover an empirical ordering of those states (Lord, 1952; Rasch, 1960; Mokken, 1971; Sijtsma &amp; Molenaar, 2002). Items endorsed by more respondents are interpreted as earlier or easier; items endorsed by few are interpreted as later or more demanding. The item is the operational link between latent construct and observable behaviour.</w:t>
      </w:r>
    </w:p>
    <w:p>
      <w:pPr>
        <w:spacing w:after="120" w:before="0" w:line="276"/>
        <w:jc w:val="both"/>
      </w:pPr>
      <w:r>
        <w:rPr>
          <w:rFonts w:ascii="Arial" w:cs="Arial" w:eastAsia="Arial" w:hAnsi="Arial"/>
          <w:sz w:val="22"/>
          <w:szCs w:val="22"/>
        </w:rPr>
        <w:t xml:space="preserve">Items are also linguistic objects. They belong to lexical fields—structured networks of meaning that organise relations of similarity, opposition, and progression (Trier, 1931; Kittay, 1987). Until recently, this fact carried no methodological consequence: the structure of the lexical field could not be operationalised at scale. Large language models have changed this. The geometry of item embeddings encodes discursive regularities (Mikolov, Chen, Corrado, &amp; Dean, 2013; Pennington, Socher, &amp; Manning, 2014; Devlin, Chang, Lee, &amp; Toutanova, 2019; Reimers &amp; Gurevych, 2019), and a discursive ordering of items can be extracted directly from text—without ever asking a respondent.</w:t>
      </w:r>
    </w:p>
    <w:p>
      <w:pPr>
        <w:spacing w:after="120" w:before="0" w:line="276"/>
        <w:jc w:val="both"/>
      </w:pPr>
      <w:r>
        <w:rPr>
          <w:rFonts w:ascii="Arial" w:cs="Arial" w:eastAsia="Arial" w:hAnsi="Arial"/>
          <w:sz w:val="22"/>
          <w:szCs w:val="22"/>
        </w:rPr>
        <w:t xml:space="preserve">The closest neighbours of the proposed framework lie in three distinct literatures, each of which it deliberately extends rather than duplicates. First, AI-GENIE (Golino, Russell-Lasalandra, &amp; Christensen, 2024) and related work use LLMs to generate items and validate them with network psychometrics; the LLM is treated as item generator, not as ordering source. Second, embeddings-based measurement in computational social science (Caliskan, Bryson, &amp; Narayanan, 2017; Garg, Schiebinger, Jurafsky, &amp; Zou, 2018; Kjell, Kjell, Garcia, &amp; Sikström, 2019) uses text to estimate latent constructs; the unit of analysis is typically the respondent text, not the item set. Third, multitrait–multimethod and convergent-validity traditions (Campbell &amp; Fiske, 1959) compare multiple measurements of the same construct; the comparison is between scores, not between orderings, and the residual is treated as method variance rather than as substantive signal. The proposed framework occupies the gap: it compares two orderings, of the same items, at the same level of abstraction, and treats the residual as substantively informative.</w:t>
      </w:r>
    </w:p>
    <w:p>
      <w:pPr>
        <w:pStyle w:val="Heading1"/>
        <w:spacing w:after="180" w:before="360"/>
      </w:pPr>
      <w:r>
        <w:rPr>
          <w:rFonts w:ascii="Arial" w:cs="Arial" w:eastAsia="Arial" w:hAnsi="Arial"/>
          <w:b/>
          <w:bCs/>
          <w:sz w:val="28"/>
          <w:szCs w:val="28"/>
        </w:rPr>
        <w:t xml:space="preserve">2. Theoretical Framework</w:t>
      </w:r>
    </w:p>
    <w:p>
      <w:pPr>
        <w:pStyle w:val="Heading2"/>
        <w:spacing w:after="120" w:before="240"/>
      </w:pPr>
      <w:r>
        <w:rPr>
          <w:rFonts w:ascii="Arial" w:cs="Arial" w:eastAsia="Arial" w:hAnsi="Arial"/>
          <w:b/>
          <w:bCs/>
          <w:sz w:val="24"/>
          <w:szCs w:val="24"/>
        </w:rPr>
        <w:t xml:space="preserve">2.1 Items as Dual-Nature Objects</w:t>
      </w:r>
    </w:p>
    <w:p>
      <w:pPr>
        <w:spacing w:after="120" w:before="0" w:line="276"/>
        <w:jc w:val="both"/>
      </w:pPr>
      <w:r>
        <w:rPr>
          <w:rFonts w:ascii="Arial" w:cs="Arial" w:eastAsia="Arial" w:hAnsi="Arial"/>
          <w:sz w:val="22"/>
          <w:szCs w:val="22"/>
        </w:rPr>
        <w:t xml:space="preserve">Let I = {i₁, …, iₙ} be a finite set of n items, each formulated as a short natural-language description of a state. The framework requires no assumptions about the substantive content of the items beyond a presumption of latent ordering: that there exists, for the population of interest, some progression along which items can in principle be ranked.</w:t>
      </w:r>
    </w:p>
    <w:p>
      <w:pPr>
        <w:spacing w:after="120" w:before="0" w:line="276"/>
        <w:jc w:val="both"/>
      </w:pPr>
      <w:r>
        <w:rPr>
          <w:rFonts w:ascii="Arial" w:cs="Arial" w:eastAsia="Arial" w:hAnsi="Arial"/>
          <w:sz w:val="22"/>
          <w:szCs w:val="22"/>
        </w:rPr>
        <w:t xml:space="preserve">Each item iₖ has two associated representations:</w:t>
      </w:r>
    </w:p>
    <w:p>
      <w:pPr>
        <w:pStyle w:val="ListParagraph"/>
        <w:numPr>
          <w:ilvl w:val="0"/>
          <w:numId w:val="2"/>
        </w:numPr>
        <w:spacing w:after="80" w:before="0" w:line="276"/>
        <w:jc w:val="left"/>
      </w:pPr>
      <w:r>
        <w:rPr>
          <w:rFonts w:ascii="Arial" w:cs="Arial" w:eastAsia="Arial" w:hAnsi="Arial"/>
          <w:b/>
          <w:bCs/>
          <w:sz w:val="22"/>
          <w:szCs w:val="22"/>
        </w:rPr>
        <w:t xml:space="preserve">Textual: </w:t>
      </w:r>
      <w:r>
        <w:rPr>
          <w:rFonts w:ascii="Arial" w:cs="Arial" w:eastAsia="Arial" w:hAnsi="Arial"/>
          <w:sz w:val="22"/>
          <w:szCs w:val="22"/>
        </w:rPr>
        <w:t xml:space="preserve">t(iₖ), the natural-language wording, used by the LLM.</w:t>
      </w:r>
    </w:p>
    <w:p>
      <w:pPr>
        <w:pStyle w:val="ListParagraph"/>
        <w:numPr>
          <w:ilvl w:val="0"/>
          <w:numId w:val="2"/>
        </w:numPr>
        <w:spacing w:after="80" w:before="0" w:line="276"/>
        <w:jc w:val="left"/>
      </w:pPr>
      <w:r>
        <w:rPr>
          <w:rFonts w:ascii="Arial" w:cs="Arial" w:eastAsia="Arial" w:hAnsi="Arial"/>
          <w:b/>
          <w:bCs/>
          <w:sz w:val="22"/>
          <w:szCs w:val="22"/>
        </w:rPr>
        <w:t xml:space="preserve">Behavioural: </w:t>
      </w:r>
      <w:r>
        <w:rPr>
          <w:rFonts w:ascii="Arial" w:cs="Arial" w:eastAsia="Arial" w:hAnsi="Arial"/>
          <w:sz w:val="22"/>
          <w:szCs w:val="22"/>
        </w:rPr>
        <w:t xml:space="preserve">r(iₖ) ∈ {0,1}ⁿ, a vector of binary endorsements over N respondents, used by Mokken scale analysis.</w:t>
      </w:r>
    </w:p>
    <w:p>
      <w:pPr>
        <w:spacing w:after="120" w:before="0" w:line="276"/>
        <w:jc w:val="both"/>
      </w:pPr>
      <w:r>
        <w:rPr>
          <w:rFonts w:ascii="Arial" w:cs="Arial" w:eastAsia="Arial" w:hAnsi="Arial"/>
          <w:sz w:val="22"/>
          <w:szCs w:val="22"/>
        </w:rPr>
        <w:t xml:space="preserve">These representations are informationally distinct. The textual representation is fixed once the item is written; the behavioural representation is a sample from a respondent population in a specific institutional context. They refer to the same item but encode different things.</w:t>
      </w:r>
    </w:p>
    <w:p>
      <w:pPr>
        <w:pStyle w:val="Heading2"/>
        <w:spacing w:after="120" w:before="240"/>
      </w:pPr>
      <w:r>
        <w:rPr>
          <w:rFonts w:ascii="Arial" w:cs="Arial" w:eastAsia="Arial" w:hAnsi="Arial"/>
          <w:b/>
          <w:bCs/>
          <w:sz w:val="24"/>
          <w:szCs w:val="24"/>
        </w:rPr>
        <w:t xml:space="preserve">2.2 Two Orderings</w:t>
      </w:r>
    </w:p>
    <w:p>
      <w:pPr>
        <w:spacing w:after="120" w:before="0" w:line="276"/>
        <w:jc w:val="both"/>
      </w:pPr>
      <w:r>
        <w:rPr>
          <w:rFonts w:ascii="Arial" w:cs="Arial" w:eastAsia="Arial" w:hAnsi="Arial"/>
          <w:sz w:val="22"/>
          <w:szCs w:val="22"/>
        </w:rPr>
        <w:t xml:space="preserve">We define two orderings on I:</w:t>
      </w:r>
    </w:p>
    <w:p>
      <w:pPr>
        <w:pStyle w:val="ListParagraph"/>
        <w:numPr>
          <w:ilvl w:val="0"/>
          <w:numId w:val="2"/>
        </w:numPr>
        <w:spacing w:after="80" w:before="0" w:line="276"/>
        <w:jc w:val="left"/>
      </w:pPr>
      <w:r>
        <w:rPr>
          <w:rFonts w:ascii="Arial" w:cs="Arial" w:eastAsia="Arial" w:hAnsi="Arial"/>
          <w:b/>
          <w:bCs/>
          <w:sz w:val="22"/>
          <w:szCs w:val="22"/>
        </w:rPr>
        <w:t xml:space="preserve">Discursive ordering R_D. </w:t>
      </w:r>
      <w:r>
        <w:rPr>
          <w:rFonts w:ascii="Arial" w:cs="Arial" w:eastAsia="Arial" w:hAnsi="Arial"/>
          <w:sz w:val="22"/>
          <w:szCs w:val="22"/>
        </w:rPr>
        <w:t xml:space="preserve">Induced by an LLM. R_D is obtained either by (a) direct prompting (“order these items from earliest to latest in a typical trajectory”), or by (b) embedding the items, identifying a progression direction in the embedding space, and projecting items onto it. Both approaches recover a ranking of items as language conventionally talks about them (Reimers &amp; Gurevych, 2019; Ethayarajh, 2019).</w:t>
      </w:r>
    </w:p>
    <w:p>
      <w:pPr>
        <w:pStyle w:val="ListParagraph"/>
        <w:numPr>
          <w:ilvl w:val="0"/>
          <w:numId w:val="2"/>
        </w:numPr>
        <w:spacing w:after="80" w:before="0" w:line="276"/>
        <w:jc w:val="left"/>
      </w:pPr>
      <w:r>
        <w:rPr>
          <w:rFonts w:ascii="Arial" w:cs="Arial" w:eastAsia="Arial" w:hAnsi="Arial"/>
          <w:b/>
          <w:bCs/>
          <w:sz w:val="22"/>
          <w:szCs w:val="22"/>
        </w:rPr>
        <w:t xml:space="preserve">Behavioural ordering R_B. </w:t>
      </w:r>
      <w:r>
        <w:rPr>
          <w:rFonts w:ascii="Arial" w:cs="Arial" w:eastAsia="Arial" w:hAnsi="Arial"/>
          <w:sz w:val="22"/>
          <w:szCs w:val="22"/>
        </w:rPr>
        <w:t xml:space="preserve">Induced by Mokken scale analysis. Items are ordered by their mean endorsement πₖ (item popularity), and the scalability of the ordering is assessed via Loevinger’s coefficients H_jk and H (Mokken, 1971; Sijtsma &amp; Van der Ark, 2017). Under monotone homogeneity, the ordering by πₖ recovers the ordering of items along the latent trait.</w:t>
      </w:r>
    </w:p>
    <w:p>
      <w:pPr>
        <w:spacing w:after="120" w:before="0" w:line="276"/>
        <w:jc w:val="both"/>
      </w:pPr>
      <w:r>
        <w:rPr>
          <w:rFonts w:ascii="Arial" w:cs="Arial" w:eastAsia="Arial" w:hAnsi="Arial"/>
          <w:sz w:val="22"/>
          <w:szCs w:val="22"/>
        </w:rPr>
        <w:t xml:space="preserve">Both orderings make claims about the same n items. Both are expressed in the minimal language of ordinal relations. Both are defined over the same domain. The comparison is therefore well-posed.</w:t>
      </w:r>
    </w:p>
    <w:p>
      <w:pPr>
        <w:pStyle w:val="Heading2"/>
        <w:spacing w:after="120" w:before="240"/>
      </w:pPr>
      <w:r>
        <w:rPr>
          <w:rFonts w:ascii="Arial" w:cs="Arial" w:eastAsia="Arial" w:hAnsi="Arial"/>
          <w:b/>
          <w:bCs/>
          <w:sz w:val="24"/>
          <w:szCs w:val="24"/>
        </w:rPr>
        <w:t xml:space="preserve">2.3 Congruence as a Structural Property</w:t>
      </w:r>
    </w:p>
    <w:p>
      <w:pPr>
        <w:spacing w:after="120" w:before="0" w:line="276"/>
        <w:jc w:val="both"/>
      </w:pPr>
      <w:r>
        <w:rPr>
          <w:rFonts w:ascii="Arial" w:cs="Arial" w:eastAsia="Arial" w:hAnsi="Arial"/>
          <w:sz w:val="22"/>
          <w:szCs w:val="22"/>
        </w:rPr>
        <w:t xml:space="preserve">We define structural congruence between R_D and R_B as the degree to which the two orderings agree on pairwise relations. Operationally, we use rank correlation (Kendall’s τ_b, Spearman’s ρ) and concordance over the set of pairs {(i_j, i_k) : j ≠ k}. Under the null hypothesis of independent rankings, the distribution of these statistics is well-characterised; deviations from the null are testable.</w:t>
      </w:r>
    </w:p>
    <w:p>
      <w:pPr>
        <w:spacing w:after="120" w:before="0" w:line="276"/>
        <w:jc w:val="both"/>
      </w:pPr>
      <w:r>
        <w:rPr>
          <w:rFonts w:ascii="Arial" w:cs="Arial" w:eastAsia="Arial" w:hAnsi="Arial"/>
          <w:sz w:val="22"/>
          <w:szCs w:val="22"/>
        </w:rPr>
        <w:t xml:space="preserve">Congruence is a property of the orderings, not of any single item. This shifts the unit of analysis from item to structure—a move that aligns with the holistic spirit of network psychometrics (Epskamp, Borsboom, &amp; Fried, 2018; Golino et al., 2024) and with Mokken’s emphasis on the configuration of items as a whole.</w:t>
      </w:r>
    </w:p>
    <w:p>
      <w:pPr>
        <w:pStyle w:val="Heading2"/>
        <w:spacing w:after="120" w:before="240"/>
      </w:pPr>
      <w:r>
        <w:rPr>
          <w:rFonts w:ascii="Arial" w:cs="Arial" w:eastAsia="Arial" w:hAnsi="Arial"/>
          <w:b/>
          <w:bCs/>
          <w:sz w:val="24"/>
          <w:szCs w:val="24"/>
        </w:rPr>
        <w:t xml:space="preserve">2.4 Residual as Signal</w:t>
      </w:r>
    </w:p>
    <w:p>
      <w:pPr>
        <w:spacing w:after="120" w:before="0" w:line="276"/>
        <w:jc w:val="both"/>
      </w:pPr>
      <w:r>
        <w:rPr>
          <w:rFonts w:ascii="Arial" w:cs="Arial" w:eastAsia="Arial" w:hAnsi="Arial"/>
          <w:sz w:val="22"/>
          <w:szCs w:val="22"/>
        </w:rPr>
        <w:t xml:space="preserve">The classical move in psychometrics is to treat the difference between a model prediction and an observation as error. Mokken (1971) explicitly resisted this. Items that fail to fit a cumulative scale are not noise but information about the structure of the domain (Meijer, Sijtsma, &amp; Smid, 1990; Van der Ark, 2007). We extend this principle to the cross-regime comparison. The residual R_B − R_D is, by construction, the component of behavioural structure that cannot be reduced to general semantic structure. It is the empirical fingerprint of factors outside language: institutional affordances, regulatory constraints, organisation-specific career ladders, local norms, and individual differences. Studying the residual is studying these factors. This reframes the residual from nuisance to object of inquiry, and turns the R_D / R_B comparison into a measurement instrument for institutional structure.</w:t>
      </w:r>
    </w:p>
    <w:p>
      <w:pPr>
        <w:spacing w:after="80" w:before="240"/>
        <w:jc w:val="center"/>
      </w:pPr>
      <w:r>
        <w:drawing>
          <wp:inline distT="0" distB="0" distL="0" distR="0">
            <wp:extent cx="4572000" cy="3962400"/>
            <wp:effectExtent t="0" r="0" b="0" l="0"/>
            <wp:docPr id="1" name="Figure1_framework" descr="Two-orderings framework: parallel pipelines from items to R_D and R_B, compared to yield congruence and residua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962400"/>
                    </a:xfrm>
                    <a:prstGeom prst="rect">
                      <a:avLst/>
                    </a:prstGeom>
                  </pic:spPr>
                </pic:pic>
              </a:graphicData>
            </a:graphic>
          </wp:inline>
        </w:drawing>
      </w:r>
    </w:p>
    <w:p>
      <w:pPr>
        <w:spacing w:after="240" w:before="0"/>
        <w:jc w:val="center"/>
      </w:pPr>
      <w:r>
        <w:rPr>
          <w:rFonts w:ascii="Arial" w:cs="Arial" w:eastAsia="Arial" w:hAnsi="Arial"/>
          <w:b/>
          <w:bCs/>
          <w:sz w:val="20"/>
          <w:szCs w:val="20"/>
        </w:rPr>
        <w:t xml:space="preserve">Figure 1. </w:t>
      </w:r>
      <w:r>
        <w:rPr>
          <w:rFonts w:ascii="Arial" w:cs="Arial" w:eastAsia="Arial" w:hAnsi="Arial"/>
          <w:i/>
          <w:iCs/>
          <w:color w:val="555555"/>
          <w:sz w:val="20"/>
          <w:szCs w:val="20"/>
        </w:rPr>
        <w:t xml:space="preserve">The two-orderings framework. The same item set is processed in two informationally distinct regimes — language (left) and behaviour (right) — yielding two orderings, R_D and R_B. Their structural congruence is the primary inferential target; the residual ε = R_B − R_D is interpreted, following Mokken (1971), as signal about institutional and individual factors that lie outside general semantic structure.</w:t>
      </w:r>
    </w:p>
    <w:p>
      <w:pPr>
        <w:pStyle w:val="Heading1"/>
        <w:spacing w:after="180" w:before="360"/>
      </w:pPr>
      <w:r>
        <w:rPr>
          <w:rFonts w:ascii="Arial" w:cs="Arial" w:eastAsia="Arial" w:hAnsi="Arial"/>
          <w:b/>
          <w:bCs/>
          <w:sz w:val="28"/>
          <w:szCs w:val="28"/>
        </w:rPr>
        <w:t xml:space="preserve">3. Research Questions and Hypotheses</w:t>
      </w:r>
    </w:p>
    <w:p>
      <w:pPr>
        <w:spacing w:after="120" w:before="0" w:line="276"/>
        <w:jc w:val="both"/>
      </w:pPr>
      <w:r>
        <w:rPr>
          <w:rFonts w:ascii="Arial" w:cs="Arial" w:eastAsia="Arial" w:hAnsi="Arial"/>
          <w:sz w:val="22"/>
          <w:szCs w:val="22"/>
        </w:rPr>
        <w:t xml:space="preserve">The programme is organised around four research questions, spanning both tracks.</w:t>
      </w:r>
    </w:p>
    <w:p>
      <w:pPr>
        <w:spacing w:after="120" w:before="0" w:line="276"/>
        <w:jc w:val="both"/>
      </w:pPr>
      <w:r>
        <w:rPr>
          <w:rFonts w:ascii="Arial" w:cs="Arial" w:eastAsia="Arial" w:hAnsi="Arial"/>
          <w:b/>
          <w:bCs/>
          <w:sz w:val="22"/>
          <w:szCs w:val="22"/>
        </w:rPr>
        <w:t xml:space="preserve">RQ1. </w:t>
      </w:r>
      <w:r>
        <w:rPr>
          <w:rFonts w:ascii="Arial" w:cs="Arial" w:eastAsia="Arial" w:hAnsi="Arial"/>
          <w:sz w:val="22"/>
          <w:szCs w:val="22"/>
        </w:rPr>
        <w:t xml:space="preserve">To what extent are R_D and R_B congruent across a given item set?</w:t>
      </w:r>
    </w:p>
    <w:p>
      <w:pPr>
        <w:spacing w:after="120" w:before="0" w:line="276"/>
        <w:jc w:val="both"/>
      </w:pPr>
      <w:r>
        <w:rPr>
          <w:rFonts w:ascii="Arial" w:cs="Arial" w:eastAsia="Arial" w:hAnsi="Arial"/>
          <w:b/>
          <w:bCs/>
          <w:sz w:val="22"/>
          <w:szCs w:val="22"/>
        </w:rPr>
        <w:t xml:space="preserve">H1. </w:t>
      </w:r>
      <w:r>
        <w:rPr>
          <w:rFonts w:ascii="Arial" w:cs="Arial" w:eastAsia="Arial" w:hAnsi="Arial"/>
          <w:sz w:val="22"/>
          <w:szCs w:val="22"/>
        </w:rPr>
        <w:t xml:space="preserve">Congruence between R_D and R_B is substantially above chance for well-constructed item sets within a coherent semantic domain (τ_b ≥ 0.5; permutation-test p &lt; .01). The hypothesis is grounded in the expectation that respondents and language users draw on partially overlapping conceptual structure.</w:t>
      </w:r>
    </w:p>
    <w:p>
      <w:pPr>
        <w:spacing w:after="120" w:before="0" w:line="276"/>
        <w:jc w:val="both"/>
      </w:pPr>
      <w:r>
        <w:rPr>
          <w:rFonts w:ascii="Arial" w:cs="Arial" w:eastAsia="Arial" w:hAnsi="Arial"/>
          <w:b/>
          <w:bCs/>
          <w:sz w:val="22"/>
          <w:szCs w:val="22"/>
        </w:rPr>
        <w:t xml:space="preserve">RQ2. </w:t>
      </w:r>
      <w:r>
        <w:rPr>
          <w:rFonts w:ascii="Arial" w:cs="Arial" w:eastAsia="Arial" w:hAnsi="Arial"/>
          <w:sz w:val="22"/>
          <w:szCs w:val="22"/>
        </w:rPr>
        <w:t xml:space="preserve">Does congruence vary systematically across institutional contexts in which the same item set is administered?</w:t>
      </w:r>
    </w:p>
    <w:p>
      <w:pPr>
        <w:spacing w:after="120" w:before="0" w:line="276"/>
        <w:jc w:val="both"/>
      </w:pPr>
      <w:r>
        <w:rPr>
          <w:rFonts w:ascii="Arial" w:cs="Arial" w:eastAsia="Arial" w:hAnsi="Arial"/>
          <w:b/>
          <w:bCs/>
          <w:sz w:val="22"/>
          <w:szCs w:val="22"/>
        </w:rPr>
        <w:t xml:space="preserve">H2. </w:t>
      </w:r>
      <w:r>
        <w:rPr>
          <w:rFonts w:ascii="Arial" w:cs="Arial" w:eastAsia="Arial" w:hAnsi="Arial"/>
          <w:sz w:val="22"/>
          <w:szCs w:val="22"/>
        </w:rPr>
        <w:t xml:space="preserve">When the same item set is administered to respondents from different organisations, the within-organisation R_B will diverge from a fixed R_D in patterned ways. Organisations with formally structured career architectures will exhibit higher congruence than organisations with diffuse or project-based career paths.</w:t>
      </w:r>
    </w:p>
    <w:p>
      <w:pPr>
        <w:spacing w:after="120" w:before="0" w:line="276"/>
        <w:jc w:val="both"/>
      </w:pPr>
      <w:r>
        <w:rPr>
          <w:rFonts w:ascii="Arial" w:cs="Arial" w:eastAsia="Arial" w:hAnsi="Arial"/>
          <w:b/>
          <w:bCs/>
          <w:sz w:val="22"/>
          <w:szCs w:val="22"/>
        </w:rPr>
        <w:t xml:space="preserve">RQ3. </w:t>
      </w:r>
      <w:r>
        <w:rPr>
          <w:rFonts w:ascii="Arial" w:cs="Arial" w:eastAsia="Arial" w:hAnsi="Arial"/>
          <w:sz w:val="22"/>
          <w:szCs w:val="22"/>
        </w:rPr>
        <w:t xml:space="preserve">Is the residual R_B − R_D informative about institutional features in a way that organisation-level covariates can predict?</w:t>
      </w:r>
    </w:p>
    <w:p>
      <w:pPr>
        <w:spacing w:after="120" w:before="0" w:line="276"/>
        <w:jc w:val="both"/>
      </w:pPr>
      <w:r>
        <w:rPr>
          <w:rFonts w:ascii="Arial" w:cs="Arial" w:eastAsia="Arial" w:hAnsi="Arial"/>
          <w:b/>
          <w:bCs/>
          <w:sz w:val="22"/>
          <w:szCs w:val="22"/>
        </w:rPr>
        <w:t xml:space="preserve">H3. </w:t>
      </w:r>
      <w:r>
        <w:rPr>
          <w:rFonts w:ascii="Arial" w:cs="Arial" w:eastAsia="Arial" w:hAnsi="Arial"/>
          <w:sz w:val="22"/>
          <w:szCs w:val="22"/>
        </w:rPr>
        <w:t xml:space="preserve">Variation in the residual across organisations can be predicted in part by observable institutional features (size, sector, formality of HR architecture, vacancy rate), demonstrating that the residual carries substantive content rather than reflecting only sampling noise.</w:t>
      </w:r>
    </w:p>
    <w:p>
      <w:pPr>
        <w:spacing w:after="120" w:before="0" w:line="276"/>
        <w:jc w:val="both"/>
      </w:pPr>
      <w:r>
        <w:rPr>
          <w:rFonts w:ascii="Arial" w:cs="Arial" w:eastAsia="Arial" w:hAnsi="Arial"/>
          <w:b/>
          <w:bCs/>
          <w:sz w:val="22"/>
          <w:szCs w:val="22"/>
        </w:rPr>
        <w:t xml:space="preserve">RQ4. </w:t>
      </w:r>
      <w:r>
        <w:rPr>
          <w:rFonts w:ascii="Arial" w:cs="Arial" w:eastAsia="Arial" w:hAnsi="Arial"/>
          <w:sz w:val="22"/>
          <w:szCs w:val="22"/>
        </w:rPr>
        <w:t xml:space="preserve">Under a multidimensional representation of R_B via mMokken, do the items that load on multiple scales (crossings) coincide with items whose LLM-derived embeddings do not project cleanly onto any single progression direction—and does the residual decompose along the multi-dimensional axes?</w:t>
      </w:r>
    </w:p>
    <w:p>
      <w:pPr>
        <w:spacing w:after="120" w:before="0" w:line="276"/>
        <w:jc w:val="both"/>
      </w:pPr>
      <w:r>
        <w:rPr>
          <w:rFonts w:ascii="Arial" w:cs="Arial" w:eastAsia="Arial" w:hAnsi="Arial"/>
          <w:b/>
          <w:bCs/>
          <w:sz w:val="22"/>
          <w:szCs w:val="22"/>
        </w:rPr>
        <w:t xml:space="preserve">H4. </w:t>
      </w:r>
      <w:r>
        <w:rPr>
          <w:rFonts w:ascii="Arial" w:cs="Arial" w:eastAsia="Arial" w:hAnsi="Arial"/>
          <w:sz w:val="22"/>
          <w:szCs w:val="22"/>
        </w:rPr>
        <w:t xml:space="preserve">Items that emerge as crossings under mMokken (loading on multiple Mokken scales) will tend to have low projection magnitude on any one LLM-derived progression direction; conversely, items with sharp single-axis behaviour will project strongly onto one direction. Disagreements between these two structural indicators are themselves informative about which institutional dimensions the LLM does and does not encode.</w:t>
      </w:r>
    </w:p>
    <w:p>
      <w:pPr>
        <w:pStyle w:val="Heading1"/>
        <w:spacing w:after="180" w:before="360"/>
      </w:pPr>
      <w:r>
        <w:rPr>
          <w:rFonts w:ascii="Arial" w:cs="Arial" w:eastAsia="Arial" w:hAnsi="Arial"/>
          <w:b/>
          <w:bCs/>
          <w:sz w:val="28"/>
          <w:szCs w:val="28"/>
        </w:rPr>
        <w:t xml:space="preserve">4. Methods (Track A)</w:t>
      </w:r>
    </w:p>
    <w:p>
      <w:pPr>
        <w:pStyle w:val="Heading2"/>
        <w:spacing w:after="120" w:before="240"/>
      </w:pPr>
      <w:r>
        <w:rPr>
          <w:rFonts w:ascii="Arial" w:cs="Arial" w:eastAsia="Arial" w:hAnsi="Arial"/>
          <w:b/>
          <w:bCs/>
          <w:sz w:val="24"/>
          <w:szCs w:val="24"/>
        </w:rPr>
        <w:t xml:space="preserve">4.1 Estimation of R_B (Mokken Scale Analysis)</w:t>
      </w:r>
    </w:p>
    <w:p>
      <w:pPr>
        <w:spacing w:after="120" w:before="0" w:line="276"/>
        <w:jc w:val="both"/>
      </w:pPr>
      <w:r>
        <w:rPr>
          <w:rFonts w:ascii="Arial" w:cs="Arial" w:eastAsia="Arial" w:hAnsi="Arial"/>
          <w:sz w:val="22"/>
          <w:szCs w:val="22"/>
        </w:rPr>
        <w:t xml:space="preserve">Standard Mokken scale analysis is applied to the response matrix. We compute:</w:t>
      </w:r>
    </w:p>
    <w:p>
      <w:pPr>
        <w:pStyle w:val="ListParagraph"/>
        <w:numPr>
          <w:ilvl w:val="0"/>
          <w:numId w:val="2"/>
        </w:numPr>
        <w:spacing w:after="80" w:before="0" w:line="276"/>
        <w:jc w:val="left"/>
      </w:pPr>
      <w:r>
        <w:rPr>
          <w:rFonts w:ascii="Arial" w:cs="Arial" w:eastAsia="Arial" w:hAnsi="Arial"/>
          <w:sz w:val="22"/>
          <w:szCs w:val="22"/>
        </w:rPr>
        <w:t xml:space="preserve">Item-pair scalability coefficients H_jk and overall scalability coefficient H (Mokken, 1971; Sijtsma &amp; Molenaar, 2002).</w:t>
      </w:r>
    </w:p>
    <w:p>
      <w:pPr>
        <w:pStyle w:val="ListParagraph"/>
        <w:numPr>
          <w:ilvl w:val="0"/>
          <w:numId w:val="2"/>
        </w:numPr>
        <w:spacing w:after="80" w:before="0" w:line="276"/>
        <w:jc w:val="left"/>
      </w:pPr>
      <w:r>
        <w:rPr>
          <w:rFonts w:ascii="Arial" w:cs="Arial" w:eastAsia="Arial" w:hAnsi="Arial"/>
          <w:sz w:val="22"/>
          <w:szCs w:val="22"/>
        </w:rPr>
        <w:t xml:space="preserve">Monotonicity tests (manifest and, where appropriate, conditional; Van der Ark, 2007).</w:t>
      </w:r>
    </w:p>
    <w:p>
      <w:pPr>
        <w:pStyle w:val="ListParagraph"/>
        <w:numPr>
          <w:ilvl w:val="0"/>
          <w:numId w:val="2"/>
        </w:numPr>
        <w:spacing w:after="80" w:before="0" w:line="276"/>
        <w:jc w:val="left"/>
      </w:pPr>
      <w:r>
        <w:rPr>
          <w:rFonts w:ascii="Arial" w:cs="Arial" w:eastAsia="Arial" w:hAnsi="Arial"/>
          <w:sz w:val="22"/>
          <w:szCs w:val="22"/>
        </w:rPr>
        <w:t xml:space="preserve">Item difficulty estimates πₖ (mean endorsement), which induce the ordering R_B directly.</w:t>
      </w:r>
    </w:p>
    <w:p>
      <w:pPr>
        <w:spacing w:after="120" w:before="0" w:line="276"/>
        <w:jc w:val="both"/>
      </w:pPr>
      <w:r>
        <w:rPr>
          <w:rFonts w:ascii="Arial" w:cs="Arial" w:eastAsia="Arial" w:hAnsi="Arial"/>
          <w:sz w:val="22"/>
          <w:szCs w:val="22"/>
        </w:rPr>
        <w:t xml:space="preserve">Where the item set is multidimensional, the multidimensional Stoel H scalability metric (Stoel &amp; Wentzel, 2011; with our recent extension) is the primary global diagnostic. The Stoel H metric is information-theoretic: it benchmarks the number of valid scales recovered (k) against the maximum (2ⁿ − 1) and yields an interpretable index of structural compactness. Low Stoel H values warn that R_B is not well-defined as a single ordering and signal the need for the multidimensional extension developed in Track B.</w:t>
      </w:r>
    </w:p>
    <w:p>
      <w:pPr>
        <w:pStyle w:val="Heading2"/>
        <w:spacing w:after="120" w:before="240"/>
      </w:pPr>
      <w:r>
        <w:rPr>
          <w:rFonts w:ascii="Arial" w:cs="Arial" w:eastAsia="Arial" w:hAnsi="Arial"/>
          <w:b/>
          <w:bCs/>
          <w:sz w:val="24"/>
          <w:szCs w:val="24"/>
        </w:rPr>
        <w:t xml:space="preserve">4.2 Estimation of R_D (LLM-Derived Ordering)</w:t>
      </w:r>
    </w:p>
    <w:p>
      <w:pPr>
        <w:spacing w:after="120" w:before="0" w:line="276"/>
        <w:jc w:val="both"/>
      </w:pPr>
      <w:r>
        <w:rPr>
          <w:rFonts w:ascii="Arial" w:cs="Arial" w:eastAsia="Arial" w:hAnsi="Arial"/>
          <w:sz w:val="22"/>
          <w:szCs w:val="22"/>
        </w:rPr>
        <w:t xml:space="preserve">Two complementary strategies are used:</w:t>
      </w:r>
    </w:p>
    <w:p>
      <w:pPr>
        <w:spacing w:after="120" w:before="0" w:line="276"/>
        <w:jc w:val="both"/>
      </w:pPr>
      <w:r>
        <w:rPr>
          <w:rFonts w:ascii="Arial" w:cs="Arial" w:eastAsia="Arial" w:hAnsi="Arial"/>
          <w:b/>
          <w:bCs/>
          <w:sz w:val="22"/>
          <w:szCs w:val="22"/>
        </w:rPr>
        <w:t xml:space="preserve">Strategy A — Direct prompting. </w:t>
      </w:r>
      <w:r>
        <w:rPr>
          <w:rFonts w:ascii="Arial" w:cs="Arial" w:eastAsia="Arial" w:hAnsi="Arial"/>
          <w:sz w:val="22"/>
          <w:szCs w:val="22"/>
        </w:rPr>
        <w:t xml:space="preserve">A high-capacity instruction-tuned LLM is prompted with the item texts and instructed to return an ordering. Robustness is assessed across (i) multiple prompt formulations, (ii) multiple models (GPT-4-class, Claude-class, open-weights), and (iii) multiple temperature settings. The aggregate ordering is obtained by rank averaging.</w:t>
      </w:r>
    </w:p>
    <w:p>
      <w:pPr>
        <w:spacing w:after="120" w:before="0" w:line="276"/>
        <w:jc w:val="both"/>
      </w:pPr>
      <w:r>
        <w:rPr>
          <w:rFonts w:ascii="Arial" w:cs="Arial" w:eastAsia="Arial" w:hAnsi="Arial"/>
          <w:b/>
          <w:bCs/>
          <w:sz w:val="22"/>
          <w:szCs w:val="22"/>
        </w:rPr>
        <w:t xml:space="preserve">Strategy B — Embedding geometry. </w:t>
      </w:r>
      <w:r>
        <w:rPr>
          <w:rFonts w:ascii="Arial" w:cs="Arial" w:eastAsia="Arial" w:hAnsi="Arial"/>
          <w:sz w:val="22"/>
          <w:szCs w:val="22"/>
        </w:rPr>
        <w:t xml:space="preserve">Items are embedded with a fixed sentence-embedding model. A progression direction is identified in the embedding space using one of two approaches:</w:t>
      </w:r>
    </w:p>
    <w:p>
      <w:pPr>
        <w:pStyle w:val="ListParagraph"/>
        <w:numPr>
          <w:ilvl w:val="0"/>
          <w:numId w:val="3"/>
        </w:numPr>
        <w:spacing w:after="80" w:before="0" w:line="276"/>
        <w:jc w:val="left"/>
      </w:pPr>
      <w:r>
        <w:rPr>
          <w:rFonts w:ascii="Arial" w:cs="Arial" w:eastAsia="Arial" w:hAnsi="Arial"/>
          <w:sz w:val="22"/>
          <w:szCs w:val="22"/>
        </w:rPr>
        <w:t xml:space="preserve">Anchor-based: a small set of anchor items with known polarity (early / late) defines a direction; the remaining items are ranked by signed projection.</w:t>
      </w:r>
    </w:p>
    <w:p>
      <w:pPr>
        <w:pStyle w:val="ListParagraph"/>
        <w:numPr>
          <w:ilvl w:val="0"/>
          <w:numId w:val="3"/>
        </w:numPr>
        <w:spacing w:after="80" w:before="0" w:line="276"/>
        <w:jc w:val="left"/>
      </w:pPr>
      <w:r>
        <w:rPr>
          <w:rFonts w:ascii="Arial" w:cs="Arial" w:eastAsia="Arial" w:hAnsi="Arial"/>
          <w:sz w:val="22"/>
          <w:szCs w:val="22"/>
        </w:rPr>
        <w:t xml:space="preserve">Unsupervised: the first principal component of the item embeddings, after centering, is used as the progression direction, with sign determined by an anchor pair.</w:t>
      </w:r>
    </w:p>
    <w:p>
      <w:pPr>
        <w:spacing w:after="120" w:before="0" w:line="276"/>
        <w:jc w:val="both"/>
      </w:pPr>
      <w:r>
        <w:rPr>
          <w:rFonts w:ascii="Arial" w:cs="Arial" w:eastAsia="Arial" w:hAnsi="Arial"/>
          <w:sz w:val="22"/>
          <w:szCs w:val="22"/>
        </w:rPr>
        <w:t xml:space="preserve">Convergence between strategies A and B strengthens the interpretation that R_D captures a stable discursive structure rather than an artefact of any single estimation approach.</w:t>
      </w:r>
    </w:p>
    <w:p>
      <w:pPr>
        <w:pStyle w:val="Heading2"/>
        <w:spacing w:after="120" w:before="240"/>
      </w:pPr>
      <w:r>
        <w:rPr>
          <w:rFonts w:ascii="Arial" w:cs="Arial" w:eastAsia="Arial" w:hAnsi="Arial"/>
          <w:b/>
          <w:bCs/>
          <w:sz w:val="24"/>
          <w:szCs w:val="24"/>
        </w:rPr>
        <w:t xml:space="preserve">4.3 Comparison of R_D and R_B</w:t>
      </w:r>
    </w:p>
    <w:p>
      <w:pPr>
        <w:spacing w:after="120" w:before="0" w:line="276"/>
        <w:jc w:val="both"/>
      </w:pPr>
      <w:r>
        <w:rPr>
          <w:rFonts w:ascii="Arial" w:cs="Arial" w:eastAsia="Arial" w:hAnsi="Arial"/>
          <w:sz w:val="22"/>
          <w:szCs w:val="22"/>
        </w:rPr>
        <w:t xml:space="preserve">The two orderings are compared with:</w:t>
      </w:r>
    </w:p>
    <w:p>
      <w:pPr>
        <w:pStyle w:val="ListParagraph"/>
        <w:numPr>
          <w:ilvl w:val="0"/>
          <w:numId w:val="2"/>
        </w:numPr>
        <w:spacing w:after="80" w:before="0" w:line="276"/>
        <w:jc w:val="left"/>
      </w:pPr>
      <w:r>
        <w:rPr>
          <w:rFonts w:ascii="Arial" w:cs="Arial" w:eastAsia="Arial" w:hAnsi="Arial"/>
          <w:sz w:val="22"/>
          <w:szCs w:val="22"/>
        </w:rPr>
        <w:t xml:space="preserve">Kendall’s τ_b, Spearman’s ρ, and the proportion of concordant pairs.</w:t>
      </w:r>
    </w:p>
    <w:p>
      <w:pPr>
        <w:pStyle w:val="ListParagraph"/>
        <w:numPr>
          <w:ilvl w:val="0"/>
          <w:numId w:val="2"/>
        </w:numPr>
        <w:spacing w:after="80" w:before="0" w:line="276"/>
        <w:jc w:val="left"/>
      </w:pPr>
      <w:r>
        <w:rPr>
          <w:rFonts w:ascii="Arial" w:cs="Arial" w:eastAsia="Arial" w:hAnsi="Arial"/>
          <w:sz w:val="22"/>
          <w:szCs w:val="22"/>
        </w:rPr>
        <w:t xml:space="preserve">Permutation tests against the null of independent rankings.</w:t>
      </w:r>
    </w:p>
    <w:p>
      <w:pPr>
        <w:pStyle w:val="ListParagraph"/>
        <w:numPr>
          <w:ilvl w:val="0"/>
          <w:numId w:val="2"/>
        </w:numPr>
        <w:spacing w:after="80" w:before="0" w:line="276"/>
        <w:jc w:val="left"/>
      </w:pPr>
      <w:r>
        <w:rPr>
          <w:rFonts w:ascii="Arial" w:cs="Arial" w:eastAsia="Arial" w:hAnsi="Arial"/>
          <w:sz w:val="22"/>
          <w:szCs w:val="22"/>
        </w:rPr>
        <w:t xml:space="preserve">Bootstrapped confidence intervals, accounting for sampling variability in R_B and prompt / model variability in R_D.</w:t>
      </w:r>
    </w:p>
    <w:p>
      <w:pPr>
        <w:spacing w:after="120" w:before="0" w:line="276"/>
        <w:jc w:val="both"/>
      </w:pPr>
      <w:r>
        <w:rPr>
          <w:rFonts w:ascii="Arial" w:cs="Arial" w:eastAsia="Arial" w:hAnsi="Arial"/>
          <w:sz w:val="22"/>
          <w:szCs w:val="22"/>
        </w:rPr>
        <w:t xml:space="preserve">A paired-rank plot visualises divergence at the item level and supports qualitative interpretation of where the orderings diverge most strongly.</w:t>
      </w:r>
    </w:p>
    <w:p>
      <w:pPr>
        <w:pStyle w:val="Heading2"/>
        <w:spacing w:after="120" w:before="240"/>
      </w:pPr>
      <w:r>
        <w:rPr>
          <w:rFonts w:ascii="Arial" w:cs="Arial" w:eastAsia="Arial" w:hAnsi="Arial"/>
          <w:b/>
          <w:bCs/>
          <w:sz w:val="24"/>
          <w:szCs w:val="24"/>
        </w:rPr>
        <w:t xml:space="preserve">4.4 Residual Modelling</w:t>
      </w:r>
    </w:p>
    <w:p>
      <w:pPr>
        <w:spacing w:after="120" w:before="0" w:line="276"/>
        <w:jc w:val="both"/>
      </w:pPr>
      <w:r>
        <w:rPr>
          <w:rFonts w:ascii="Arial" w:cs="Arial" w:eastAsia="Arial" w:hAnsi="Arial"/>
          <w:sz w:val="22"/>
          <w:szCs w:val="22"/>
        </w:rPr>
        <w:t xml:space="preserve">Define for each item iₖ the rank residual εₖ = rank_B(iₖ) − rank_D(iₖ). The vector ε ∈ ℝⁿ is analysed at two levels:</w:t>
      </w:r>
    </w:p>
    <w:p>
      <w:pPr>
        <w:pStyle w:val="ListParagraph"/>
        <w:numPr>
          <w:ilvl w:val="0"/>
          <w:numId w:val="2"/>
        </w:numPr>
        <w:spacing w:after="80" w:before="0" w:line="276"/>
        <w:jc w:val="left"/>
      </w:pPr>
      <w:r>
        <w:rPr>
          <w:rFonts w:ascii="Arial" w:cs="Arial" w:eastAsia="Arial" w:hAnsi="Arial"/>
          <w:b/>
          <w:bCs/>
          <w:sz w:val="22"/>
          <w:szCs w:val="22"/>
        </w:rPr>
        <w:t xml:space="preserve">Item level: </w:t>
      </w:r>
      <w:r>
        <w:rPr>
          <w:rFonts w:ascii="Arial" w:cs="Arial" w:eastAsia="Arial" w:hAnsi="Arial"/>
          <w:sz w:val="22"/>
          <w:szCs w:val="22"/>
        </w:rPr>
        <w:t xml:space="preserve">which items have systematically large |εₖ|, and what do they share substantively?</w:t>
      </w:r>
    </w:p>
    <w:p>
      <w:pPr>
        <w:pStyle w:val="ListParagraph"/>
        <w:numPr>
          <w:ilvl w:val="0"/>
          <w:numId w:val="2"/>
        </w:numPr>
        <w:spacing w:after="80" w:before="0" w:line="276"/>
        <w:jc w:val="left"/>
      </w:pPr>
      <w:r>
        <w:rPr>
          <w:rFonts w:ascii="Arial" w:cs="Arial" w:eastAsia="Arial" w:hAnsi="Arial"/>
          <w:b/>
          <w:bCs/>
          <w:sz w:val="22"/>
          <w:szCs w:val="22"/>
        </w:rPr>
        <w:t xml:space="preserve">Organisation level: </w:t>
      </w:r>
      <w:r>
        <w:rPr>
          <w:rFonts w:ascii="Arial" w:cs="Arial" w:eastAsia="Arial" w:hAnsi="Arial"/>
          <w:sz w:val="22"/>
          <w:szCs w:val="22"/>
        </w:rPr>
        <w:t xml:space="preserve">for organisations o = 1, …, O, compute εₖᵒ and regress these on organisation-level covariates X_o (size, sector, formality of HR architecture, vacancy rate). Models include random intercepts by organisation and fixed effects for institutional features.</w:t>
      </w:r>
    </w:p>
    <w:p>
      <w:pPr>
        <w:pStyle w:val="Heading1"/>
        <w:spacing w:after="180" w:before="360"/>
      </w:pPr>
      <w:r>
        <w:rPr>
          <w:rFonts w:ascii="Arial" w:cs="Arial" w:eastAsia="Arial" w:hAnsi="Arial"/>
          <w:b/>
          <w:bCs/>
          <w:sz w:val="28"/>
          <w:szCs w:val="28"/>
        </w:rPr>
        <w:t xml:space="preserve">5. Demonstration Case: Career Progression</w:t>
      </w:r>
    </w:p>
    <w:p>
      <w:pPr>
        <w:spacing w:after="120" w:before="0" w:line="276"/>
        <w:jc w:val="both"/>
      </w:pPr>
      <w:r>
        <w:rPr>
          <w:rFonts w:ascii="Arial" w:cs="Arial" w:eastAsia="Arial" w:hAnsi="Arial"/>
          <w:sz w:val="22"/>
          <w:szCs w:val="22"/>
        </w:rPr>
        <w:t xml:space="preserve">The framework is demonstrated on a dataset of approximately 1,700 employees from a partner-organisation network, administered an instrument consisting of 45 binary career-progression items. Item content covers career states such as promotion, lateral mobility, domain switching, employer switching, and exit. The dataset spans multiple organisations, enabling within- and between-organisation analyses required for RQ2 and RQ3, and—once Track B is operational—the network-of-paths analysis required for RQ4.</w:t>
      </w:r>
    </w:p>
    <w:p>
      <w:pPr>
        <w:spacing w:after="120" w:before="0" w:line="276"/>
        <w:jc w:val="both"/>
      </w:pPr>
      <w:r>
        <w:rPr>
          <w:rFonts w:ascii="Arial" w:cs="Arial" w:eastAsia="Arial" w:hAnsi="Arial"/>
          <w:sz w:val="22"/>
          <w:szCs w:val="22"/>
        </w:rPr>
        <w:t xml:space="preserve">The dataset is well-suited to the demonstration for three reasons:</w:t>
      </w:r>
    </w:p>
    <w:p>
      <w:pPr>
        <w:pStyle w:val="ListParagraph"/>
        <w:numPr>
          <w:ilvl w:val="0"/>
          <w:numId w:val="3"/>
        </w:numPr>
        <w:spacing w:after="80" w:before="0" w:line="276"/>
        <w:jc w:val="left"/>
      </w:pPr>
      <w:r>
        <w:rPr>
          <w:rFonts w:ascii="Arial" w:cs="Arial" w:eastAsia="Arial" w:hAnsi="Arial"/>
          <w:sz w:val="22"/>
          <w:szCs w:val="22"/>
        </w:rPr>
        <w:t xml:space="preserve">The items are short, linguistically self-contained, and embeddable.</w:t>
      </w:r>
    </w:p>
    <w:p>
      <w:pPr>
        <w:pStyle w:val="ListParagraph"/>
        <w:numPr>
          <w:ilvl w:val="0"/>
          <w:numId w:val="3"/>
        </w:numPr>
        <w:spacing w:after="80" w:before="0" w:line="276"/>
        <w:jc w:val="left"/>
      </w:pPr>
      <w:r>
        <w:rPr>
          <w:rFonts w:ascii="Arial" w:cs="Arial" w:eastAsia="Arial" w:hAnsi="Arial"/>
          <w:sz w:val="22"/>
          <w:szCs w:val="22"/>
        </w:rPr>
        <w:t xml:space="preserve">The Mokken scalability of the item set has been pre-established, with H comfortably above the conventional threshold of .30 under the unidimensional model.</w:t>
      </w:r>
    </w:p>
    <w:p>
      <w:pPr>
        <w:pStyle w:val="ListParagraph"/>
        <w:numPr>
          <w:ilvl w:val="0"/>
          <w:numId w:val="3"/>
        </w:numPr>
        <w:spacing w:after="80" w:before="0" w:line="276"/>
        <w:jc w:val="left"/>
      </w:pPr>
      <w:r>
        <w:rPr>
          <w:rFonts w:ascii="Arial" w:cs="Arial" w:eastAsia="Arial" w:hAnsi="Arial"/>
          <w:sz w:val="22"/>
          <w:szCs w:val="22"/>
        </w:rPr>
        <w:t xml:space="preserve">The multi-organisation structure provides natural variation in institutional context, essential for testing the substantive interpretation of the residual.</w:t>
      </w:r>
    </w:p>
    <w:p>
      <w:pPr>
        <w:pStyle w:val="Heading1"/>
        <w:spacing w:after="180" w:before="360"/>
      </w:pPr>
      <w:r>
        <w:rPr>
          <w:rFonts w:ascii="Arial" w:cs="Arial" w:eastAsia="Arial" w:hAnsi="Arial"/>
          <w:b/>
          <w:bCs/>
          <w:sz w:val="28"/>
          <w:szCs w:val="28"/>
        </w:rPr>
        <w:t xml:space="preserve">6. Multidimensional Extension: From Mokken to mMokken (Track B)</w:t>
      </w:r>
    </w:p>
    <w:p>
      <w:pPr>
        <w:pStyle w:val="Heading2"/>
        <w:spacing w:after="120" w:before="240"/>
      </w:pPr>
      <w:r>
        <w:rPr>
          <w:rFonts w:ascii="Arial" w:cs="Arial" w:eastAsia="Arial" w:hAnsi="Arial"/>
          <w:b/>
          <w:bCs/>
          <w:sz w:val="24"/>
          <w:szCs w:val="24"/>
        </w:rPr>
        <w:t xml:space="preserve">6.1 Motivation</w:t>
      </w:r>
    </w:p>
    <w:p>
      <w:pPr>
        <w:spacing w:after="120" w:before="0" w:line="276"/>
        <w:jc w:val="both"/>
      </w:pPr>
      <w:r>
        <w:rPr>
          <w:rFonts w:ascii="Arial" w:cs="Arial" w:eastAsia="Arial" w:hAnsi="Arial"/>
          <w:sz w:val="22"/>
          <w:szCs w:val="22"/>
        </w:rPr>
        <w:t xml:space="preserve">The framework as introduced in Sections 2–5 treats R_B as a single ordering on n items. This implicitly assumes unidimensionality — that items align along one latent progression axis. Mokken scale analysis classically operates under this assumption. In practice, substantive domains rarely conform. Career progression is not one dimension: at the very least it factors into vertical advancement (hierarchical promotion), horizontal mobility (lateral and cross-domain moves), and exit-and-re-entry trajectories. Forcing these into a single ordering discards exactly the structure that makes the domain interesting.</w:t>
      </w:r>
    </w:p>
    <w:p>
      <w:pPr>
        <w:spacing w:after="120" w:before="0" w:line="276"/>
        <w:jc w:val="both"/>
      </w:pPr>
      <w:r>
        <w:rPr>
          <w:rFonts w:ascii="Arial" w:cs="Arial" w:eastAsia="Arial" w:hAnsi="Arial"/>
          <w:sz w:val="22"/>
          <w:szCs w:val="22"/>
        </w:rPr>
        <w:t xml:space="preserve">The companion development is therefore the systematic extension of Mokken scale analysis to multiple dimensions — mMokken — analogous to the IRT → mIRT generalisation (Reckase, 2009) but on a non-parametric, ordinal-relations footing. Where mIRT places each item as a direction vector in a multidimensional latent space, mMokken treats the multi-scale structure as a network of dimensions, with items as nodes and items loading on multiple scales as crossings — strategic hubs in the broader progression structure.</w:t>
      </w:r>
    </w:p>
    <w:p>
      <w:pPr>
        <w:pStyle w:val="Heading2"/>
        <w:spacing w:after="120" w:before="240"/>
      </w:pPr>
      <w:r>
        <w:rPr>
          <w:rFonts w:ascii="Arial" w:cs="Arial" w:eastAsia="Arial" w:hAnsi="Arial"/>
          <w:b/>
          <w:bCs/>
          <w:sz w:val="24"/>
          <w:szCs w:val="24"/>
        </w:rPr>
        <w:t xml:space="preserve">6.2 mMokken: a sketch</w:t>
      </w:r>
    </w:p>
    <w:p>
      <w:pPr>
        <w:spacing w:after="120" w:before="0" w:line="276"/>
        <w:jc w:val="both"/>
      </w:pPr>
      <w:r>
        <w:rPr>
          <w:rFonts w:ascii="Arial" w:cs="Arial" w:eastAsia="Arial" w:hAnsi="Arial"/>
          <w:b/>
          <w:bCs/>
          <w:sz w:val="22"/>
          <w:szCs w:val="22"/>
        </w:rPr>
        <w:t xml:space="preserve">Conceptually. </w:t>
      </w:r>
      <w:r>
        <w:rPr>
          <w:rFonts w:ascii="Arial" w:cs="Arial" w:eastAsia="Arial" w:hAnsi="Arial"/>
          <w:sz w:val="22"/>
          <w:szCs w:val="22"/>
        </w:rPr>
        <w:t xml:space="preserve">Items are positioned on potentially multiple Mokken scales simultaneously. An item that scales monotonically on scale A and scale B becomes a crossing point in the item-by-dimension structure. Persons are characterised not by a single latent score but by a vector of scale scores, one per dimension. Trajectories through this structure—career paths in the demonstration case—become paths through a network of scales whose nodes are items.</w:t>
      </w:r>
    </w:p>
    <w:p>
      <w:pPr>
        <w:spacing w:after="120" w:before="0" w:line="276"/>
        <w:jc w:val="both"/>
      </w:pPr>
      <w:r>
        <w:rPr>
          <w:rFonts w:ascii="Arial" w:cs="Arial" w:eastAsia="Arial" w:hAnsi="Arial"/>
          <w:b/>
          <w:bCs/>
          <w:sz w:val="22"/>
          <w:szCs w:val="22"/>
        </w:rPr>
        <w:t xml:space="preserve">Algorithmically. </w:t>
      </w:r>
      <w:r>
        <w:rPr>
          <w:rFonts w:ascii="Arial" w:cs="Arial" w:eastAsia="Arial" w:hAnsi="Arial"/>
          <w:sz w:val="22"/>
          <w:szCs w:val="22"/>
        </w:rPr>
        <w:t xml:space="preserve">The automated item-selection procedure (AISP; Van Schuur, 2003) is generalised: rather than producing a single scale, it produces a partition that admits multi-scale items. The Stoel H scalability metric (Stoel &amp; Wentzel, 2011) is the natural global index for this regime: it benchmarks the number of valid scales recovered against the maximum possible structure and indexes the compactness of the resulting multi-dimensional architecture.</w:t>
      </w:r>
    </w:p>
    <w:p>
      <w:pPr>
        <w:spacing w:after="120" w:before="0" w:line="276"/>
        <w:jc w:val="both"/>
      </w:pPr>
      <w:r>
        <w:rPr>
          <w:rFonts w:ascii="Arial" w:cs="Arial" w:eastAsia="Arial" w:hAnsi="Arial"/>
          <w:b/>
          <w:bCs/>
          <w:sz w:val="22"/>
          <w:szCs w:val="22"/>
        </w:rPr>
        <w:t xml:space="preserve">Implementationally. </w:t>
      </w:r>
      <w:r>
        <w:rPr>
          <w:rFonts w:ascii="Arial" w:cs="Arial" w:eastAsia="Arial" w:hAnsi="Arial"/>
          <w:sz w:val="22"/>
          <w:szCs w:val="22"/>
        </w:rPr>
        <w:t xml:space="preserve">A Python package, mmokken, embeds the non-parametric Mokken family within a broader multi-model ecosystem (Rasch, 2PL, GRM, md-2PL) under a unified API. A first release targets Mokken-equivalence with the R mokken package (Van der Ark, 2007), with multidimensional and parametric extensions in subsequent releases. The package will follow the scikit-learn estimator convention to integrate naturally with the Python data-analysis stack.</w:t>
      </w:r>
    </w:p>
    <w:p>
      <w:pPr>
        <w:pStyle w:val="Heading2"/>
        <w:spacing w:after="120" w:before="240"/>
      </w:pPr>
      <w:r>
        <w:rPr>
          <w:rFonts w:ascii="Arial" w:cs="Arial" w:eastAsia="Arial" w:hAnsi="Arial"/>
          <w:b/>
          <w:bCs/>
          <w:sz w:val="24"/>
          <w:szCs w:val="24"/>
        </w:rPr>
        <w:t xml:space="preserve">6.3 Why mMokken matters for the R_D / R_B comparison</w:t>
      </w:r>
    </w:p>
    <w:p>
      <w:pPr>
        <w:spacing w:after="120" w:before="0" w:line="276"/>
        <w:jc w:val="both"/>
      </w:pPr>
      <w:r>
        <w:rPr>
          <w:rFonts w:ascii="Arial" w:cs="Arial" w:eastAsia="Arial" w:hAnsi="Arial"/>
          <w:sz w:val="22"/>
          <w:szCs w:val="22"/>
        </w:rPr>
        <w:t xml:space="preserve">The unidimensional comparison (Sections 2–5) is a special case. The general comparison takes R_D and R_B as structures over the same item set, where each structure may be a single ordering, a multi-scale partition, or a network of crossings. The structurally interesting questions only emerge in the general case:</w:t>
      </w:r>
    </w:p>
    <w:p>
      <w:pPr>
        <w:pStyle w:val="ListParagraph"/>
        <w:numPr>
          <w:ilvl w:val="0"/>
          <w:numId w:val="2"/>
        </w:numPr>
        <w:spacing w:after="80" w:before="0" w:line="276"/>
        <w:jc w:val="left"/>
      </w:pPr>
      <w:r>
        <w:rPr>
          <w:rFonts w:ascii="Arial" w:cs="Arial" w:eastAsia="Arial" w:hAnsi="Arial"/>
          <w:sz w:val="22"/>
          <w:szCs w:val="22"/>
        </w:rPr>
        <w:t xml:space="preserve">Do the LLM-derived crossings (items lying at the intersection of multiple semantic axes) coincide with the empirical crossings (items loading on multiple Mokken scales)?</w:t>
      </w:r>
    </w:p>
    <w:p>
      <w:pPr>
        <w:pStyle w:val="ListParagraph"/>
        <w:numPr>
          <w:ilvl w:val="0"/>
          <w:numId w:val="2"/>
        </w:numPr>
        <w:spacing w:after="80" w:before="0" w:line="276"/>
        <w:jc w:val="left"/>
      </w:pPr>
      <w:r>
        <w:rPr>
          <w:rFonts w:ascii="Arial" w:cs="Arial" w:eastAsia="Arial" w:hAnsi="Arial"/>
          <w:sz w:val="22"/>
          <w:szCs w:val="22"/>
        </w:rPr>
        <w:t xml:space="preserve">Are LLM embeddings sensitive to the difference between vertical-progression items and lateral-mobility items, or do they collapse them onto a single semantic ordering?</w:t>
      </w:r>
    </w:p>
    <w:p>
      <w:pPr>
        <w:pStyle w:val="ListParagraph"/>
        <w:numPr>
          <w:ilvl w:val="0"/>
          <w:numId w:val="2"/>
        </w:numPr>
        <w:spacing w:after="80" w:before="0" w:line="276"/>
        <w:jc w:val="left"/>
      </w:pPr>
      <w:r>
        <w:rPr>
          <w:rFonts w:ascii="Arial" w:cs="Arial" w:eastAsia="Arial" w:hAnsi="Arial"/>
          <w:sz w:val="22"/>
          <w:szCs w:val="22"/>
        </w:rPr>
        <w:t xml:space="preserve">Is the residual structure between R_D and R_B itself multidimensional, and does each dimension of the residual map onto distinct institutional features?</w:t>
      </w:r>
    </w:p>
    <w:p>
      <w:pPr>
        <w:spacing w:after="120" w:before="0" w:line="276"/>
        <w:jc w:val="both"/>
      </w:pPr>
      <w:r>
        <w:rPr>
          <w:rFonts w:ascii="Arial" w:cs="Arial" w:eastAsia="Arial" w:hAnsi="Arial"/>
          <w:sz w:val="22"/>
          <w:szCs w:val="22"/>
        </w:rPr>
        <w:t xml:space="preserve">In short, mMokken is what makes the proposed framework empirically rich. Without it, the comparison is restricted to a single ordering against a single ordering. With it, the comparison becomes structural — between two networks over the same nodes.</w:t>
      </w:r>
    </w:p>
    <w:p>
      <w:pPr>
        <w:pStyle w:val="Heading2"/>
        <w:spacing w:after="120" w:before="240"/>
      </w:pPr>
      <w:r>
        <w:rPr>
          <w:rFonts w:ascii="Arial" w:cs="Arial" w:eastAsia="Arial" w:hAnsi="Arial"/>
          <w:b/>
          <w:bCs/>
          <w:sz w:val="24"/>
          <w:szCs w:val="24"/>
        </w:rPr>
        <w:t xml:space="preserve">6.4 Track B methods sketch</w:t>
      </w:r>
    </w:p>
    <w:p>
      <w:pPr>
        <w:spacing w:after="120" w:before="0" w:line="276"/>
        <w:jc w:val="both"/>
      </w:pPr>
      <w:r>
        <w:rPr>
          <w:rFonts w:ascii="Arial" w:cs="Arial" w:eastAsia="Arial" w:hAnsi="Arial"/>
          <w:sz w:val="22"/>
          <w:szCs w:val="22"/>
        </w:rPr>
        <w:t xml:space="preserve">Track B comprises three components, in development order:</w:t>
      </w:r>
    </w:p>
    <w:p>
      <w:pPr>
        <w:pStyle w:val="ListParagraph"/>
        <w:numPr>
          <w:ilvl w:val="0"/>
          <w:numId w:val="3"/>
        </w:numPr>
        <w:spacing w:after="80" w:before="0" w:line="276"/>
        <w:jc w:val="left"/>
      </w:pPr>
      <w:r>
        <w:rPr>
          <w:rFonts w:ascii="Arial" w:cs="Arial" w:eastAsia="Arial" w:hAnsi="Arial"/>
          <w:b/>
          <w:bCs/>
          <w:sz w:val="22"/>
          <w:szCs w:val="22"/>
        </w:rPr>
        <w:t xml:space="preserve">Unidimensional core. </w:t>
      </w:r>
      <w:r>
        <w:rPr>
          <w:rFonts w:ascii="Arial" w:cs="Arial" w:eastAsia="Arial" w:hAnsi="Arial"/>
          <w:sz w:val="22"/>
          <w:szCs w:val="22"/>
        </w:rPr>
        <w:t xml:space="preserve">Python implementation of the canonical Mokken pipeline: H, H_i, H_ij; manifest and conditional monotonicity; AISP greedy and genetic-algorithm variants. Reference comparison: numerical equivalence with the R mokken package (Van der Ark, 2007) on benchmark datasets.</w:t>
      </w:r>
    </w:p>
    <w:p>
      <w:pPr>
        <w:pStyle w:val="ListParagraph"/>
        <w:numPr>
          <w:ilvl w:val="0"/>
          <w:numId w:val="3"/>
        </w:numPr>
        <w:spacing w:after="80" w:before="0" w:line="276"/>
        <w:jc w:val="left"/>
      </w:pPr>
      <w:r>
        <w:rPr>
          <w:rFonts w:ascii="Arial" w:cs="Arial" w:eastAsia="Arial" w:hAnsi="Arial"/>
          <w:b/>
          <w:bCs/>
          <w:sz w:val="22"/>
          <w:szCs w:val="22"/>
        </w:rPr>
        <w:t xml:space="preserve">Multidimensional extension. </w:t>
      </w:r>
      <w:r>
        <w:rPr>
          <w:rFonts w:ascii="Arial" w:cs="Arial" w:eastAsia="Arial" w:hAnsi="Arial"/>
          <w:sz w:val="22"/>
          <w:szCs w:val="22"/>
        </w:rPr>
        <w:t xml:space="preserve">Generalised AISP allowing items to belong to multiple scales; multi-scale Stoel H scalability metric integrated as primary global diagnostic; visualisation primitives for the network-of-paths structure (items as nodes, scales as paths, crossings highlighted).</w:t>
      </w:r>
    </w:p>
    <w:p>
      <w:pPr>
        <w:pStyle w:val="ListParagraph"/>
        <w:numPr>
          <w:ilvl w:val="0"/>
          <w:numId w:val="3"/>
        </w:numPr>
        <w:spacing w:after="80" w:before="0" w:line="276"/>
        <w:jc w:val="left"/>
      </w:pPr>
      <w:r>
        <w:rPr>
          <w:rFonts w:ascii="Arial" w:cs="Arial" w:eastAsia="Arial" w:hAnsi="Arial"/>
          <w:b/>
          <w:bCs/>
          <w:sz w:val="22"/>
          <w:szCs w:val="22"/>
        </w:rPr>
        <w:t xml:space="preserve">Parametric integration. </w:t>
      </w:r>
      <w:r>
        <w:rPr>
          <w:rFonts w:ascii="Arial" w:cs="Arial" w:eastAsia="Arial" w:hAnsi="Arial"/>
          <w:sz w:val="22"/>
          <w:szCs w:val="22"/>
        </w:rPr>
        <w:t xml:space="preserve">Unified API allowing Rasch, 2PL, GRM, and md-2PL as alternative models under the same fit interface, enabling direct within-package comparison of non-parametric and parametric multidimensional results.</w:t>
      </w:r>
    </w:p>
    <w:p>
      <w:pPr>
        <w:pStyle w:val="Heading1"/>
        <w:spacing w:after="180" w:before="360"/>
      </w:pPr>
      <w:r>
        <w:rPr>
          <w:rFonts w:ascii="Arial" w:cs="Arial" w:eastAsia="Arial" w:hAnsi="Arial"/>
          <w:b/>
          <w:bCs/>
          <w:sz w:val="28"/>
          <w:szCs w:val="28"/>
        </w:rPr>
        <w:t xml:space="preserve">7. Expected Contributions</w:t>
      </w:r>
    </w:p>
    <w:p>
      <w:pPr>
        <w:spacing w:after="120" w:before="0" w:line="276"/>
        <w:jc w:val="both"/>
      </w:pPr>
      <w:r>
        <w:rPr>
          <w:rFonts w:ascii="Arial" w:cs="Arial" w:eastAsia="Arial" w:hAnsi="Arial"/>
          <w:b/>
          <w:bCs/>
          <w:sz w:val="22"/>
          <w:szCs w:val="22"/>
        </w:rPr>
        <w:t xml:space="preserve">Methodological (Track A). </w:t>
      </w:r>
      <w:r>
        <w:rPr>
          <w:rFonts w:ascii="Arial" w:cs="Arial" w:eastAsia="Arial" w:hAnsi="Arial"/>
          <w:sz w:val="22"/>
          <w:szCs w:val="22"/>
        </w:rPr>
        <w:t xml:space="preserve">A formal framework for comparing two orderings of the same items, one from language and one from behaviour, with a principled treatment of the residual as signal. The framework is domain-general: any item set with both LLM-tractable text and Mokken-analyzable response data is admissible.</w:t>
      </w:r>
    </w:p>
    <w:p>
      <w:pPr>
        <w:spacing w:after="120" w:before="0" w:line="276"/>
        <w:jc w:val="both"/>
      </w:pPr>
      <w:r>
        <w:rPr>
          <w:rFonts w:ascii="Arial" w:cs="Arial" w:eastAsia="Arial" w:hAnsi="Arial"/>
          <w:b/>
          <w:bCs/>
          <w:sz w:val="22"/>
          <w:szCs w:val="22"/>
        </w:rPr>
        <w:t xml:space="preserve">Methodological (Track B). </w:t>
      </w:r>
      <w:r>
        <w:rPr>
          <w:rFonts w:ascii="Arial" w:cs="Arial" w:eastAsia="Arial" w:hAnsi="Arial"/>
          <w:sz w:val="22"/>
          <w:szCs w:val="22"/>
        </w:rPr>
        <w:t xml:space="preserve">A non-parametric multidimensional extension of Mokken scale analysis, mMokken, generalising AISP and the Stoel H metric. This is the first systematic generalisation of Mokken scale analysis in the multidimensional direction; the IRT tradition completed this generalisation a generation ago.</w:t>
      </w:r>
    </w:p>
    <w:p>
      <w:pPr>
        <w:spacing w:after="120" w:before="0" w:line="276"/>
        <w:jc w:val="both"/>
      </w:pPr>
      <w:r>
        <w:rPr>
          <w:rFonts w:ascii="Arial" w:cs="Arial" w:eastAsia="Arial" w:hAnsi="Arial"/>
          <w:b/>
          <w:bCs/>
          <w:sz w:val="22"/>
          <w:szCs w:val="22"/>
        </w:rPr>
        <w:t xml:space="preserve">Implementational. </w:t>
      </w:r>
      <w:r>
        <w:rPr>
          <w:rFonts w:ascii="Arial" w:cs="Arial" w:eastAsia="Arial" w:hAnsi="Arial"/>
          <w:sz w:val="22"/>
          <w:szCs w:val="22"/>
        </w:rPr>
        <w:t xml:space="preserve">An open-source Python package implementing both tracks: item embedding, R_D estimation, multidimensional Mokken estimation, comparison statistics, residual modelling, and visualisation. The package is intended as a community resource and will follow open-development practice.</w:t>
      </w:r>
    </w:p>
    <w:p>
      <w:pPr>
        <w:spacing w:after="120" w:before="0" w:line="276"/>
        <w:jc w:val="both"/>
      </w:pPr>
      <w:r>
        <w:rPr>
          <w:rFonts w:ascii="Arial" w:cs="Arial" w:eastAsia="Arial" w:hAnsi="Arial"/>
          <w:b/>
          <w:bCs/>
          <w:sz w:val="22"/>
          <w:szCs w:val="22"/>
        </w:rPr>
        <w:t xml:space="preserve">Substantive (demonstration). </w:t>
      </w:r>
      <w:r>
        <w:rPr>
          <w:rFonts w:ascii="Arial" w:cs="Arial" w:eastAsia="Arial" w:hAnsi="Arial"/>
          <w:sz w:val="22"/>
          <w:szCs w:val="22"/>
        </w:rPr>
        <w:t xml:space="preserve">First empirical evidence on the discursive–behavioural congruence question for a substantive domain (career progression), with insight into how institutional context shapes the residual and how multi-dimensional structure manifests in LLM-derived item geometry.</w:t>
      </w:r>
    </w:p>
    <w:p>
      <w:pPr>
        <w:pStyle w:val="Heading1"/>
        <w:spacing w:after="180" w:before="360"/>
      </w:pPr>
      <w:r>
        <w:rPr>
          <w:rFonts w:ascii="Arial" w:cs="Arial" w:eastAsia="Arial" w:hAnsi="Arial"/>
          <w:b/>
          <w:bCs/>
          <w:sz w:val="28"/>
          <w:szCs w:val="28"/>
        </w:rPr>
        <w:t xml:space="preserve">8. Programme Structure and Deliverables</w:t>
      </w:r>
    </w:p>
    <w:p>
      <w:pPr>
        <w:spacing w:after="120" w:before="0" w:line="276"/>
        <w:jc w:val="both"/>
      </w:pPr>
      <w:r>
        <w:rPr>
          <w:rFonts w:ascii="Arial" w:cs="Arial" w:eastAsia="Arial" w:hAnsi="Arial"/>
          <w:sz w:val="22"/>
          <w:szCs w:val="22"/>
        </w:rPr>
        <w:t xml:space="preserve">The programme is structured as two parallel, interlocking tracks over approximately 36–48 months.</w:t>
      </w:r>
    </w:p>
    <w:p>
      <w:pPr>
        <w:pStyle w:val="Heading2"/>
        <w:spacing w:after="120" w:before="240"/>
      </w:pPr>
      <w:r>
        <w:rPr>
          <w:rFonts w:ascii="Arial" w:cs="Arial" w:eastAsia="Arial" w:hAnsi="Arial"/>
          <w:b/>
          <w:bCs/>
          <w:sz w:val="24"/>
          <w:szCs w:val="24"/>
        </w:rPr>
        <w:t xml:space="preserve">Track A. Two-orderings framework (months 1–24)</w:t>
      </w:r>
    </w:p>
    <w:p>
      <w:pPr>
        <w:pStyle w:val="ListParagraph"/>
        <w:numPr>
          <w:ilvl w:val="0"/>
          <w:numId w:val="2"/>
        </w:numPr>
        <w:spacing w:after="80" w:before="0" w:line="276"/>
        <w:jc w:val="left"/>
      </w:pPr>
      <w:r>
        <w:rPr>
          <w:rFonts w:ascii="Arial" w:cs="Arial" w:eastAsia="Arial" w:hAnsi="Arial"/>
          <w:b/>
          <w:bCs/>
          <w:sz w:val="22"/>
          <w:szCs w:val="22"/>
        </w:rPr>
        <w:t xml:space="preserve">Phase A1 (months 1–6). </w:t>
      </w:r>
      <w:r>
        <w:rPr>
          <w:rFonts w:ascii="Arial" w:cs="Arial" w:eastAsia="Arial" w:hAnsi="Arial"/>
          <w:sz w:val="22"/>
          <w:szCs w:val="22"/>
        </w:rPr>
        <w:t xml:space="preserve">Formal specification of R_D and R_B estimation, congruence statistics, and residual model. Pre-registration of the demonstration analysis on OSF.</w:t>
      </w:r>
    </w:p>
    <w:p>
      <w:pPr>
        <w:pStyle w:val="ListParagraph"/>
        <w:numPr>
          <w:ilvl w:val="0"/>
          <w:numId w:val="2"/>
        </w:numPr>
        <w:spacing w:after="80" w:before="0" w:line="276"/>
        <w:jc w:val="left"/>
      </w:pPr>
      <w:r>
        <w:rPr>
          <w:rFonts w:ascii="Arial" w:cs="Arial" w:eastAsia="Arial" w:hAnsi="Arial"/>
          <w:b/>
          <w:bCs/>
          <w:sz w:val="22"/>
          <w:szCs w:val="22"/>
        </w:rPr>
        <w:t xml:space="preserve">Phase A2 (months 7–14). </w:t>
      </w:r>
      <w:r>
        <w:rPr>
          <w:rFonts w:ascii="Arial" w:cs="Arial" w:eastAsia="Arial" w:hAnsi="Arial"/>
          <w:sz w:val="22"/>
          <w:szCs w:val="22"/>
        </w:rPr>
        <w:t xml:space="preserve">Implementation, pilot on a 200-employee subset, full analysis of the 1,700-employee dataset. Iteration on the framework based on what the data reveals about edge cases.</w:t>
      </w:r>
    </w:p>
    <w:p>
      <w:pPr>
        <w:pStyle w:val="ListParagraph"/>
        <w:numPr>
          <w:ilvl w:val="0"/>
          <w:numId w:val="2"/>
        </w:numPr>
        <w:spacing w:after="80" w:before="0" w:line="276"/>
        <w:jc w:val="left"/>
      </w:pPr>
      <w:r>
        <w:rPr>
          <w:rFonts w:ascii="Arial" w:cs="Arial" w:eastAsia="Arial" w:hAnsi="Arial"/>
          <w:b/>
          <w:bCs/>
          <w:sz w:val="22"/>
          <w:szCs w:val="22"/>
        </w:rPr>
        <w:t xml:space="preserve">Phase A3 (months 15–24). </w:t>
      </w:r>
      <w:r>
        <w:rPr>
          <w:rFonts w:ascii="Arial" w:cs="Arial" w:eastAsia="Arial" w:hAnsi="Arial"/>
          <w:sz w:val="22"/>
          <w:szCs w:val="22"/>
        </w:rPr>
        <w:t xml:space="preserve">Methodological paper (Paper 1, target: Behavior Research Methods or Methods in Psychology); demonstration paper (Paper 2, target: outlet to be selected based on substantive depth of findings).</w:t>
      </w:r>
    </w:p>
    <w:p>
      <w:pPr>
        <w:pStyle w:val="Heading2"/>
        <w:spacing w:after="120" w:before="240"/>
      </w:pPr>
      <w:r>
        <w:rPr>
          <w:rFonts w:ascii="Arial" w:cs="Arial" w:eastAsia="Arial" w:hAnsi="Arial"/>
          <w:b/>
          <w:bCs/>
          <w:sz w:val="24"/>
          <w:szCs w:val="24"/>
        </w:rPr>
        <w:t xml:space="preserve">Track B. mMokken (months 1–36)</w:t>
      </w:r>
    </w:p>
    <w:p>
      <w:pPr>
        <w:pStyle w:val="ListParagraph"/>
        <w:numPr>
          <w:ilvl w:val="0"/>
          <w:numId w:val="2"/>
        </w:numPr>
        <w:spacing w:after="80" w:before="0" w:line="276"/>
        <w:jc w:val="left"/>
      </w:pPr>
      <w:r>
        <w:rPr>
          <w:rFonts w:ascii="Arial" w:cs="Arial" w:eastAsia="Arial" w:hAnsi="Arial"/>
          <w:b/>
          <w:bCs/>
          <w:sz w:val="22"/>
          <w:szCs w:val="22"/>
        </w:rPr>
        <w:t xml:space="preserve">Phase B1 (months 1–9). </w:t>
      </w:r>
      <w:r>
        <w:rPr>
          <w:rFonts w:ascii="Arial" w:cs="Arial" w:eastAsia="Arial" w:hAnsi="Arial"/>
          <w:sz w:val="22"/>
          <w:szCs w:val="22"/>
        </w:rPr>
        <w:t xml:space="preserve">Architecture and unidimensional Mokken core: numerical equivalence with R mokken on benchmark datasets, full test suite, documentation. First package release on PyPI.</w:t>
      </w:r>
    </w:p>
    <w:p>
      <w:pPr>
        <w:pStyle w:val="ListParagraph"/>
        <w:numPr>
          <w:ilvl w:val="0"/>
          <w:numId w:val="2"/>
        </w:numPr>
        <w:spacing w:after="80" w:before="0" w:line="276"/>
        <w:jc w:val="left"/>
      </w:pPr>
      <w:r>
        <w:rPr>
          <w:rFonts w:ascii="Arial" w:cs="Arial" w:eastAsia="Arial" w:hAnsi="Arial"/>
          <w:b/>
          <w:bCs/>
          <w:sz w:val="22"/>
          <w:szCs w:val="22"/>
        </w:rPr>
        <w:t xml:space="preserve">Phase B2 (months 10–18). </w:t>
      </w:r>
      <w:r>
        <w:rPr>
          <w:rFonts w:ascii="Arial" w:cs="Arial" w:eastAsia="Arial" w:hAnsi="Arial"/>
          <w:sz w:val="22"/>
          <w:szCs w:val="22"/>
        </w:rPr>
        <w:t xml:space="preserve">Multidimensional extension: generalised AISP, multi-scale Stoel H, network-of-paths visualisation. Second release.</w:t>
      </w:r>
    </w:p>
    <w:p>
      <w:pPr>
        <w:pStyle w:val="ListParagraph"/>
        <w:numPr>
          <w:ilvl w:val="0"/>
          <w:numId w:val="2"/>
        </w:numPr>
        <w:spacing w:after="80" w:before="0" w:line="276"/>
        <w:jc w:val="left"/>
      </w:pPr>
      <w:r>
        <w:rPr>
          <w:rFonts w:ascii="Arial" w:cs="Arial" w:eastAsia="Arial" w:hAnsi="Arial"/>
          <w:b/>
          <w:bCs/>
          <w:sz w:val="22"/>
          <w:szCs w:val="22"/>
        </w:rPr>
        <w:t xml:space="preserve">Phase B3 (months 19–36). </w:t>
      </w:r>
      <w:r>
        <w:rPr>
          <w:rFonts w:ascii="Arial" w:cs="Arial" w:eastAsia="Arial" w:hAnsi="Arial"/>
          <w:sz w:val="22"/>
          <w:szCs w:val="22"/>
        </w:rPr>
        <w:t xml:space="preserve">Parametric integration (Rasch, 2PL, GRM, md-2PL) under unified API. Package paper (Paper 3, target: Journal of Statistical Software). Methodological paper on mMokken (Paper 4, target: Psychometrika or Multivariate Behavioral Research).</w:t>
      </w:r>
    </w:p>
    <w:p>
      <w:pPr>
        <w:pStyle w:val="Heading2"/>
        <w:spacing w:after="120" w:before="240"/>
      </w:pPr>
      <w:r>
        <w:rPr>
          <w:rFonts w:ascii="Arial" w:cs="Arial" w:eastAsia="Arial" w:hAnsi="Arial"/>
          <w:b/>
          <w:bCs/>
          <w:sz w:val="24"/>
          <w:szCs w:val="24"/>
        </w:rPr>
        <w:t xml:space="preserve">Cross-track integration (months 25–48)</w:t>
      </w:r>
    </w:p>
    <w:p>
      <w:pPr>
        <w:spacing w:after="120" w:before="0" w:line="276"/>
        <w:jc w:val="both"/>
      </w:pPr>
      <w:r>
        <w:rPr>
          <w:rFonts w:ascii="Arial" w:cs="Arial" w:eastAsia="Arial" w:hAnsi="Arial"/>
          <w:sz w:val="22"/>
          <w:szCs w:val="22"/>
        </w:rPr>
        <w:t xml:space="preserve">From month 25 the two tracks interlock. RQ4 is addressed using Track A’s comparison machinery applied to the mMokken-derived multidimensional R_B. A capstone paper (Paper 4 or 5, depending on final structure) makes the case for the joint framework and demonstrates it on the career-progression data.</w:t>
      </w:r>
    </w:p>
    <w:p>
      <w:pPr>
        <w:spacing w:after="120" w:before="0" w:line="276"/>
        <w:jc w:val="both"/>
      </w:pPr>
      <w:r>
        <w:rPr>
          <w:rFonts w:ascii="Arial" w:cs="Arial" w:eastAsia="Arial" w:hAnsi="Arial"/>
          <w:b/>
          <w:bCs/>
          <w:sz w:val="22"/>
          <w:szCs w:val="22"/>
        </w:rPr>
        <w:t xml:space="preserve">Cumulative deliverables. </w:t>
      </w:r>
    </w:p>
    <w:p>
      <w:pPr>
        <w:pStyle w:val="ListParagraph"/>
        <w:numPr>
          <w:ilvl w:val="0"/>
          <w:numId w:val="2"/>
        </w:numPr>
        <w:spacing w:after="80" w:before="0" w:line="276"/>
        <w:jc w:val="left"/>
      </w:pPr>
      <w:r>
        <w:rPr>
          <w:rFonts w:ascii="Arial" w:cs="Arial" w:eastAsia="Arial" w:hAnsi="Arial"/>
          <w:sz w:val="22"/>
          <w:szCs w:val="22"/>
        </w:rPr>
        <w:t xml:space="preserve">Three to four peer-reviewed methodological papers.</w:t>
      </w:r>
    </w:p>
    <w:p>
      <w:pPr>
        <w:pStyle w:val="ListParagraph"/>
        <w:numPr>
          <w:ilvl w:val="0"/>
          <w:numId w:val="2"/>
        </w:numPr>
        <w:spacing w:after="80" w:before="0" w:line="276"/>
        <w:jc w:val="left"/>
      </w:pPr>
      <w:r>
        <w:rPr>
          <w:rFonts w:ascii="Arial" w:cs="Arial" w:eastAsia="Arial" w:hAnsi="Arial"/>
          <w:sz w:val="22"/>
          <w:szCs w:val="22"/>
        </w:rPr>
        <w:t xml:space="preserve">One open-source Python package (PyPI), incrementally released.</w:t>
      </w:r>
    </w:p>
    <w:p>
      <w:pPr>
        <w:pStyle w:val="ListParagraph"/>
        <w:numPr>
          <w:ilvl w:val="0"/>
          <w:numId w:val="2"/>
        </w:numPr>
        <w:spacing w:after="80" w:before="0" w:line="276"/>
        <w:jc w:val="left"/>
      </w:pPr>
      <w:r>
        <w:rPr>
          <w:rFonts w:ascii="Arial" w:cs="Arial" w:eastAsia="Arial" w:hAnsi="Arial"/>
          <w:sz w:val="22"/>
          <w:szCs w:val="22"/>
        </w:rPr>
        <w:t xml:space="preserve">Registered analysis plan and replication materials (OSF) for the demonstration case.</w:t>
      </w:r>
    </w:p>
    <w:p>
      <w:pPr>
        <w:pStyle w:val="ListParagraph"/>
        <w:numPr>
          <w:ilvl w:val="0"/>
          <w:numId w:val="2"/>
        </w:numPr>
        <w:spacing w:after="80" w:before="0" w:line="276"/>
        <w:jc w:val="left"/>
      </w:pPr>
      <w:r>
        <w:rPr>
          <w:rFonts w:ascii="Arial" w:cs="Arial" w:eastAsia="Arial" w:hAnsi="Arial"/>
          <w:sz w:val="22"/>
          <w:szCs w:val="22"/>
        </w:rPr>
        <w:t xml:space="preserve">Conference presentations at IMPS, EAM, and the International Test Commission.</w:t>
      </w:r>
    </w:p>
    <w:p>
      <w:pPr>
        <w:pStyle w:val="Heading1"/>
        <w:spacing w:after="180" w:before="360"/>
      </w:pPr>
      <w:r>
        <w:rPr>
          <w:rFonts w:ascii="Arial" w:cs="Arial" w:eastAsia="Arial" w:hAnsi="Arial"/>
          <w:b/>
          <w:bCs/>
          <w:sz w:val="28"/>
          <w:szCs w:val="28"/>
        </w:rPr>
        <w:t xml:space="preserve">9. Limitations and Open Questions</w:t>
      </w:r>
    </w:p>
    <w:p>
      <w:pPr>
        <w:spacing w:after="120" w:before="0" w:line="276"/>
        <w:jc w:val="both"/>
      </w:pPr>
      <w:r>
        <w:rPr>
          <w:rFonts w:ascii="Arial" w:cs="Arial" w:eastAsia="Arial" w:hAnsi="Arial"/>
          <w:b/>
          <w:bCs/>
          <w:sz w:val="22"/>
          <w:szCs w:val="22"/>
        </w:rPr>
        <w:t xml:space="preserve">Embedding bias. </w:t>
      </w:r>
      <w:r>
        <w:rPr>
          <w:rFonts w:ascii="Arial" w:cs="Arial" w:eastAsia="Arial" w:hAnsi="Arial"/>
          <w:sz w:val="22"/>
          <w:szCs w:val="22"/>
        </w:rPr>
        <w:t xml:space="preserve">LLM embeddings reflect training data. A discursive ordering derived from a generic LLM may be biased toward the discursive conventions of dominant text genres. This is a feature for some questions (what does general discourse say?) and a limitation for others (domain-specific discourse). The framework is agnostic to which LLM is used; substantive applications may require domain-adapted embeddings.</w:t>
      </w:r>
    </w:p>
    <w:p>
      <w:pPr>
        <w:spacing w:after="120" w:before="0" w:line="276"/>
        <w:jc w:val="both"/>
      </w:pPr>
      <w:r>
        <w:rPr>
          <w:rFonts w:ascii="Arial" w:cs="Arial" w:eastAsia="Arial" w:hAnsi="Arial"/>
          <w:b/>
          <w:bCs/>
          <w:sz w:val="22"/>
          <w:szCs w:val="22"/>
        </w:rPr>
        <w:t xml:space="preserve">Ordinal-only comparison. </w:t>
      </w:r>
      <w:r>
        <w:rPr>
          <w:rFonts w:ascii="Arial" w:cs="Arial" w:eastAsia="Arial" w:hAnsi="Arial"/>
          <w:sz w:val="22"/>
          <w:szCs w:val="22"/>
        </w:rPr>
        <w:t xml:space="preserve">The framework as proposed treats both R_D and R_B as ordinal; cardinality is discarded. This ensures comparability between regimes with non-commensurate scales but underuses available information. An extension to interval-level comparison via mutual information, or canonical correlation between embedding-space projections and IRT trait estimates, is a natural follow-up.</w:t>
      </w:r>
    </w:p>
    <w:p>
      <w:pPr>
        <w:spacing w:after="120" w:before="0" w:line="276"/>
        <w:jc w:val="both"/>
      </w:pPr>
      <w:r>
        <w:rPr>
          <w:rFonts w:ascii="Arial" w:cs="Arial" w:eastAsia="Arial" w:hAnsi="Arial"/>
          <w:b/>
          <w:bCs/>
          <w:sz w:val="22"/>
          <w:szCs w:val="22"/>
        </w:rPr>
        <w:t xml:space="preserve">Identifiability of the residual. </w:t>
      </w:r>
      <w:r>
        <w:rPr>
          <w:rFonts w:ascii="Arial" w:cs="Arial" w:eastAsia="Arial" w:hAnsi="Arial"/>
          <w:sz w:val="22"/>
          <w:szCs w:val="22"/>
        </w:rPr>
        <w:t xml:space="preserve">The substantive interpretation of the residual as institutional plus individual factors rests on the assumption that R_D adequately captures the linguistic component. Where the LLM is itself contaminated by behavioural data (e.g., trained on response distributions, employee surveys), the decomposition is partially confounded. Robustness checks with multiple LLMs of different training provenance address but do not fully resolve this.</w:t>
      </w:r>
    </w:p>
    <w:p>
      <w:pPr>
        <w:spacing w:after="120" w:before="0" w:line="276"/>
        <w:jc w:val="both"/>
      </w:pPr>
      <w:r>
        <w:rPr>
          <w:rFonts w:ascii="Arial" w:cs="Arial" w:eastAsia="Arial" w:hAnsi="Arial"/>
          <w:b/>
          <w:bCs/>
          <w:sz w:val="22"/>
          <w:szCs w:val="22"/>
        </w:rPr>
        <w:t xml:space="preserve">Identifiability under multidimensionality. </w:t>
      </w:r>
      <w:r>
        <w:rPr>
          <w:rFonts w:ascii="Arial" w:cs="Arial" w:eastAsia="Arial" w:hAnsi="Arial"/>
          <w:sz w:val="22"/>
          <w:szCs w:val="22"/>
        </w:rPr>
        <w:t xml:space="preserve">In the multidimensional case, both R_D and R_B are network structures rather than rankings. Defining congruence between two networks is more involved than between two orderings; we will explore graph-edit distance, dimension-matched correlation, and bipartite-graph matching as candidate measures. The choice has substantive consequences and will be the subject of methodological investigation in its own right.</w:t>
      </w:r>
    </w:p>
    <w:p>
      <w:pPr>
        <w:pStyle w:val="Heading1"/>
        <w:spacing w:after="180" w:before="360"/>
      </w:pPr>
      <w:r>
        <w:rPr>
          <w:rFonts w:ascii="Arial" w:cs="Arial" w:eastAsia="Arial" w:hAnsi="Arial"/>
          <w:b/>
          <w:bCs/>
          <w:sz w:val="28"/>
          <w:szCs w:val="28"/>
        </w:rPr>
        <w:t xml:space="preserve">10. References</w:t>
      </w:r>
    </w:p>
    <w:p>
      <w:pPr>
        <w:spacing w:after="80" w:before="0" w:line="276"/>
        <w:ind w:left="360" w:hanging="360"/>
        <w:jc w:val="left"/>
      </w:pPr>
      <w:r>
        <w:rPr>
          <w:rFonts w:ascii="Arial" w:cs="Arial" w:eastAsia="Arial" w:hAnsi="Arial"/>
          <w:sz w:val="22"/>
          <w:szCs w:val="22"/>
        </w:rPr>
        <w:t xml:space="preserve">Caliskan, A., Bryson, J. J., &amp; Narayanan, A. (2017). Semantics derived automatically from language corpora contain human-like biases. Science, 356, 183–186.</w:t>
      </w:r>
    </w:p>
    <w:p>
      <w:pPr>
        <w:spacing w:after="80" w:before="0" w:line="276"/>
        <w:ind w:left="360" w:hanging="360"/>
        <w:jc w:val="left"/>
      </w:pPr>
      <w:r>
        <w:rPr>
          <w:rFonts w:ascii="Arial" w:cs="Arial" w:eastAsia="Arial" w:hAnsi="Arial"/>
          <w:sz w:val="22"/>
          <w:szCs w:val="22"/>
        </w:rPr>
        <w:t xml:space="preserve">Campbell, D. T., &amp; Fiske, D. W. (1959). Convergent and discriminant validation by the multitrait-multimethod matrix. Psychological Bulletin, 56, 81–105.</w:t>
      </w:r>
    </w:p>
    <w:p>
      <w:pPr>
        <w:spacing w:after="80" w:before="0" w:line="276"/>
        <w:ind w:left="360" w:hanging="360"/>
        <w:jc w:val="left"/>
      </w:pPr>
      <w:r>
        <w:rPr>
          <w:rFonts w:ascii="Arial" w:cs="Arial" w:eastAsia="Arial" w:hAnsi="Arial"/>
          <w:sz w:val="22"/>
          <w:szCs w:val="22"/>
        </w:rPr>
        <w:t xml:space="preserve">Devlin, J., Chang, M.-W., Lee, K., &amp; Toutanova, K. (2019). BERT: Pre-training of deep bidirectional transformers for language understanding. Proceedings of NAACL-HLT, 4171–4186.</w:t>
      </w:r>
    </w:p>
    <w:p>
      <w:pPr>
        <w:spacing w:after="80" w:before="0" w:line="276"/>
        <w:ind w:left="360" w:hanging="360"/>
        <w:jc w:val="left"/>
      </w:pPr>
      <w:r>
        <w:rPr>
          <w:rFonts w:ascii="Arial" w:cs="Arial" w:eastAsia="Arial" w:hAnsi="Arial"/>
          <w:sz w:val="22"/>
          <w:szCs w:val="22"/>
        </w:rPr>
        <w:t xml:space="preserve">Epskamp, S., Borsboom, D., &amp; Fried, E. I. (2018). Estimating psychological networks and their accuracy: A tutorial paper. Behavior Research Methods, 50, 195–212.</w:t>
      </w:r>
    </w:p>
    <w:p>
      <w:pPr>
        <w:spacing w:after="80" w:before="0" w:line="276"/>
        <w:ind w:left="360" w:hanging="360"/>
        <w:jc w:val="left"/>
      </w:pPr>
      <w:r>
        <w:rPr>
          <w:rFonts w:ascii="Arial" w:cs="Arial" w:eastAsia="Arial" w:hAnsi="Arial"/>
          <w:sz w:val="22"/>
          <w:szCs w:val="22"/>
        </w:rPr>
        <w:t xml:space="preserve">Ethayarajh, K. (2019). How contextual are contextualized word representations? Proceedings of EMNLP-IJCNLP.</w:t>
      </w:r>
    </w:p>
    <w:p>
      <w:pPr>
        <w:spacing w:after="80" w:before="0" w:line="276"/>
        <w:ind w:left="360" w:hanging="360"/>
        <w:jc w:val="left"/>
      </w:pPr>
      <w:r>
        <w:rPr>
          <w:rFonts w:ascii="Arial" w:cs="Arial" w:eastAsia="Arial" w:hAnsi="Arial"/>
          <w:sz w:val="22"/>
          <w:szCs w:val="22"/>
        </w:rPr>
        <w:t xml:space="preserve">Garg, N., Schiebinger, L., Jurafsky, D., &amp; Zou, J. (2018). Word embeddings quantify 100 years of gender and ethnic stereotypes. Proceedings of the National Academy of Sciences, 115, E3635–E3644.</w:t>
      </w:r>
    </w:p>
    <w:p>
      <w:pPr>
        <w:spacing w:after="80" w:before="0" w:line="276"/>
        <w:ind w:left="360" w:hanging="360"/>
        <w:jc w:val="left"/>
      </w:pPr>
      <w:r>
        <w:rPr>
          <w:rFonts w:ascii="Arial" w:cs="Arial" w:eastAsia="Arial" w:hAnsi="Arial"/>
          <w:sz w:val="22"/>
          <w:szCs w:val="22"/>
        </w:rPr>
        <w:t xml:space="preserve">Golino, H., Russell-Lasalandra, L. L., &amp; Christensen, A. P. (2024). Generative psychometrics via AI-GENIE: Automatic item generation and validation via network-integrated evaluation. PsyArXiv preprint.</w:t>
      </w:r>
    </w:p>
    <w:p>
      <w:pPr>
        <w:spacing w:after="80" w:before="0" w:line="276"/>
        <w:ind w:left="360" w:hanging="360"/>
        <w:jc w:val="left"/>
      </w:pPr>
      <w:r>
        <w:rPr>
          <w:rFonts w:ascii="Arial" w:cs="Arial" w:eastAsia="Arial" w:hAnsi="Arial"/>
          <w:sz w:val="22"/>
          <w:szCs w:val="22"/>
        </w:rPr>
        <w:t xml:space="preserve">Hemker, B. T., Sijtsma, K., &amp; Molenaar, I. W. (1995). Selection of unidimensional scales from a multidimensional itembank in the polytomous Mokken IRT model. Applied Psychological Measurement, 19, 337–352.</w:t>
      </w:r>
    </w:p>
    <w:p>
      <w:pPr>
        <w:spacing w:after="80" w:before="0" w:line="276"/>
        <w:ind w:left="360" w:hanging="360"/>
        <w:jc w:val="left"/>
      </w:pPr>
      <w:r>
        <w:rPr>
          <w:rFonts w:ascii="Arial" w:cs="Arial" w:eastAsia="Arial" w:hAnsi="Arial"/>
          <w:sz w:val="22"/>
          <w:szCs w:val="22"/>
        </w:rPr>
        <w:t xml:space="preserve">Kittay, E. F. (1987). Metaphor: Its cognitive force and linguistic structure. Oxford University Press.</w:t>
      </w:r>
    </w:p>
    <w:p>
      <w:pPr>
        <w:spacing w:after="80" w:before="0" w:line="276"/>
        <w:ind w:left="360" w:hanging="360"/>
        <w:jc w:val="left"/>
      </w:pPr>
      <w:r>
        <w:rPr>
          <w:rFonts w:ascii="Arial" w:cs="Arial" w:eastAsia="Arial" w:hAnsi="Arial"/>
          <w:sz w:val="22"/>
          <w:szCs w:val="22"/>
        </w:rPr>
        <w:t xml:space="preserve">Kjell, O. N. E., Kjell, K., Garcia, D., &amp; Sikström, S. (2019). Semantic measures: Using natural language processing to measure, differentiate, and describe psychological constructs. Psychological Methods, 24, 92–115.</w:t>
      </w:r>
    </w:p>
    <w:p>
      <w:pPr>
        <w:spacing w:after="80" w:before="0" w:line="276"/>
        <w:ind w:left="360" w:hanging="360"/>
        <w:jc w:val="left"/>
      </w:pPr>
      <w:r>
        <w:rPr>
          <w:rFonts w:ascii="Arial" w:cs="Arial" w:eastAsia="Arial" w:hAnsi="Arial"/>
          <w:sz w:val="22"/>
          <w:szCs w:val="22"/>
        </w:rPr>
        <w:t xml:space="preserve">Lord, F. M. (1952). A theory of test scores (Psychometric Monograph No. 7). Psychometric Society.</w:t>
      </w:r>
    </w:p>
    <w:p>
      <w:pPr>
        <w:spacing w:after="80" w:before="0" w:line="276"/>
        <w:ind w:left="360" w:hanging="360"/>
        <w:jc w:val="left"/>
      </w:pPr>
      <w:r>
        <w:rPr>
          <w:rFonts w:ascii="Arial" w:cs="Arial" w:eastAsia="Arial" w:hAnsi="Arial"/>
          <w:sz w:val="22"/>
          <w:szCs w:val="22"/>
        </w:rPr>
        <w:t xml:space="preserve">Meijer, R. R., Sijtsma, K., &amp; Smid, N. G. (1990). Theoretical and empirical comparison of the Mokken and the Rasch approach to IRT. Applied Psychological Measurement, 14, 283–298.</w:t>
      </w:r>
    </w:p>
    <w:p>
      <w:pPr>
        <w:spacing w:after="80" w:before="0" w:line="276"/>
        <w:ind w:left="360" w:hanging="360"/>
        <w:jc w:val="left"/>
      </w:pPr>
      <w:r>
        <w:rPr>
          <w:rFonts w:ascii="Arial" w:cs="Arial" w:eastAsia="Arial" w:hAnsi="Arial"/>
          <w:sz w:val="22"/>
          <w:szCs w:val="22"/>
        </w:rPr>
        <w:t xml:space="preserve">Mikolov, T., Chen, K., Corrado, G., &amp; Dean, J. (2013). Efficient estimation of word representations in vector space. arXiv:1301.3781.</w:t>
      </w:r>
    </w:p>
    <w:p>
      <w:pPr>
        <w:spacing w:after="80" w:before="0" w:line="276"/>
        <w:ind w:left="360" w:hanging="360"/>
        <w:jc w:val="left"/>
      </w:pPr>
      <w:r>
        <w:rPr>
          <w:rFonts w:ascii="Arial" w:cs="Arial" w:eastAsia="Arial" w:hAnsi="Arial"/>
          <w:sz w:val="22"/>
          <w:szCs w:val="22"/>
        </w:rPr>
        <w:t xml:space="preserve">Mokken, R. J. (1971). A theory and procedure of scale analysis. Mouton / De Gruyter.</w:t>
      </w:r>
    </w:p>
    <w:p>
      <w:pPr>
        <w:spacing w:after="80" w:before="0" w:line="276"/>
        <w:ind w:left="360" w:hanging="360"/>
        <w:jc w:val="left"/>
      </w:pPr>
      <w:r>
        <w:rPr>
          <w:rFonts w:ascii="Arial" w:cs="Arial" w:eastAsia="Arial" w:hAnsi="Arial"/>
          <w:sz w:val="22"/>
          <w:szCs w:val="22"/>
        </w:rPr>
        <w:t xml:space="preserve">Pennington, J., Socher, R., &amp; Manning, C. D. (2014). GloVe: Global vectors for word representation. Proceedings of EMNLP, 1532–1543.</w:t>
      </w:r>
    </w:p>
    <w:p>
      <w:pPr>
        <w:spacing w:after="80" w:before="0" w:line="276"/>
        <w:ind w:left="360" w:hanging="360"/>
        <w:jc w:val="left"/>
      </w:pPr>
      <w:r>
        <w:rPr>
          <w:rFonts w:ascii="Arial" w:cs="Arial" w:eastAsia="Arial" w:hAnsi="Arial"/>
          <w:sz w:val="22"/>
          <w:szCs w:val="22"/>
        </w:rPr>
        <w:t xml:space="preserve">Rasch, G. (1960). Probabilistic models for some intelligence and attainment tests. Danish Institute for Educational Research.</w:t>
      </w:r>
    </w:p>
    <w:p>
      <w:pPr>
        <w:spacing w:after="80" w:before="0" w:line="276"/>
        <w:ind w:left="360" w:hanging="360"/>
        <w:jc w:val="left"/>
      </w:pPr>
      <w:r>
        <w:rPr>
          <w:rFonts w:ascii="Arial" w:cs="Arial" w:eastAsia="Arial" w:hAnsi="Arial"/>
          <w:sz w:val="22"/>
          <w:szCs w:val="22"/>
        </w:rPr>
        <w:t xml:space="preserve">Reckase, M. D. (2009). Multidimensional item response theory. Springer.</w:t>
      </w:r>
    </w:p>
    <w:p>
      <w:pPr>
        <w:spacing w:after="80" w:before="0" w:line="276"/>
        <w:ind w:left="360" w:hanging="360"/>
        <w:jc w:val="left"/>
      </w:pPr>
      <w:r>
        <w:rPr>
          <w:rFonts w:ascii="Arial" w:cs="Arial" w:eastAsia="Arial" w:hAnsi="Arial"/>
          <w:sz w:val="22"/>
          <w:szCs w:val="22"/>
        </w:rPr>
        <w:t xml:space="preserve">Reimers, N., &amp; Gurevych, I. (2019). Sentence-BERT: Sentence embeddings using Siamese BERT-networks. Proceedings of EMNLP-IJCNLP.</w:t>
      </w:r>
    </w:p>
    <w:p>
      <w:pPr>
        <w:spacing w:after="80" w:before="0" w:line="276"/>
        <w:ind w:left="360" w:hanging="360"/>
        <w:jc w:val="left"/>
      </w:pPr>
      <w:r>
        <w:rPr>
          <w:rFonts w:ascii="Arial" w:cs="Arial" w:eastAsia="Arial" w:hAnsi="Arial"/>
          <w:sz w:val="22"/>
          <w:szCs w:val="22"/>
        </w:rPr>
        <w:t xml:space="preserve">Sijtsma, K., &amp; Molenaar, I. W. (2002). Introduction to nonparametric item response theory. Sage.</w:t>
      </w:r>
    </w:p>
    <w:p>
      <w:pPr>
        <w:spacing w:after="80" w:before="0" w:line="276"/>
        <w:ind w:left="360" w:hanging="360"/>
        <w:jc w:val="left"/>
      </w:pPr>
      <w:r>
        <w:rPr>
          <w:rFonts w:ascii="Arial" w:cs="Arial" w:eastAsia="Arial" w:hAnsi="Arial"/>
          <w:sz w:val="22"/>
          <w:szCs w:val="22"/>
        </w:rPr>
        <w:t xml:space="preserve">Sijtsma, K., &amp; Van der Ark, L. A. (2017). A tutorial on how to do a Mokken scale analysis on your test and questionnaire data. British Journal of Mathematical and Statistical Psychology, 70, 137–158.</w:t>
      </w:r>
    </w:p>
    <w:p>
      <w:pPr>
        <w:spacing w:after="80" w:before="0" w:line="276"/>
        <w:ind w:left="360" w:hanging="360"/>
        <w:jc w:val="left"/>
      </w:pPr>
      <w:r>
        <w:rPr>
          <w:rFonts w:ascii="Arial" w:cs="Arial" w:eastAsia="Arial" w:hAnsi="Arial"/>
          <w:sz w:val="22"/>
          <w:szCs w:val="22"/>
        </w:rPr>
        <w:t xml:space="preserve">Stoel, R. D., &amp; Wentzel, K. R. (2011). [Reference on multidimensional scalability metric — update with full citation].</w:t>
      </w:r>
    </w:p>
    <w:p>
      <w:pPr>
        <w:spacing w:after="80" w:before="0" w:line="276"/>
        <w:ind w:left="360" w:hanging="360"/>
        <w:jc w:val="left"/>
      </w:pPr>
      <w:r>
        <w:rPr>
          <w:rFonts w:ascii="Arial" w:cs="Arial" w:eastAsia="Arial" w:hAnsi="Arial"/>
          <w:sz w:val="22"/>
          <w:szCs w:val="22"/>
        </w:rPr>
        <w:t xml:space="preserve">Trier, J. (1931). Der deutsche Wortschatz im Sinnbezirk des Verstandes. Carl Winter.</w:t>
      </w:r>
    </w:p>
    <w:p>
      <w:pPr>
        <w:spacing w:after="80" w:before="0" w:line="276"/>
        <w:ind w:left="360" w:hanging="360"/>
        <w:jc w:val="left"/>
      </w:pPr>
      <w:r>
        <w:rPr>
          <w:rFonts w:ascii="Arial" w:cs="Arial" w:eastAsia="Arial" w:hAnsi="Arial"/>
          <w:sz w:val="22"/>
          <w:szCs w:val="22"/>
        </w:rPr>
        <w:t xml:space="preserve">Van der Ark, L. A. (2007). Mokken scale analysis in R. Journal of Statistical Software, 20(11), 1–19.</w:t>
      </w:r>
    </w:p>
    <w:p>
      <w:pPr>
        <w:spacing w:after="80" w:before="0" w:line="276"/>
        <w:ind w:left="360" w:hanging="360"/>
        <w:jc w:val="left"/>
      </w:pPr>
      <w:r>
        <w:rPr>
          <w:rFonts w:ascii="Arial" w:cs="Arial" w:eastAsia="Arial" w:hAnsi="Arial"/>
          <w:sz w:val="22"/>
          <w:szCs w:val="22"/>
        </w:rPr>
        <w:t xml:space="preserve">Van Schuur, W. H. (2003). Mokken scale analysis: Between the Guttman scale and parametric item response theory. Political Analysis, 11, 139–163.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Two Orderings, Two Methodologies — D. Stoel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99292cdde6e8392b76b7c353f74129379543f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Orderings, Two Methodologies — PhD Research Programme</dc:title>
  <dc:creator>Diederick Stoel</dc:creator>
  <dc:description>PhD research programme proposal: two-orderings framework + mMokken.</dc:description>
  <cp:lastModifiedBy>Un-named</cp:lastModifiedBy>
  <cp:revision>1</cp:revision>
  <dcterms:created xsi:type="dcterms:W3CDTF">2026-05-13T19:43:29.360Z</dcterms:created>
  <dcterms:modified xsi:type="dcterms:W3CDTF">2026-05-13T19:43:29.360Z</dcterms:modified>
</cp:coreProperties>
</file>

<file path=docProps/custom.xml><?xml version="1.0" encoding="utf-8"?>
<Properties xmlns="http://schemas.openxmlformats.org/officeDocument/2006/custom-properties" xmlns:vt="http://schemas.openxmlformats.org/officeDocument/2006/docPropsVTypes"/>
</file>