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80"/>
        <w:rPr/>
      </w:pPr>
      <w:r>
        <w:rPr>
          <w:rFonts w:eastAsia="Arial" w:cs="Arial"/>
          <w:b/>
          <w:bCs/>
          <w:color w:val="1F4E79"/>
          <w:sz w:val="72"/>
          <w:szCs w:val="72"/>
        </w:rPr>
        <w:t>NDI / MNR</w:t>
      </w:r>
    </w:p>
    <w:p>
      <w:pPr>
        <w:pStyle w:val="Normal"/>
        <w:pBdr>
          <w:bottom w:val="single" w:sz="12" w:space="1" w:color="2E75B6"/>
        </w:pBdr>
        <w:spacing w:before="0" w:after="80"/>
        <w:rPr/>
      </w:pPr>
      <w:r>
        <w:rPr>
          <w:rFonts w:eastAsia="Arial" w:cs="Arial"/>
          <w:color w:val="2E75B6"/>
          <w:sz w:val="36"/>
          <w:szCs w:val="36"/>
        </w:rPr>
        <w:t>Technische Dokumentation – Meilenstein M1</w:t>
      </w:r>
    </w:p>
    <w:p>
      <w:pPr>
        <w:pStyle w:val="Normal"/>
        <w:spacing w:before="0" w:after="80"/>
        <w:rPr/>
      </w:pPr>
      <w:r>
        <w:rPr/>
      </w:r>
    </w:p>
    <w:tbl>
      <w:tblPr>
        <w:tblW w:w="48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3000"/>
      </w:tblGrid>
      <w:tr>
        <w:trPr/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Version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Stand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April 2026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Meilenstein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M1 – Ingest &amp; Vector DB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Status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Implementiert</w:t>
            </w:r>
          </w:p>
        </w:tc>
      </w:tr>
      <w:tr>
        <w:trPr/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Plattform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Windows 11 / WSL2 / Ubuntu 24.04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1. Überblick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Meilenstein M1 implementiert die vollständige Ingest-Pipeline des NDI/MNR-Systems. Normative Quelldokumente (Gesetze, Verordnungen, Fachdokumente) werden automatisch geparst, in semantische Chunks aufgeteilt, als Vektoren eingebettet und in PostgreSQL mit pgvector gespeichert. Zusätzlich wurde eine FastAPI-REST-Schnittstelle inkl. Paket-Ingest implementiert.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2" w:space="4" w:color="375623"/>
        </w:pBdr>
        <w:shd w:val="clear" w:fill="E2EFDA"/>
        <w:spacing w:before="120" w:after="120"/>
        <w:ind w:start="360" w:end="360"/>
        <w:rPr/>
      </w:pPr>
      <w:r>
        <w:rPr>
          <w:rFonts w:eastAsia="Arial" w:cs="Arial"/>
          <w:color w:val="375623"/>
          <w:sz w:val="20"/>
          <w:szCs w:val="20"/>
        </w:rPr>
        <w:t>Kernprinzip: Jedes Dokument wird klassifiziert (A/B/C), entsprechend gechunkt und mit einem deutschen Embedding-Modell vektorisiert. Jeder Chunk ist vollständig rückverfolgbar auf seine Quelle.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2. Systemarchitektur</w:t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 Docker-Stack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Alle Infrastrukturkomponenten laufen als Docker-Container und werden über docker-compose.yml gesteuert.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2199"/>
        <w:gridCol w:w="1401"/>
        <w:gridCol w:w="999"/>
        <w:gridCol w:w="2761"/>
      </w:tblGrid>
      <w:tr>
        <w:trPr/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Container</w:t>
            </w:r>
          </w:p>
        </w:tc>
        <w:tc>
          <w:tcPr>
            <w:tcW w:w="21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Image</w:t>
            </w:r>
          </w:p>
        </w:tc>
        <w:tc>
          <w:tcPr>
            <w:tcW w:w="140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Port</w:t>
            </w:r>
          </w:p>
        </w:tc>
        <w:tc>
          <w:tcPr>
            <w:tcW w:w="9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Status</w:t>
            </w:r>
          </w:p>
        </w:tc>
        <w:tc>
          <w:tcPr>
            <w:tcW w:w="276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Funktion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mnr-postgres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pgvector/pgvector:pg16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5432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running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PostgreSQL 16 + pgvector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mnr-minio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minio/minio:latest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9000/9001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running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Objektspeicher (S3)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mnr-tika</w:t>
            </w:r>
          </w:p>
        </w:tc>
        <w:tc>
          <w:tcPr>
            <w:tcW w:w="2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apache/tika:latest-full</w:t>
            </w:r>
          </w:p>
        </w:tc>
        <w:tc>
          <w:tcPr>
            <w:tcW w:w="14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9998</w:t>
            </w:r>
          </w:p>
        </w:tc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running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Dokument-Parsing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2.2 Pipeline-Ablauf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Die M1-Pipeline verarbeitet Dokumente in sechs sequenziellen Schritten: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Dokument (PDF / DOCX / HTML / TXT / RTF)</w:t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 ↓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[1] Rohdatei → MinIO (mnr-dokumente)</w:t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 ↓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[2] Metadaten → PostgreSQL (norm_documents)</w:t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 ↓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[3] TikaParser    → Text + Struktur + doc_class_hint</w:t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 ↓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[4] ChunkingRouter → Chunks mit Metadaten (Klasse A/B/C)</w:t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 ↓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[5] Embedder       → Vektoren 1024-dim (deepset-mxbai)</w:t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 ↓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[6] Storage        → norm_chunks + Embeddings in PostgreSQL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3. Datenbankschema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PostgreSQL 16 mit pgvector-Extension. Das Schema besteht aus sieben Tabellen: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6760"/>
      </w:tblGrid>
      <w:tr>
        <w:trPr/>
        <w:tc>
          <w:tcPr>
            <w:tcW w:w="26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Tabelle</w:t>
            </w:r>
          </w:p>
        </w:tc>
        <w:tc>
          <w:tcPr>
            <w:tcW w:w="67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Funktion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norm_documents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Metadaten der Quelldokumente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norm_chunks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Chunks + pgvector-Embeddings (VECTOR 1024)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information_models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Versionierte Informationsmodell-Stände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im_review_log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Audit-Trail des Fachaufsicht-Workflows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ingest_jobs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Status-Tracking für Ingest-Jobs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ingest_pakete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Paket-Verwaltung (Batch-Ingest)</w:t>
            </w:r>
          </w:p>
        </w:tc>
      </w:tr>
      <w:tr>
        <w:trPr/>
        <w:tc>
          <w:tcPr>
            <w:tcW w:w="26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ingest_paket_jobs</w:t>
            </w:r>
          </w:p>
        </w:tc>
        <w:tc>
          <w:tcPr>
            <w:tcW w:w="67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Verknüpfung Paket ↔ Job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i/>
          <w:iCs/>
          <w:sz w:val="20"/>
          <w:szCs w:val="20"/>
        </w:rPr>
        <w:t>Indizes: IVFFlat-Vektorindex (cosine, lists=100), GIN auf JSONB-Metadaten, partielle Indizes auf norm_reference, section_path, requirement_id.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4. Chunking-Strategie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Der ChunkingRouter erkennt automatisch die Dokumentklasse und wendet die passende Strategie an: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199"/>
        <w:gridCol w:w="3000"/>
        <w:gridCol w:w="1800"/>
        <w:gridCol w:w="3361"/>
      </w:tblGrid>
      <w:tr>
        <w:trPr/>
        <w:tc>
          <w:tcPr>
            <w:tcW w:w="11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Klasse</w:t>
            </w:r>
          </w:p>
        </w:tc>
        <w:tc>
          <w:tcPr>
            <w:tcW w:w="3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Dokumenttyp</w:t>
            </w:r>
          </w:p>
        </w:tc>
        <w:tc>
          <w:tcPr>
            <w:tcW w:w="18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Strategie</w:t>
            </w:r>
          </w:p>
        </w:tc>
        <w:tc>
          <w:tcPr>
            <w:tcW w:w="336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Confidence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Normative Rechtstexte (Gesetze)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§-hierarchisch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Strukturierte Fachdokumente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Kapitel-hierarchisch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0.85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Unstrukturierte Texte, FAQs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Semantisches Sliding-Window</w:t>
            </w:r>
          </w:p>
        </w:tc>
        <w:tc>
          <w:tcPr>
            <w:tcW w:w="3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0.65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160" w:after="80"/>
        <w:rPr/>
      </w:pPr>
      <w:r>
        <w:rPr>
          <w:rFonts w:eastAsia="Arial" w:cs="Arial" w:ascii="Arial" w:hAnsi="Arial"/>
          <w:b/>
          <w:bCs/>
          <w:color w:val="2F5496"/>
          <w:sz w:val="22"/>
          <w:szCs w:val="22"/>
        </w:rPr>
        <w:t>Klasse A – Normative Rechtstexte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§-Paragraphen sind die primäre Sinneinheit. Hierarchie: §-Parent (max. 1024 Token) → Absatz-Child (max. 256 Token) → Satz (max. 128 Token). Legaldefinitionen und Verweise erhalten eigene Chunks. Normtypen werden regelbasiert klassifiziert (MUST / MAY / MUST_NOT / DEF / EXCEPT / DEADLINE / COMPETENCE).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160" w:after="80"/>
        <w:rPr/>
      </w:pPr>
      <w:r>
        <w:rPr>
          <w:rFonts w:eastAsia="Arial" w:cs="Arial" w:ascii="Arial" w:hAnsi="Arial"/>
          <w:b/>
          <w:bCs/>
          <w:color w:val="2F5496"/>
          <w:sz w:val="22"/>
          <w:szCs w:val="22"/>
        </w:rPr>
        <w:t>Klasse B – Strukturierte Fachdokumente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Das Inhaltsverzeichnis ist die Strukturreferenz. Kapitel-Parent (128 Token) → Unterkapitel-Child (max. 512 Token) mit 15% Overlap. Tabellen werden als eigene Chunks extrahiert. heading_breadcrumb im Metadatum.</w:t>
      </w:r>
    </w:p>
    <w:p>
      <w:pPr>
        <w:pStyle w:val="Normal"/>
        <w:spacing w:before="0" w:after="80"/>
        <w:rPr/>
      </w:pPr>
      <w:r>
        <w:rPr/>
      </w:r>
    </w:p>
    <w:p>
      <w:pPr>
        <w:pStyle w:val="Heading3"/>
        <w:spacing w:before="160" w:after="80"/>
        <w:rPr/>
      </w:pPr>
      <w:r>
        <w:rPr>
          <w:rFonts w:eastAsia="Arial" w:cs="Arial" w:ascii="Arial" w:hAnsi="Arial"/>
          <w:b/>
          <w:bCs/>
          <w:color w:val="2F5496"/>
          <w:sz w:val="22"/>
          <w:szCs w:val="22"/>
        </w:rPr>
        <w:t>Klasse C – Unstrukturierte Texte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Sentence-Splitter mit 20% Sliding-Window. Token-Bereich: min. 50 / max. 384. Erhöhter Score-Threshold (≥ 0,72) im Retrieval. confidence_weight = 0,65.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5. Embedding-Modell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Eigenschaft</w:t>
            </w:r>
          </w:p>
        </w:tc>
        <w:tc>
          <w:tcPr>
            <w:tcW w:w="636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Wert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Modell (Standard)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mixedbread-ai/deepset-mxbai-embed-de-large-v1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Fallback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intfloat/multilingual-e5-large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Dimensionen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1024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Max. Sequenzlänge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512 Token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Prefix (Chunks)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passage: {text}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Prefix (Queries)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query: {text}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Gerät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CPU (auto-detect CUDA)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Lizenz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Apache 2.0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Konfiguration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services/ingest/embedder_config.yaml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Lokaler Modellpfad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NDI/models/deepset-mxbai-embed-de-large-v1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pBdr>
          <w:left w:val="single" w:sz="12" w:space="4" w:color="375623"/>
        </w:pBdr>
        <w:shd w:val="clear" w:fill="E2EFDA"/>
        <w:spacing w:before="120" w:after="120"/>
        <w:ind w:start="360" w:end="360"/>
        <w:rPr/>
      </w:pPr>
      <w:r>
        <w:rPr>
          <w:rFonts w:eastAsia="Arial" w:cs="Arial"/>
          <w:color w:val="375623"/>
          <w:sz w:val="20"/>
          <w:szCs w:val="20"/>
        </w:rPr>
        <w:t>Modellwechsel: Nur 'active_model' in embedder_config.yaml ändern – kein Code-Änderung nötig.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6. Objektspeicher (MinIO)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MinIO dient als S3-kompatibler Objektspeicher. Drei Buckets sind angelegt: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Bucket</w:t>
            </w:r>
          </w:p>
        </w:tc>
        <w:tc>
          <w:tcPr>
            <w:tcW w:w="656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Verwendung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mnr-dokumente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Rohdokumente ({doc_id}/{filename})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mnr-informationsmodelle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Versionierte IM-YAMLs (ab M4)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mnr-artefakte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Generierte Artefakte (ab M5)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Zugang: Console unter http://localhost:9001 (mnr_admin / ndi_minio_password).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7. REST-API (FastAPI)</w:t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7.1 Endpoints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365"/>
        <w:gridCol w:w="2234"/>
        <w:gridCol w:w="5761"/>
      </w:tblGrid>
      <w:tr>
        <w:trPr/>
        <w:tc>
          <w:tcPr>
            <w:tcW w:w="1365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Verb</w:t>
            </w:r>
          </w:p>
        </w:tc>
        <w:tc>
          <w:tcPr>
            <w:tcW w:w="2234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Endpoint</w:t>
            </w:r>
          </w:p>
        </w:tc>
        <w:tc>
          <w:tcPr>
            <w:tcW w:w="576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Funktion</w:t>
            </w:r>
          </w:p>
        </w:tc>
      </w:tr>
      <w:tr>
        <w:trPr/>
        <w:tc>
          <w:tcPr>
            <w:tcW w:w="136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223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/health/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Basis Health-Check</w:t>
            </w:r>
          </w:p>
        </w:tc>
      </w:tr>
      <w:tr>
        <w:trPr/>
        <w:tc>
          <w:tcPr>
            <w:tcW w:w="136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223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/health/ready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Readiness-Check (PG + Tika)</w:t>
            </w:r>
          </w:p>
        </w:tc>
      </w:tr>
      <w:tr>
        <w:trPr/>
        <w:tc>
          <w:tcPr>
            <w:tcW w:w="136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223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/api/v1/ingest/document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Einzeldokument hochladen + Pipeline starten</w:t>
            </w:r>
          </w:p>
        </w:tc>
      </w:tr>
      <w:tr>
        <w:trPr/>
        <w:tc>
          <w:tcPr>
            <w:tcW w:w="136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223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/api/v1/ingest/status/{job_id}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Job-Status abfragen</w:t>
            </w:r>
          </w:p>
        </w:tc>
      </w:tr>
      <w:tr>
        <w:trPr/>
        <w:tc>
          <w:tcPr>
            <w:tcW w:w="136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223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/api/v1/ingest/jobs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Letzte Jobs auflisten</w:t>
            </w:r>
          </w:p>
        </w:tc>
      </w:tr>
      <w:tr>
        <w:trPr/>
        <w:tc>
          <w:tcPr>
            <w:tcW w:w="136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POST</w:t>
            </w:r>
          </w:p>
        </w:tc>
        <w:tc>
          <w:tcPr>
            <w:tcW w:w="223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/api/v1/ingest/paket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Paket-JSON → Batch-Ingest aus MinIO</w:t>
            </w:r>
          </w:p>
        </w:tc>
      </w:tr>
      <w:tr>
        <w:trPr/>
        <w:tc>
          <w:tcPr>
            <w:tcW w:w="136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223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/api/v1/ingest/paket/{paket_id}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Paket-Status abfragen</w:t>
            </w:r>
          </w:p>
        </w:tc>
      </w:tr>
      <w:tr>
        <w:trPr/>
        <w:tc>
          <w:tcPr>
            <w:tcW w:w="1365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GET</w:t>
            </w:r>
          </w:p>
        </w:tc>
        <w:tc>
          <w:tcPr>
            <w:tcW w:w="2234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/docs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Swagger UI (interaktiv)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7.2 Paket-Endpoint</w:t>
      </w:r>
    </w:p>
    <w:p>
      <w:pPr>
        <w:pStyle w:val="Normal"/>
        <w:spacing w:before="60" w:after="100"/>
        <w:rPr/>
      </w:pPr>
      <w:r>
        <w:rPr>
          <w:rFonts w:eastAsia="Arial" w:cs="Arial"/>
          <w:sz w:val="20"/>
          <w:szCs w:val="20"/>
        </w:rPr>
        <w:t>Der Paket-Endpoint nimmt ein strukturiertes JSON entgegen und verarbeitet mehrere Dokumente als Batch. Voraussetzung: Die Dokumente müssen bereits über /document hochgeladen worden sein (doc_ids aus norm_documents).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POST /api/v1/ingest/paket</w:t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"version_id":   "a3f1e2d4-...",</w:t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"paket_id":     "b7c9a0e1-...",</w:t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"paket_name":   "DSGVO-Paket 2024",</w:t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"version":      "1.0.3",</w:t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"manifest_hash":"e3b0c44298fc...",</w:t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"dokument_ids": ["c1d2e3f4-...", "d2e3f4a5-..."]</w:t>
      </w:r>
    </w:p>
    <w:p>
      <w:pPr>
        <w:pStyle w:val="Normal"/>
        <w:shd w:val="clear" w:fill="1E1E1E"/>
        <w:spacing w:before="0" w:after="0"/>
        <w:ind w:start="360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00" w:after="10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7.3 Service-Dateien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2761"/>
        <w:gridCol w:w="4200"/>
      </w:tblGrid>
      <w:tr>
        <w:trPr/>
        <w:tc>
          <w:tcPr>
            <w:tcW w:w="23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Datei</w:t>
            </w:r>
          </w:p>
        </w:tc>
        <w:tc>
          <w:tcPr>
            <w:tcW w:w="276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Klasse</w:t>
            </w:r>
          </w:p>
        </w:tc>
        <w:tc>
          <w:tcPr>
            <w:tcW w:w="42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Funktion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parser.py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TikaParser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Dokument → Text + Struktur + doc_class_hint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chunker.py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ChunkingRouter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 → Chunks (Strategie A/B/C)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embedder.py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Embedder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Chunks → Vektoren (1024-dim)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storage.py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DocumentStorage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Chunks + Embeddings → PostgreSQL + MinIO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ingest_service.py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IngestService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Pipeline-Orchestrierung + Job-Status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paket_service.py</w:t>
            </w:r>
          </w:p>
        </w:tc>
        <w:tc>
          <w:tcPr>
            <w:tcW w:w="2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PaketService</w:t>
            </w:r>
          </w:p>
        </w:tc>
        <w:tc>
          <w:tcPr>
            <w:tcW w:w="4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Batch-Verarbeitung via Paket-JSON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8. Konfigurationsdateien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200"/>
        <w:gridCol w:w="6160"/>
      </w:tblGrid>
      <w:tr>
        <w:trPr/>
        <w:tc>
          <w:tcPr>
            <w:tcW w:w="32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Datei</w:t>
            </w:r>
          </w:p>
        </w:tc>
        <w:tc>
          <w:tcPr>
            <w:tcW w:w="61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Inhalt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.env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Datenbankpasswörter, Ports, Bucket-Namen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embedder_config.yaml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Aktives Embedding-Modell, Batch-Size, Device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test_chunker_config.yaml</w:t>
            </w:r>
          </w:p>
        </w:tc>
        <w:tc>
          <w:tcPr>
            <w:tcW w:w="6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Chunking-Parameter, Limit, force_class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pBdr>
          <w:bottom w:val="single" w:sz="6" w:space="1" w:color="2E75B6"/>
        </w:pBdr>
        <w:spacing w:before="320" w:after="160"/>
        <w:rPr/>
      </w:pPr>
      <w:r>
        <w:rPr>
          <w:rFonts w:eastAsia="Arial" w:cs="Arial" w:ascii="Arial" w:hAnsi="Arial"/>
          <w:b/>
          <w:bCs/>
          <w:color w:val="1F4E79"/>
          <w:sz w:val="32"/>
          <w:szCs w:val="32"/>
        </w:rPr>
        <w:t>9. Implementierungs-Roadmap</w:t>
      </w:r>
    </w:p>
    <w:p>
      <w:pPr>
        <w:pStyle w:val="Normal"/>
        <w:spacing w:before="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99"/>
        <w:gridCol w:w="2400"/>
        <w:gridCol w:w="1601"/>
        <w:gridCol w:w="4360"/>
      </w:tblGrid>
      <w:tr>
        <w:trPr/>
        <w:tc>
          <w:tcPr>
            <w:tcW w:w="999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MS</w:t>
            </w:r>
          </w:p>
        </w:tc>
        <w:tc>
          <w:tcPr>
            <w:tcW w:w="24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Bezeichnung</w:t>
            </w:r>
          </w:p>
        </w:tc>
        <w:tc>
          <w:tcPr>
            <w:tcW w:w="1601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Zeitraum</w:t>
            </w:r>
          </w:p>
        </w:tc>
        <w:tc>
          <w:tcPr>
            <w:tcW w:w="4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BDD7E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4E79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M1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Ingest &amp; Vector DB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Wo. 1–6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Implementiert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M2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NLP &amp; SVO-Extraktion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Wo. 5–10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⏳ </w:t>
            </w:r>
            <w:r>
              <w:rPr>
                <w:rFonts w:eastAsia="Arial" w:cs="Arial"/>
                <w:sz w:val="20"/>
                <w:szCs w:val="20"/>
              </w:rPr>
              <w:t>Ausstehend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M3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RAG-Engine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Wo. 9–16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⏳ </w:t>
            </w:r>
            <w:r>
              <w:rPr>
                <w:rFonts w:eastAsia="Arial" w:cs="Arial"/>
                <w:sz w:val="20"/>
                <w:szCs w:val="20"/>
              </w:rPr>
              <w:t>Ausstehend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M4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IM &amp; Human-in-the-Loop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Wo. 14–20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⏳ </w:t>
            </w:r>
            <w:r>
              <w:rPr>
                <w:rFonts w:eastAsia="Arial" w:cs="Arial"/>
                <w:sz w:val="20"/>
                <w:szCs w:val="20"/>
              </w:rPr>
              <w:t>Ausstehend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M5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Artefakt-Generierung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Wo. 19–26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⏳ </w:t>
            </w:r>
            <w:r>
              <w:rPr>
                <w:rFonts w:eastAsia="Arial" w:cs="Arial"/>
                <w:sz w:val="20"/>
                <w:szCs w:val="20"/>
              </w:rPr>
              <w:t>Ausstehend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M6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Produktionshärtung</w:t>
            </w:r>
          </w:p>
        </w:tc>
        <w:tc>
          <w:tcPr>
            <w:tcW w:w="16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ab Wo. 24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⏳ </w:t>
            </w:r>
            <w:r>
              <w:rPr>
                <w:rFonts w:eastAsia="Arial" w:cs="Arial"/>
                <w:sz w:val="20"/>
                <w:szCs w:val="20"/>
              </w:rPr>
              <w:t>Ausstehend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2E75B6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888888"/>
        <w:sz w:val="16"/>
        <w:szCs w:val="16"/>
      </w:rPr>
      <w:t>NDI – Meilenstein M1</w:t>
      <w:tab/>
      <w:t xml:space="preserve">Seite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5</w:t>
    </w:r>
    <w:r>
      <w:rPr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2E75B6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888888"/>
        <w:sz w:val="16"/>
        <w:szCs w:val="16"/>
      </w:rPr>
      <w:t>NDI – Meilenstein M1</w:t>
      <w:tab/>
      <w:t xml:space="preserve">Seite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5</w:t>
    </w:r>
    <w:r>
      <w:rPr>
        <w:sz w:val="20"/>
        <w:szCs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2E75B6"/>
      </w:pBdr>
      <w:rPr/>
    </w:pPr>
    <w:r>
      <w:rPr>
        <w:rFonts w:eastAsia="Arial" w:cs="Arial"/>
        <w:color w:val="1F4E79"/>
        <w:sz w:val="18"/>
        <w:szCs w:val="18"/>
      </w:rPr>
      <w:t>NDI / MNR  –  Technische Dokumentation M1</w:t>
    </w:r>
    <w:r>
      <w:rPr>
        <w:rFonts w:eastAsia="Arial" w:cs="Arial"/>
        <w:color w:val="888888"/>
        <w:sz w:val="18"/>
        <w:szCs w:val="18"/>
      </w:rPr>
      <w:t xml:space="preserve">   |   Version 1.0  |  April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2E75B6"/>
      </w:pBdr>
      <w:rPr/>
    </w:pPr>
    <w:r>
      <w:rPr>
        <w:rFonts w:eastAsia="Arial" w:cs="Arial"/>
        <w:color w:val="1F4E79"/>
        <w:sz w:val="18"/>
        <w:szCs w:val="18"/>
      </w:rPr>
      <w:t>NDI / MNR  –  Technische Dokumentation M1</w:t>
    </w:r>
    <w:r>
      <w:rPr>
        <w:rFonts w:eastAsia="Arial" w:cs="Arial"/>
        <w:color w:val="888888"/>
        <w:sz w:val="18"/>
        <w:szCs w:val="18"/>
      </w:rPr>
      <w:t xml:space="preserve">   |   Version 1.0  |  April 2026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>
      <w:spacing w:before="32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berschrift"/>
    <w:qFormat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berschrift"/>
    <w:qFormat/>
    <w:pPr>
      <w:spacing w:before="160" w:after="80"/>
      <w:outlineLvl w:val="2"/>
    </w:pPr>
    <w:rPr>
      <w:rFonts w:ascii="Arial" w:hAnsi="Arial" w:eastAsia="Arial" w:cs="Arial"/>
      <w:b/>
      <w:bCs/>
      <w:color w:val="2F5496"/>
      <w:sz w:val="22"/>
      <w:szCs w:val="22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LibreOffice/26.2.2.2$Windows_X86_64 LibreOffice_project/1f77d10d6938fd34972958f64b2bcfa54f8b1ba5</Application>
  <AppVersion>15.0000</AppVersion>
  <Pages>5</Pages>
  <Words>695</Words>
  <Characters>5400</Characters>
  <CharactersWithSpaces>5956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2026-04-30T11:07:58Z</dcterms:created>
  <dc:creator>Un-named</dc:creator>
  <dc:description/>
  <dc:language>de-DE</dc:language>
  <cp:lastModifiedBy/>
  <dcterms:modified xsi:type="dcterms:W3CDTF">2026-04-30T13:15:44Z</dcterms:modified>
  <cp:revision>2</cp:revision>
  <dc:subject/>
  <dc:title/>
</cp:coreProperties>
</file>