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9EDE6" w14:textId="77777777" w:rsidR="001B3544" w:rsidRDefault="00A97536" w:rsidP="00FF1473">
      <w:pPr>
        <w:jc w:val="center"/>
        <w:rPr>
          <w:rFonts w:ascii="Times New Roman" w:hAnsi="Times New Roman" w:cs="Times New Roman"/>
          <w:b/>
          <w:bCs/>
        </w:rPr>
      </w:pPr>
      <w:r w:rsidRPr="00A97536">
        <w:rPr>
          <w:rFonts w:ascii="Times New Roman" w:hAnsi="Times New Roman" w:cs="Times New Roman"/>
          <w:b/>
          <w:bCs/>
        </w:rPr>
        <w:t xml:space="preserve">DANA Automation Data Scientist Take Home Test: </w:t>
      </w:r>
    </w:p>
    <w:p w14:paraId="5DE649E2" w14:textId="404FB906" w:rsidR="00FF1473" w:rsidRDefault="00A97536" w:rsidP="00FF1473">
      <w:pPr>
        <w:jc w:val="center"/>
        <w:rPr>
          <w:rFonts w:ascii="Times New Roman" w:hAnsi="Times New Roman" w:cs="Times New Roman"/>
          <w:b/>
          <w:bCs/>
        </w:rPr>
      </w:pPr>
      <w:r w:rsidRPr="00A97536">
        <w:rPr>
          <w:rFonts w:ascii="Times New Roman" w:hAnsi="Times New Roman" w:cs="Times New Roman"/>
          <w:b/>
          <w:bCs/>
        </w:rPr>
        <w:t>Feature Creation + User Segmentation</w:t>
      </w:r>
    </w:p>
    <w:p w14:paraId="1D3F3BFB" w14:textId="2DDB16E9" w:rsidR="00FF1473" w:rsidRPr="00FF1473" w:rsidRDefault="00FF1473" w:rsidP="00FF1473">
      <w:pPr>
        <w:pStyle w:val="ListParagraph"/>
        <w:numPr>
          <w:ilvl w:val="0"/>
          <w:numId w:val="1"/>
        </w:numPr>
        <w:rPr>
          <w:rFonts w:ascii="Times New Roman" w:hAnsi="Times New Roman" w:cs="Times New Roman"/>
          <w:b/>
          <w:bCs/>
        </w:rPr>
      </w:pPr>
      <w:r w:rsidRPr="00FF1473">
        <w:rPr>
          <w:rFonts w:ascii="Times New Roman" w:hAnsi="Times New Roman" w:cs="Times New Roman"/>
          <w:b/>
          <w:bCs/>
        </w:rPr>
        <w:t>Overview and Approach</w:t>
      </w:r>
    </w:p>
    <w:p w14:paraId="1051A332" w14:textId="724B6828"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This </w:t>
      </w:r>
      <w:r>
        <w:rPr>
          <w:rFonts w:ascii="Times New Roman" w:hAnsi="Times New Roman" w:cs="Times New Roman"/>
        </w:rPr>
        <w:t>test</w:t>
      </w:r>
      <w:r w:rsidRPr="00FF1473">
        <w:rPr>
          <w:rFonts w:ascii="Times New Roman" w:hAnsi="Times New Roman" w:cs="Times New Roman"/>
        </w:rPr>
        <w:t xml:space="preserve"> examines transaction logs from a digital platform with the objective of engineering a comprehensive user-level feature set and identifying meaningful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segments. The analysis progresses through several structured stages: cleaning and enriching the transaction data, aggregating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patterns at the user level, deriving interpretable psychographic and pseudo-demographic attributes, and applying clustering techniques to segment users.</w:t>
      </w:r>
    </w:p>
    <w:p w14:paraId="216541F2" w14:textId="71C63328"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The workflow begins with a cleaned dataset containing standardized temporal fields, parsed geographic coordinates, and normalized transactional flags. This dataset is then aggregated to produce a user-level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profile that incorporates spending patterns, temporal rhythms, merchant diversity, payment preferences, location mobility, loyalty participation, rating </w:t>
      </w:r>
      <w:proofErr w:type="spellStart"/>
      <w:r w:rsidRPr="00FF1473">
        <w:rPr>
          <w:rFonts w:ascii="Times New Roman" w:hAnsi="Times New Roman" w:cs="Times New Roman"/>
        </w:rPr>
        <w:t>behaviour</w:t>
      </w:r>
      <w:proofErr w:type="spellEnd"/>
      <w:r w:rsidRPr="00FF1473">
        <w:rPr>
          <w:rFonts w:ascii="Times New Roman" w:hAnsi="Times New Roman" w:cs="Times New Roman"/>
        </w:rPr>
        <w:t>, and promotional sensitivity.</w:t>
      </w:r>
    </w:p>
    <w:p w14:paraId="3A0F465C" w14:textId="56967E84"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Subsequently, additional features map these </w:t>
      </w:r>
      <w:proofErr w:type="spellStart"/>
      <w:r w:rsidRPr="00FF1473">
        <w:rPr>
          <w:rFonts w:ascii="Times New Roman" w:hAnsi="Times New Roman" w:cs="Times New Roman"/>
        </w:rPr>
        <w:t>behaviours</w:t>
      </w:r>
      <w:proofErr w:type="spellEnd"/>
      <w:r w:rsidRPr="00FF1473">
        <w:rPr>
          <w:rFonts w:ascii="Times New Roman" w:hAnsi="Times New Roman" w:cs="Times New Roman"/>
        </w:rPr>
        <w:t xml:space="preserve"> into higher-level constructs such as personality-like attributes (based on the Big Five framework), age and incom</w:t>
      </w:r>
      <w:r w:rsidR="00F17CEC">
        <w:rPr>
          <w:rFonts w:ascii="Times New Roman" w:hAnsi="Times New Roman" w:cs="Times New Roman"/>
        </w:rPr>
        <w:t>e</w:t>
      </w:r>
      <w:r w:rsidRPr="00FF1473">
        <w:rPr>
          <w:rFonts w:ascii="Times New Roman" w:hAnsi="Times New Roman" w:cs="Times New Roman"/>
        </w:rPr>
        <w:t xml:space="preserve">, health tendencies, lifestyle indicators, and inferred work and home locations. These derived attributes are explicitly heuristic and serve as interpretable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approximations rather than demographic predictors.</w:t>
      </w:r>
    </w:p>
    <w:p w14:paraId="007973CE" w14:textId="745F3933"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For segmentation, a hybrid feature matrix is constructed combining standardized numeric variables and one-hot encoded categorical signals. K-Means clustering is applied, with model selection guided by inertia and silhouette score comparisons across candidate values of k. The optimal configuration is found at k = 4, balancing interpretability and cluster separation. Principal Component Analysis (PCA) is used solely for visualization.</w:t>
      </w:r>
    </w:p>
    <w:p w14:paraId="16CEB068" w14:textId="4E5C67B3" w:rsid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This structured approach provides a coherent transition from raw data to interpretable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insights, enabling the formation of clear and actionable user personas.</w:t>
      </w:r>
    </w:p>
    <w:p w14:paraId="20976BCE" w14:textId="6FC74960" w:rsidR="00FF1473" w:rsidRPr="00FF1473" w:rsidRDefault="00FF1473" w:rsidP="00FF1473">
      <w:pPr>
        <w:pStyle w:val="ListParagraph"/>
        <w:numPr>
          <w:ilvl w:val="0"/>
          <w:numId w:val="1"/>
        </w:numPr>
        <w:jc w:val="both"/>
        <w:rPr>
          <w:rFonts w:ascii="Times New Roman" w:hAnsi="Times New Roman" w:cs="Times New Roman"/>
          <w:b/>
          <w:bCs/>
        </w:rPr>
      </w:pPr>
      <w:r w:rsidRPr="00FF1473">
        <w:rPr>
          <w:rFonts w:ascii="Times New Roman" w:hAnsi="Times New Roman" w:cs="Times New Roman"/>
          <w:b/>
          <w:bCs/>
        </w:rPr>
        <w:t>Transaction-Level Processing</w:t>
      </w:r>
    </w:p>
    <w:p w14:paraId="097703EF" w14:textId="3E9E33ED" w:rsidR="00FF1473" w:rsidRPr="00C70F68" w:rsidRDefault="00FF1473" w:rsidP="00FF1473">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Temporal Feature Extraction</w:t>
      </w:r>
    </w:p>
    <w:p w14:paraId="291DA303" w14:textId="2027564D" w:rsidR="00FF1473" w:rsidRDefault="00FF1473" w:rsidP="00FF1473">
      <w:pPr>
        <w:pStyle w:val="ListParagraph"/>
        <w:ind w:left="1080"/>
        <w:jc w:val="both"/>
        <w:rPr>
          <w:rFonts w:ascii="Times New Roman" w:hAnsi="Times New Roman" w:cs="Times New Roman"/>
        </w:rPr>
      </w:pPr>
      <w:r w:rsidRPr="00FF1473">
        <w:rPr>
          <w:rFonts w:ascii="Times New Roman" w:hAnsi="Times New Roman" w:cs="Times New Roman"/>
        </w:rPr>
        <w:t xml:space="preserve">Transaction timestamps are converted into structured temporal attributes including day-of-week, weekend/weekday indicators, and month-of-year. These temporal fields enable the study of habitual </w:t>
      </w:r>
      <w:proofErr w:type="spellStart"/>
      <w:r w:rsidRPr="00FF1473">
        <w:rPr>
          <w:rFonts w:ascii="Times New Roman" w:hAnsi="Times New Roman" w:cs="Times New Roman"/>
        </w:rPr>
        <w:t>behaviour</w:t>
      </w:r>
      <w:proofErr w:type="spellEnd"/>
      <w:r w:rsidRPr="00FF1473">
        <w:rPr>
          <w:rFonts w:ascii="Times New Roman" w:hAnsi="Times New Roman" w:cs="Times New Roman"/>
        </w:rPr>
        <w:t>, such as recurring weekday spending patterns or weekend leisure activity. The assumptions underlying this step are that the dataset captures user activity sufficiently consistently in time and that weekend transactions reflect leisure while weekday transactions align more with routine purchasing.</w:t>
      </w:r>
    </w:p>
    <w:p w14:paraId="79FFC63E" w14:textId="5EEDACCC"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Geographic Parsing and City Assignment</w:t>
      </w:r>
    </w:p>
    <w:p w14:paraId="4314A88F" w14:textId="0C640D52"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Geolocation coordinates are extracted and clustered using K-Means to identify natural spatial groupings. Cluster centroids are matched to known major Indonesian cities, </w:t>
      </w:r>
      <w:r w:rsidRPr="00C70F68">
        <w:rPr>
          <w:rFonts w:ascii="Times New Roman" w:hAnsi="Times New Roman" w:cs="Times New Roman"/>
        </w:rPr>
        <w:lastRenderedPageBreak/>
        <w:t xml:space="preserve">producing a reliable city-level label for each transaction without using external geocoding services. This provides a foundation for modelling home/work locations and mobility. Visual inspection confirms that spatial clusters align closely with expected urban </w:t>
      </w:r>
      <w:proofErr w:type="spellStart"/>
      <w:r w:rsidRPr="00C70F68">
        <w:rPr>
          <w:rFonts w:ascii="Times New Roman" w:hAnsi="Times New Roman" w:cs="Times New Roman"/>
        </w:rPr>
        <w:t>centres</w:t>
      </w:r>
      <w:proofErr w:type="spellEnd"/>
      <w:r w:rsidRPr="00C70F68">
        <w:rPr>
          <w:rFonts w:ascii="Times New Roman" w:hAnsi="Times New Roman" w:cs="Times New Roman"/>
        </w:rPr>
        <w:t>.</w:t>
      </w:r>
    </w:p>
    <w:p w14:paraId="75728E44" w14:textId="1759A5D2"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Standardization of Flags and Categories</w:t>
      </w:r>
    </w:p>
    <w:p w14:paraId="26868B7E" w14:textId="2B773E82"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Binary flags (e.g., refund status, discount applied, loyalty participation) are uniformly mapped to numerical values, and categorical dimensions such as merchant category codes are explicitly typed. Standardizing these fields ensures consistent aggregation and reduces ambiguity during higher-level feature derivation.</w:t>
      </w:r>
    </w:p>
    <w:p w14:paraId="296B1F8C" w14:textId="314E3F49"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 xml:space="preserve">User-Level </w:t>
      </w:r>
      <w:proofErr w:type="spellStart"/>
      <w:r w:rsidRPr="00C70F68">
        <w:rPr>
          <w:rFonts w:ascii="Times New Roman" w:hAnsi="Times New Roman" w:cs="Times New Roman"/>
          <w:b/>
          <w:bCs/>
        </w:rPr>
        <w:t>Behavioural</w:t>
      </w:r>
      <w:proofErr w:type="spellEnd"/>
      <w:r w:rsidRPr="00C70F68">
        <w:rPr>
          <w:rFonts w:ascii="Times New Roman" w:hAnsi="Times New Roman" w:cs="Times New Roman"/>
          <w:b/>
          <w:bCs/>
        </w:rPr>
        <w:t xml:space="preserve"> Features</w:t>
      </w:r>
    </w:p>
    <w:p w14:paraId="66A064C8" w14:textId="3396A675"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Spending and Transaction Volum</w:t>
      </w:r>
      <w:r>
        <w:rPr>
          <w:rFonts w:ascii="Times New Roman" w:hAnsi="Times New Roman" w:cs="Times New Roman"/>
          <w:b/>
          <w:bCs/>
        </w:rPr>
        <w:t>e</w:t>
      </w:r>
    </w:p>
    <w:p w14:paraId="08137959" w14:textId="097889AD"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Measures such as transaction count, total spend, average and median spend, standard deviation, and coefficient of variation capture both purchasing power and stability. High variability signifies irregular purchasing </w:t>
      </w:r>
      <w:proofErr w:type="spellStart"/>
      <w:r w:rsidRPr="00C70F68">
        <w:rPr>
          <w:rFonts w:ascii="Times New Roman" w:hAnsi="Times New Roman" w:cs="Times New Roman"/>
        </w:rPr>
        <w:t>behaviour</w:t>
      </w:r>
      <w:proofErr w:type="spellEnd"/>
      <w:r w:rsidRPr="00C70F68">
        <w:rPr>
          <w:rFonts w:ascii="Times New Roman" w:hAnsi="Times New Roman" w:cs="Times New Roman"/>
        </w:rPr>
        <w:t>, while stable spend patterns suggest habitual or budgeted spending.</w:t>
      </w:r>
    </w:p>
    <w:p w14:paraId="559ECA5C" w14:textId="6B3A5AED"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 xml:space="preserve">Completion and Refund </w:t>
      </w:r>
      <w:proofErr w:type="spellStart"/>
      <w:r w:rsidRPr="00C70F68">
        <w:rPr>
          <w:rFonts w:ascii="Times New Roman" w:hAnsi="Times New Roman" w:cs="Times New Roman"/>
          <w:b/>
          <w:bCs/>
        </w:rPr>
        <w:t>Behaviour</w:t>
      </w:r>
      <w:proofErr w:type="spellEnd"/>
    </w:p>
    <w:p w14:paraId="194B4877" w14:textId="605E825D"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Completion and refund rates serve as indicators of friction and reliability in the user’s transaction experience. High refund activity may reflect dissatisfaction or risk-prone </w:t>
      </w:r>
      <w:proofErr w:type="spellStart"/>
      <w:r w:rsidRPr="00C70F68">
        <w:rPr>
          <w:rFonts w:ascii="Times New Roman" w:hAnsi="Times New Roman" w:cs="Times New Roman"/>
        </w:rPr>
        <w:t>behaviour</w:t>
      </w:r>
      <w:proofErr w:type="spellEnd"/>
      <w:r w:rsidRPr="00C70F68">
        <w:rPr>
          <w:rFonts w:ascii="Times New Roman" w:hAnsi="Times New Roman" w:cs="Times New Roman"/>
        </w:rPr>
        <w:t>, while consistently completed transactions signal smoother interactions. These measures later underpin conscientiousness and neuroticism proxies.</w:t>
      </w:r>
    </w:p>
    <w:p w14:paraId="5C28DFB1" w14:textId="1A610027"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Temporal Engagement Patterns</w:t>
      </w:r>
    </w:p>
    <w:p w14:paraId="06311928" w14:textId="4A0C82A3"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Temporal features include activity span, number of active days, day-of-week preferences, and recency. These metrics reveal how frequently and consistently a user interacts with the platform. For example, high weekend transaction proportions are suggestive of leisure-oriented spending and contribute to extraversion scoring.</w:t>
      </w:r>
    </w:p>
    <w:p w14:paraId="5F2359EB" w14:textId="4E49E8C3"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Merchant Diversity and Concentration</w:t>
      </w:r>
    </w:p>
    <w:p w14:paraId="77E8433C" w14:textId="7AD80D92"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Diversity metrics such as distinct merchant/category counts and entropy values reflect how broadly or narrowly a user shops. High entropy indicates exploratory </w:t>
      </w:r>
      <w:proofErr w:type="spellStart"/>
      <w:r w:rsidRPr="00C70F68">
        <w:rPr>
          <w:rFonts w:ascii="Times New Roman" w:hAnsi="Times New Roman" w:cs="Times New Roman"/>
        </w:rPr>
        <w:t>behaviour</w:t>
      </w:r>
      <w:proofErr w:type="spellEnd"/>
      <w:r w:rsidRPr="00C70F68">
        <w:rPr>
          <w:rFonts w:ascii="Times New Roman" w:hAnsi="Times New Roman" w:cs="Times New Roman"/>
        </w:rPr>
        <w:t>, whereas high concentration on a single merchant suggests loyalty or limited needs. Category-specific spend shares derived from the top merchant category codes form the basis of interpretive thematic spend features.</w:t>
      </w:r>
    </w:p>
    <w:p w14:paraId="1AE0E242" w14:textId="2BB886B8"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Location and Mobility Patterns</w:t>
      </w:r>
    </w:p>
    <w:p w14:paraId="7E9420F0" w14:textId="0022451C"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User mobility is captured through distinct location counts, geographic centroids, average travel distance, and the distribution of transactions across multiple cities. These features support identifying home and work cities, commuting patterns, and overall openness to variety in physical movement.</w:t>
      </w:r>
    </w:p>
    <w:p w14:paraId="53DB4A17" w14:textId="6AD56550"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Payment, Loyalty, Discounts, and Promotions</w:t>
      </w:r>
    </w:p>
    <w:p w14:paraId="6F214C1B" w14:textId="5DBCD823"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Payment method distributions, loyalty participation, discount usage, and promotional responsiveness provide insight into price sensitivity, financial sophistication, and </w:t>
      </w:r>
      <w:r w:rsidRPr="00C70F68">
        <w:rPr>
          <w:rFonts w:ascii="Times New Roman" w:hAnsi="Times New Roman" w:cs="Times New Roman"/>
        </w:rPr>
        <w:lastRenderedPageBreak/>
        <w:t>engagement with the platform’s reward ecosystem. Notably, some users transact exclusively through the loyalty program, indicating strong platform stickiness.</w:t>
      </w:r>
    </w:p>
    <w:p w14:paraId="20D226D9" w14:textId="2F872B55"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 xml:space="preserve">User Rating </w:t>
      </w:r>
      <w:proofErr w:type="spellStart"/>
      <w:r w:rsidRPr="00C70F68">
        <w:rPr>
          <w:rFonts w:ascii="Times New Roman" w:hAnsi="Times New Roman" w:cs="Times New Roman"/>
          <w:b/>
          <w:bCs/>
        </w:rPr>
        <w:t>Behaviour</w:t>
      </w:r>
      <w:proofErr w:type="spellEnd"/>
    </w:p>
    <w:p w14:paraId="6F0257BF" w14:textId="70153AE3"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Review patterns are incorporated via average rating, rating variability, and counts of low or high ratings. These metrics provide signals related to satisfaction levels and critical tendencies, contributing to agreeableness and neuroticism derivations.</w:t>
      </w:r>
    </w:p>
    <w:p w14:paraId="64307F41" w14:textId="20940F6E"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Derived Psychographic and Pseudo-Demographic Features</w:t>
      </w:r>
    </w:p>
    <w:p w14:paraId="60D31407" w14:textId="513B8A1A"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 xml:space="preserve">Category-Based </w:t>
      </w:r>
      <w:proofErr w:type="spellStart"/>
      <w:r w:rsidRPr="00C70F68">
        <w:rPr>
          <w:rFonts w:ascii="Times New Roman" w:hAnsi="Times New Roman" w:cs="Times New Roman"/>
          <w:b/>
          <w:bCs/>
        </w:rPr>
        <w:t>Behavioural</w:t>
      </w:r>
      <w:proofErr w:type="spellEnd"/>
      <w:r w:rsidRPr="00C70F68">
        <w:rPr>
          <w:rFonts w:ascii="Times New Roman" w:hAnsi="Times New Roman" w:cs="Times New Roman"/>
          <w:b/>
          <w:bCs/>
        </w:rPr>
        <w:t xml:space="preserve"> Aggregates</w:t>
      </w:r>
    </w:p>
    <w:p w14:paraId="10FD43F4" w14:textId="5D069C40"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Merchant category codes are consolidated into interpretable </w:t>
      </w:r>
      <w:proofErr w:type="spellStart"/>
      <w:r w:rsidRPr="00C70F68">
        <w:rPr>
          <w:rFonts w:ascii="Times New Roman" w:hAnsi="Times New Roman" w:cs="Times New Roman"/>
        </w:rPr>
        <w:t>behavioural</w:t>
      </w:r>
      <w:proofErr w:type="spellEnd"/>
      <w:r w:rsidRPr="00C70F68">
        <w:rPr>
          <w:rFonts w:ascii="Times New Roman" w:hAnsi="Times New Roman" w:cs="Times New Roman"/>
        </w:rPr>
        <w:t xml:space="preserve"> clusters such as restaurant dining, groceries, pharmacies, general retail, and fuel. These aggregates reflect broader lifestyle themes and enable the derivation of family-oriented versus social-oriented </w:t>
      </w:r>
      <w:proofErr w:type="spellStart"/>
      <w:r w:rsidRPr="00C70F68">
        <w:rPr>
          <w:rFonts w:ascii="Times New Roman" w:hAnsi="Times New Roman" w:cs="Times New Roman"/>
        </w:rPr>
        <w:t>behaviour</w:t>
      </w:r>
      <w:proofErr w:type="spellEnd"/>
      <w:r w:rsidRPr="00C70F68">
        <w:rPr>
          <w:rFonts w:ascii="Times New Roman" w:hAnsi="Times New Roman" w:cs="Times New Roman"/>
        </w:rPr>
        <w:t>.</w:t>
      </w:r>
    </w:p>
    <w:p w14:paraId="20D4CBED" w14:textId="117BD10D"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Big Five Personality-Inspired Metrics</w:t>
      </w:r>
    </w:p>
    <w:p w14:paraId="1A871CEC" w14:textId="2071DAC6"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Heuristic approximations of the Big Five traits are constructed through </w:t>
      </w:r>
      <w:proofErr w:type="spellStart"/>
      <w:r w:rsidRPr="00C70F68">
        <w:rPr>
          <w:rFonts w:ascii="Times New Roman" w:hAnsi="Times New Roman" w:cs="Times New Roman"/>
        </w:rPr>
        <w:t>behaviourally</w:t>
      </w:r>
      <w:proofErr w:type="spellEnd"/>
      <w:r w:rsidRPr="00C70F68">
        <w:rPr>
          <w:rFonts w:ascii="Times New Roman" w:hAnsi="Times New Roman" w:cs="Times New Roman"/>
        </w:rPr>
        <w:t xml:space="preserve"> motivated combinations of user-level metrics.</w:t>
      </w:r>
    </w:p>
    <w:p w14:paraId="22559350" w14:textId="2E6B1F91"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For example:</w:t>
      </w:r>
    </w:p>
    <w:p w14:paraId="3F4CD14B"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Openness reflects diversity in merchants, categories, and mobility.</w:t>
      </w:r>
    </w:p>
    <w:p w14:paraId="4635C0A7"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Conscientiousness reflects spending stability, low refund rates, and loyalty use.</w:t>
      </w:r>
    </w:p>
    <w:p w14:paraId="20A9AC9D"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Extraversion is informed by weekend and restaurant spending and multi-city activity.</w:t>
      </w:r>
    </w:p>
    <w:p w14:paraId="6576ECDC"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Agreeableness derives from high ratings and low complaint/refund rates.</w:t>
      </w:r>
    </w:p>
    <w:p w14:paraId="25C4DDB9" w14:textId="50BE62A6"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 xml:space="preserve">Neuroticism captures variability, low ratings, and refund </w:t>
      </w:r>
      <w:proofErr w:type="spellStart"/>
      <w:r w:rsidRPr="00C70F68">
        <w:rPr>
          <w:rFonts w:ascii="Times New Roman" w:hAnsi="Times New Roman" w:cs="Times New Roman"/>
        </w:rPr>
        <w:t>behaviour</w:t>
      </w:r>
      <w:proofErr w:type="spellEnd"/>
      <w:r w:rsidRPr="00C70F68">
        <w:rPr>
          <w:rFonts w:ascii="Times New Roman" w:hAnsi="Times New Roman" w:cs="Times New Roman"/>
        </w:rPr>
        <w:t>.</w:t>
      </w:r>
    </w:p>
    <w:p w14:paraId="2D7AE99E" w14:textId="20ED9A29"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Age, Income, and Education Proxies</w:t>
      </w:r>
    </w:p>
    <w:p w14:paraId="228CC47C" w14:textId="5ED082AA"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Relative age groups are inferred through a combination of family versus social spending, overall spend magnitude, and loyalty engagement. Income proxies are based on spend amounts, payment type usage, and urban activity. Education proxies combine diversity measures, income, and loyalty engagement. All classifications rely on quantile thresholds and are therefore sample-relative rather than absolute estimates.</w:t>
      </w:r>
    </w:p>
    <w:p w14:paraId="6D48565F" w14:textId="3D2A72C2"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Home and Work Location Derivation</w:t>
      </w:r>
    </w:p>
    <w:p w14:paraId="0AACDA41" w14:textId="16B55D69"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Home cities are inferred from primary transaction locations, while work cities are inferred from the second most frequent city for users active across multiple areas. These locations support downstream lifestyle classifications such as working status and mobility.</w:t>
      </w:r>
    </w:p>
    <w:p w14:paraId="1BB6E029" w14:textId="3D8041D4"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Lifestyle and Household Indicators</w:t>
      </w:r>
    </w:p>
    <w:p w14:paraId="4DFE6F86" w14:textId="18949780"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Heuristic labels for working status, industry affinity, health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marital/parental likelihood, and vehicle ownership are constructed using </w:t>
      </w:r>
      <w:proofErr w:type="spellStart"/>
      <w:r w:rsidRPr="00C70F68">
        <w:rPr>
          <w:rFonts w:ascii="Times New Roman" w:hAnsi="Times New Roman" w:cs="Times New Roman"/>
        </w:rPr>
        <w:t>behavioural</w:t>
      </w:r>
      <w:proofErr w:type="spellEnd"/>
      <w:r w:rsidRPr="00C70F68">
        <w:rPr>
          <w:rFonts w:ascii="Times New Roman" w:hAnsi="Times New Roman" w:cs="Times New Roman"/>
        </w:rPr>
        <w:t xml:space="preserve"> signals such as spending themes, weekend bias, and category preferences. These labels enhance interpretability but are intentionally high-level, reflecting </w:t>
      </w:r>
      <w:proofErr w:type="spellStart"/>
      <w:r w:rsidRPr="00C70F68">
        <w:rPr>
          <w:rFonts w:ascii="Times New Roman" w:hAnsi="Times New Roman" w:cs="Times New Roman"/>
        </w:rPr>
        <w:t>behavioural</w:t>
      </w:r>
      <w:proofErr w:type="spellEnd"/>
      <w:r w:rsidRPr="00C70F68">
        <w:rPr>
          <w:rFonts w:ascii="Times New Roman" w:hAnsi="Times New Roman" w:cs="Times New Roman"/>
        </w:rPr>
        <w:t xml:space="preserve"> rather than demographic certainty.</w:t>
      </w:r>
    </w:p>
    <w:p w14:paraId="5CFBE158" w14:textId="4E427A1E"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Segmentation Methodology</w:t>
      </w:r>
    </w:p>
    <w:p w14:paraId="682E3926" w14:textId="7D788253" w:rsidR="00C70F68" w:rsidRPr="00C70F68" w:rsidRDefault="00C70F68" w:rsidP="00C70F68">
      <w:pPr>
        <w:pStyle w:val="ListParagraph"/>
        <w:jc w:val="both"/>
        <w:rPr>
          <w:rFonts w:ascii="Times New Roman" w:hAnsi="Times New Roman" w:cs="Times New Roman"/>
        </w:rPr>
      </w:pPr>
      <w:r w:rsidRPr="00C70F68">
        <w:rPr>
          <w:rFonts w:ascii="Times New Roman" w:hAnsi="Times New Roman" w:cs="Times New Roman"/>
        </w:rPr>
        <w:lastRenderedPageBreak/>
        <w:t>A comprehensive feature matrix combining standardized numeric attributes and one-hot encoded categorical variables is prepared for clustering. Missing numeric values are imputed using medians, and categorical unknowns are explicitly labeled to preserve interpretability.</w:t>
      </w:r>
    </w:p>
    <w:p w14:paraId="12AF84F8" w14:textId="50534823" w:rsidR="00C70F68" w:rsidRDefault="00C70F68" w:rsidP="00C70F68">
      <w:pPr>
        <w:pStyle w:val="ListParagraph"/>
        <w:jc w:val="both"/>
        <w:rPr>
          <w:rFonts w:ascii="Times New Roman" w:hAnsi="Times New Roman" w:cs="Times New Roman"/>
        </w:rPr>
      </w:pPr>
      <w:r w:rsidRPr="00C70F68">
        <w:rPr>
          <w:rFonts w:ascii="Times New Roman" w:hAnsi="Times New Roman" w:cs="Times New Roman"/>
        </w:rPr>
        <w:t>K-Means clustering is evaluated for k between 4 and 9 using inertia and silhouette scores. Four clusters are selected as the optimal configuration, offering a balance between separation, stability, and interpretability. PCA visualizations confirm distinct cluster groupings in reduced-dimensional space.</w:t>
      </w:r>
    </w:p>
    <w:p w14:paraId="3533E3ED" w14:textId="144A717D"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User Segment Profiles</w:t>
      </w:r>
    </w:p>
    <w:p w14:paraId="4A4CEFD3" w14:textId="7B2BEEAF"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0: Mid-Life Urban Social Shoppers</w:t>
      </w:r>
    </w:p>
    <w:p w14:paraId="69A087E7" w14:textId="2B6B1174"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This segment consists of users with higher-than-average spending and a diverse range of merchants, categories, and locations. They display strong restaurant spending and moderate family-related spending. They skew toward middle-age groups, exhibit medium-to-high income and education scores, and demonstrate moderate extraversion and conscientiousness. Their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reflects an active, social, and relatively affluent urban lifestyle.</w:t>
      </w:r>
    </w:p>
    <w:p w14:paraId="027E66C0" w14:textId="0E4D5103"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1: Budget-Conscious Family Essentials Shoppers</w:t>
      </w:r>
    </w:p>
    <w:p w14:paraId="42CC9F85" w14:textId="7D7A2A74"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Users in this segment show lower spending levels but a strong emphasis on grocery and pharmacy purchases. They exhibit the healthiest spending profile among all segments, with low dining-out activity. They tend to fall within lower income and education groups and show lower extraversion. Their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aligns with household-oriented, budget-conscious lifestyles focused on necessities rather than discretionary spending.</w:t>
      </w:r>
    </w:p>
    <w:p w14:paraId="24958ABE" w14:textId="3BA59927"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2: Young Social Diners</w:t>
      </w:r>
    </w:p>
    <w:p w14:paraId="051DC464" w14:textId="764820AF"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This segment is dominated by younger users with high restaurant and bar spending, minimal grocery and pharmacy activity, and relatively low health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scores. They exhibit the highest extraversion levels and more flexible or part-time working patterns. Their low income and education scores, paired with leisure-heavy spending, suggest student or early-career lifestyles characterized by social activity and limited household obligations.</w:t>
      </w:r>
    </w:p>
    <w:p w14:paraId="75FE80BB" w14:textId="28420FDF"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3: Older, Highly Educated Loyalty Super-Users</w:t>
      </w:r>
    </w:p>
    <w:p w14:paraId="48949F74" w14:textId="50B7BECC"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These users combine high transaction volume with diverse shopping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and complete reliance on the loyalty program. They are universally classified under the older age group and hold the highest education and conscientiousness scores. Their spending patterns and loyalty engagement suggest stable, affluent, and highly committed platform users likely to respond positively to premium and loyalty-driven offerings.</w:t>
      </w:r>
    </w:p>
    <w:sectPr w:rsidR="00C70F68" w:rsidRPr="00C70F6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4FC7E" w14:textId="77777777" w:rsidR="00C64E9F" w:rsidRDefault="00C64E9F" w:rsidP="00FF1473">
      <w:pPr>
        <w:spacing w:after="0" w:line="240" w:lineRule="auto"/>
      </w:pPr>
      <w:r>
        <w:separator/>
      </w:r>
    </w:p>
  </w:endnote>
  <w:endnote w:type="continuationSeparator" w:id="0">
    <w:p w14:paraId="14007AB4" w14:textId="77777777" w:rsidR="00C64E9F" w:rsidRDefault="00C64E9F" w:rsidP="00FF1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2DD2B" w14:textId="77777777" w:rsidR="00C64E9F" w:rsidRDefault="00C64E9F" w:rsidP="00FF1473">
      <w:pPr>
        <w:spacing w:after="0" w:line="240" w:lineRule="auto"/>
      </w:pPr>
      <w:r>
        <w:separator/>
      </w:r>
    </w:p>
  </w:footnote>
  <w:footnote w:type="continuationSeparator" w:id="0">
    <w:p w14:paraId="012CA320" w14:textId="77777777" w:rsidR="00C64E9F" w:rsidRDefault="00C64E9F" w:rsidP="00FF1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B9B4" w14:textId="09AFFABC" w:rsidR="00B541B8" w:rsidRPr="00FF1473" w:rsidRDefault="00FF1473" w:rsidP="00B541B8">
    <w:pPr>
      <w:pStyle w:val="Header"/>
      <w:jc w:val="right"/>
      <w:rPr>
        <w:rFonts w:ascii="Times New Roman" w:hAnsi="Times New Roman" w:cs="Times New Roman"/>
      </w:rPr>
    </w:pPr>
    <w:r>
      <w:rPr>
        <w:rFonts w:ascii="Times New Roman" w:hAnsi="Times New Roman" w:cs="Times New Roman"/>
      </w:rPr>
      <w:t>Elvern Neylmav</w:t>
    </w:r>
    <w:r w:rsidR="00B541B8">
      <w:rPr>
        <w:rFonts w:ascii="Times New Roman" w:hAnsi="Times New Roman" w:cs="Times New Roman"/>
      </w:rPr>
      <w:t xml:space="preserve"> Tanny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BBD"/>
    <w:multiLevelType w:val="multilevel"/>
    <w:tmpl w:val="C82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62B01"/>
    <w:multiLevelType w:val="multilevel"/>
    <w:tmpl w:val="01DEE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07E1D"/>
    <w:multiLevelType w:val="hybridMultilevel"/>
    <w:tmpl w:val="9B885F52"/>
    <w:lvl w:ilvl="0" w:tplc="0409000F">
      <w:start w:val="1"/>
      <w:numFmt w:val="decimal"/>
      <w:lvlText w:val="%1."/>
      <w:lvlJc w:val="left"/>
      <w:pPr>
        <w:ind w:left="720" w:hanging="360"/>
      </w:pPr>
      <w:rPr>
        <w:rFonts w:hint="default"/>
      </w:rPr>
    </w:lvl>
    <w:lvl w:ilvl="1" w:tplc="04090019">
      <w:start w:val="1"/>
      <w:numFmt w:val="lowerLetter"/>
      <w:lvlText w:val="%2."/>
      <w:lvlJc w:val="left"/>
      <w:pPr>
        <w:ind w:left="1080" w:hanging="360"/>
      </w:pPr>
    </w:lvl>
    <w:lvl w:ilvl="2" w:tplc="04090001">
      <w:start w:val="1"/>
      <w:numFmt w:val="bullet"/>
      <w:lvlText w:val=""/>
      <w:lvlJc w:val="left"/>
      <w:pPr>
        <w:ind w:left="234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953DFA"/>
    <w:multiLevelType w:val="hybridMultilevel"/>
    <w:tmpl w:val="9E8A95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7F412C53"/>
    <w:multiLevelType w:val="multilevel"/>
    <w:tmpl w:val="3912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1673701">
    <w:abstractNumId w:val="2"/>
  </w:num>
  <w:num w:numId="2" w16cid:durableId="1747069207">
    <w:abstractNumId w:val="0"/>
  </w:num>
  <w:num w:numId="3" w16cid:durableId="199129049">
    <w:abstractNumId w:val="1"/>
  </w:num>
  <w:num w:numId="4" w16cid:durableId="339935956">
    <w:abstractNumId w:val="4"/>
  </w:num>
  <w:num w:numId="5" w16cid:durableId="547036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4C4"/>
    <w:rsid w:val="00112336"/>
    <w:rsid w:val="001B3544"/>
    <w:rsid w:val="005F7332"/>
    <w:rsid w:val="007214C4"/>
    <w:rsid w:val="0085183A"/>
    <w:rsid w:val="00A97536"/>
    <w:rsid w:val="00AA614B"/>
    <w:rsid w:val="00AC1AAF"/>
    <w:rsid w:val="00B541B8"/>
    <w:rsid w:val="00C64E9F"/>
    <w:rsid w:val="00C70F68"/>
    <w:rsid w:val="00D53624"/>
    <w:rsid w:val="00F17CEC"/>
    <w:rsid w:val="00FB1E76"/>
    <w:rsid w:val="00FF14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8CFD5"/>
  <w15:chartTrackingRefBased/>
  <w15:docId w15:val="{1639B3B7-1FF4-4E5A-9BDC-1A60ECEA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4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4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4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4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4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4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4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4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4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4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4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4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4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4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4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4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4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4C4"/>
    <w:rPr>
      <w:rFonts w:eastAsiaTheme="majorEastAsia" w:cstheme="majorBidi"/>
      <w:color w:val="272727" w:themeColor="text1" w:themeTint="D8"/>
    </w:rPr>
  </w:style>
  <w:style w:type="paragraph" w:styleId="Title">
    <w:name w:val="Title"/>
    <w:basedOn w:val="Normal"/>
    <w:next w:val="Normal"/>
    <w:link w:val="TitleChar"/>
    <w:uiPriority w:val="10"/>
    <w:qFormat/>
    <w:rsid w:val="007214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4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4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4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4C4"/>
    <w:pPr>
      <w:spacing w:before="160"/>
      <w:jc w:val="center"/>
    </w:pPr>
    <w:rPr>
      <w:i/>
      <w:iCs/>
      <w:color w:val="404040" w:themeColor="text1" w:themeTint="BF"/>
    </w:rPr>
  </w:style>
  <w:style w:type="character" w:customStyle="1" w:styleId="QuoteChar">
    <w:name w:val="Quote Char"/>
    <w:basedOn w:val="DefaultParagraphFont"/>
    <w:link w:val="Quote"/>
    <w:uiPriority w:val="29"/>
    <w:rsid w:val="007214C4"/>
    <w:rPr>
      <w:i/>
      <w:iCs/>
      <w:color w:val="404040" w:themeColor="text1" w:themeTint="BF"/>
    </w:rPr>
  </w:style>
  <w:style w:type="paragraph" w:styleId="ListParagraph">
    <w:name w:val="List Paragraph"/>
    <w:basedOn w:val="Normal"/>
    <w:uiPriority w:val="34"/>
    <w:qFormat/>
    <w:rsid w:val="007214C4"/>
    <w:pPr>
      <w:ind w:left="720"/>
      <w:contextualSpacing/>
    </w:pPr>
  </w:style>
  <w:style w:type="character" w:styleId="IntenseEmphasis">
    <w:name w:val="Intense Emphasis"/>
    <w:basedOn w:val="DefaultParagraphFont"/>
    <w:uiPriority w:val="21"/>
    <w:qFormat/>
    <w:rsid w:val="007214C4"/>
    <w:rPr>
      <w:i/>
      <w:iCs/>
      <w:color w:val="0F4761" w:themeColor="accent1" w:themeShade="BF"/>
    </w:rPr>
  </w:style>
  <w:style w:type="paragraph" w:styleId="IntenseQuote">
    <w:name w:val="Intense Quote"/>
    <w:basedOn w:val="Normal"/>
    <w:next w:val="Normal"/>
    <w:link w:val="IntenseQuoteChar"/>
    <w:uiPriority w:val="30"/>
    <w:qFormat/>
    <w:rsid w:val="007214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4C4"/>
    <w:rPr>
      <w:i/>
      <w:iCs/>
      <w:color w:val="0F4761" w:themeColor="accent1" w:themeShade="BF"/>
    </w:rPr>
  </w:style>
  <w:style w:type="character" w:styleId="IntenseReference">
    <w:name w:val="Intense Reference"/>
    <w:basedOn w:val="DefaultParagraphFont"/>
    <w:uiPriority w:val="32"/>
    <w:qFormat/>
    <w:rsid w:val="007214C4"/>
    <w:rPr>
      <w:b/>
      <w:bCs/>
      <w:smallCaps/>
      <w:color w:val="0F4761" w:themeColor="accent1" w:themeShade="BF"/>
      <w:spacing w:val="5"/>
    </w:rPr>
  </w:style>
  <w:style w:type="paragraph" w:styleId="Header">
    <w:name w:val="header"/>
    <w:basedOn w:val="Normal"/>
    <w:link w:val="HeaderChar"/>
    <w:uiPriority w:val="99"/>
    <w:unhideWhenUsed/>
    <w:rsid w:val="00FF14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1473"/>
  </w:style>
  <w:style w:type="paragraph" w:styleId="Footer">
    <w:name w:val="footer"/>
    <w:basedOn w:val="Normal"/>
    <w:link w:val="FooterChar"/>
    <w:uiPriority w:val="99"/>
    <w:unhideWhenUsed/>
    <w:rsid w:val="00FF14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14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1561</Words>
  <Characters>8904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Elvern Neylmav Tanny</dc:creator>
  <cp:keywords/>
  <dc:description/>
  <cp:lastModifiedBy>Elvern Neylmav Tanny</cp:lastModifiedBy>
  <cp:revision>6</cp:revision>
  <dcterms:created xsi:type="dcterms:W3CDTF">2025-11-19T16:02:00Z</dcterms:created>
  <dcterms:modified xsi:type="dcterms:W3CDTF">2025-12-07T10:33:00Z</dcterms:modified>
</cp:coreProperties>
</file>