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49E2" w14:textId="5D6A6353" w:rsidR="00FF1473" w:rsidRDefault="00FF1473" w:rsidP="00FF1473">
      <w:pPr>
        <w:jc w:val="center"/>
        <w:rPr>
          <w:rFonts w:ascii="Times New Roman" w:hAnsi="Times New Roman" w:cs="Times New Roman"/>
          <w:b/>
          <w:bCs/>
        </w:rPr>
      </w:pPr>
      <w:r w:rsidRPr="00FF1473">
        <w:rPr>
          <w:rFonts w:ascii="Times New Roman" w:hAnsi="Times New Roman" w:cs="Times New Roman"/>
          <w:b/>
          <w:bCs/>
        </w:rPr>
        <w:t>Take Home Test - Automation Data Scientist</w:t>
      </w:r>
    </w:p>
    <w:p w14:paraId="1D3F3BFB" w14:textId="2DDB16E9" w:rsidR="00FF1473" w:rsidRPr="00FF1473" w:rsidRDefault="00FF1473" w:rsidP="00FF1473">
      <w:pPr>
        <w:pStyle w:val="ListParagraph"/>
        <w:numPr>
          <w:ilvl w:val="0"/>
          <w:numId w:val="1"/>
        </w:numPr>
        <w:rPr>
          <w:rFonts w:ascii="Times New Roman" w:hAnsi="Times New Roman" w:cs="Times New Roman"/>
          <w:b/>
          <w:bCs/>
        </w:rPr>
      </w:pPr>
      <w:r w:rsidRPr="00FF1473">
        <w:rPr>
          <w:rFonts w:ascii="Times New Roman" w:hAnsi="Times New Roman" w:cs="Times New Roman"/>
          <w:b/>
          <w:bCs/>
        </w:rPr>
        <w:t>Overview and Approach</w:t>
      </w:r>
    </w:p>
    <w:p w14:paraId="1051A332" w14:textId="724B6828"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This </w:t>
      </w:r>
      <w:r>
        <w:rPr>
          <w:rFonts w:ascii="Times New Roman" w:hAnsi="Times New Roman" w:cs="Times New Roman"/>
        </w:rPr>
        <w:t>test</w:t>
      </w:r>
      <w:r w:rsidRPr="00FF1473">
        <w:rPr>
          <w:rFonts w:ascii="Times New Roman" w:hAnsi="Times New Roman" w:cs="Times New Roman"/>
        </w:rPr>
        <w:t xml:space="preserve"> examines transaction logs from a digital platform with the objective of engineering a comprehensive user-level feature set and identifying meaningful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segments. The analysis progresses through several structured stages: cleaning and enriching the transaction data, aggregating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patterns at the user level, deriving interpretable psychographic and pseudo-demographic attributes, and applying clustering techniques to segment users.</w:t>
      </w:r>
    </w:p>
    <w:p w14:paraId="216541F2" w14:textId="71C63328"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The workflow begins with a cleaned dataset containing standardized temporal fields, parsed geographic coordinates, and normalized transactional flags. This dataset is then aggregated to produce a user-level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profile that incorporates spending patterns, temporal rhythms, merchant diversity, payment preferences, location mobility, loyalty participation, rating </w:t>
      </w:r>
      <w:proofErr w:type="spellStart"/>
      <w:r w:rsidRPr="00FF1473">
        <w:rPr>
          <w:rFonts w:ascii="Times New Roman" w:hAnsi="Times New Roman" w:cs="Times New Roman"/>
        </w:rPr>
        <w:t>behaviour</w:t>
      </w:r>
      <w:proofErr w:type="spellEnd"/>
      <w:r w:rsidRPr="00FF1473">
        <w:rPr>
          <w:rFonts w:ascii="Times New Roman" w:hAnsi="Times New Roman" w:cs="Times New Roman"/>
        </w:rPr>
        <w:t>, and promotional sensitivity.</w:t>
      </w:r>
    </w:p>
    <w:p w14:paraId="3A0F465C" w14:textId="56967E84"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Subsequently, additional features map these </w:t>
      </w:r>
      <w:proofErr w:type="spellStart"/>
      <w:r w:rsidRPr="00FF1473">
        <w:rPr>
          <w:rFonts w:ascii="Times New Roman" w:hAnsi="Times New Roman" w:cs="Times New Roman"/>
        </w:rPr>
        <w:t>behaviours</w:t>
      </w:r>
      <w:proofErr w:type="spellEnd"/>
      <w:r w:rsidRPr="00FF1473">
        <w:rPr>
          <w:rFonts w:ascii="Times New Roman" w:hAnsi="Times New Roman" w:cs="Times New Roman"/>
        </w:rPr>
        <w:t xml:space="preserve"> into higher-level constructs such as personality-like attributes (based on the Big Five framework), age and incom</w:t>
      </w:r>
      <w:r w:rsidR="00F17CEC">
        <w:rPr>
          <w:rFonts w:ascii="Times New Roman" w:hAnsi="Times New Roman" w:cs="Times New Roman"/>
        </w:rPr>
        <w:t>e</w:t>
      </w:r>
      <w:r w:rsidRPr="00FF1473">
        <w:rPr>
          <w:rFonts w:ascii="Times New Roman" w:hAnsi="Times New Roman" w:cs="Times New Roman"/>
        </w:rPr>
        <w:t xml:space="preserve">, health tendencies, lifestyle indicators, and inferred work and home locations. These derived attributes are explicitly heuristic and serve as interpretable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approximations rather than demographic predictors.</w:t>
      </w:r>
    </w:p>
    <w:p w14:paraId="007973CE" w14:textId="745F3933" w:rsidR="00FF1473" w:rsidRPr="00FF1473" w:rsidRDefault="00FF1473" w:rsidP="00FF1473">
      <w:pPr>
        <w:ind w:left="360"/>
        <w:jc w:val="both"/>
        <w:rPr>
          <w:rFonts w:ascii="Times New Roman" w:hAnsi="Times New Roman" w:cs="Times New Roman"/>
        </w:rPr>
      </w:pPr>
      <w:r w:rsidRPr="00FF1473">
        <w:rPr>
          <w:rFonts w:ascii="Times New Roman" w:hAnsi="Times New Roman" w:cs="Times New Roman"/>
        </w:rPr>
        <w:t>For segmentation, a hybrid feature matrix is constructed combining standardized numeric variables and one-hot encoded categorical signals. K-Means clustering is applied, with model selection guided by inertia and silhouette score comparisons across candidate values of k. The optimal configuration is found at k = 4, balancing interpretability and cluster separation. Principal Component Analysis (PCA) is used solely for visualization.</w:t>
      </w:r>
    </w:p>
    <w:p w14:paraId="16CEB068" w14:textId="4E5C67B3" w:rsidR="00FF1473" w:rsidRDefault="00FF1473" w:rsidP="00FF1473">
      <w:pPr>
        <w:ind w:left="360"/>
        <w:jc w:val="both"/>
        <w:rPr>
          <w:rFonts w:ascii="Times New Roman" w:hAnsi="Times New Roman" w:cs="Times New Roman"/>
        </w:rPr>
      </w:pPr>
      <w:r w:rsidRPr="00FF1473">
        <w:rPr>
          <w:rFonts w:ascii="Times New Roman" w:hAnsi="Times New Roman" w:cs="Times New Roman"/>
        </w:rPr>
        <w:t xml:space="preserve">This structured approach provides a coherent transition from raw data to interpretable </w:t>
      </w:r>
      <w:proofErr w:type="spellStart"/>
      <w:r w:rsidRPr="00FF1473">
        <w:rPr>
          <w:rFonts w:ascii="Times New Roman" w:hAnsi="Times New Roman" w:cs="Times New Roman"/>
        </w:rPr>
        <w:t>behavioural</w:t>
      </w:r>
      <w:proofErr w:type="spellEnd"/>
      <w:r w:rsidRPr="00FF1473">
        <w:rPr>
          <w:rFonts w:ascii="Times New Roman" w:hAnsi="Times New Roman" w:cs="Times New Roman"/>
        </w:rPr>
        <w:t xml:space="preserve"> insights, enabling the formation of clear and actionable user personas.</w:t>
      </w:r>
    </w:p>
    <w:p w14:paraId="20976BCE" w14:textId="6FC74960" w:rsidR="00FF1473" w:rsidRPr="00FF1473" w:rsidRDefault="00FF1473" w:rsidP="00FF1473">
      <w:pPr>
        <w:pStyle w:val="ListParagraph"/>
        <w:numPr>
          <w:ilvl w:val="0"/>
          <w:numId w:val="1"/>
        </w:numPr>
        <w:jc w:val="both"/>
        <w:rPr>
          <w:rFonts w:ascii="Times New Roman" w:hAnsi="Times New Roman" w:cs="Times New Roman"/>
          <w:b/>
          <w:bCs/>
        </w:rPr>
      </w:pPr>
      <w:r w:rsidRPr="00FF1473">
        <w:rPr>
          <w:rFonts w:ascii="Times New Roman" w:hAnsi="Times New Roman" w:cs="Times New Roman"/>
          <w:b/>
          <w:bCs/>
        </w:rPr>
        <w:t>Transaction-Level Processing</w:t>
      </w:r>
    </w:p>
    <w:p w14:paraId="097703EF" w14:textId="3E9E33ED" w:rsidR="00FF1473" w:rsidRPr="00C70F68" w:rsidRDefault="00FF1473" w:rsidP="00FF1473">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Temporal Feature Extraction</w:t>
      </w:r>
    </w:p>
    <w:p w14:paraId="291DA303" w14:textId="2027564D" w:rsidR="00FF1473" w:rsidRDefault="00FF1473" w:rsidP="00FF1473">
      <w:pPr>
        <w:pStyle w:val="ListParagraph"/>
        <w:ind w:left="1080"/>
        <w:jc w:val="both"/>
        <w:rPr>
          <w:rFonts w:ascii="Times New Roman" w:hAnsi="Times New Roman" w:cs="Times New Roman"/>
        </w:rPr>
      </w:pPr>
      <w:r w:rsidRPr="00FF1473">
        <w:rPr>
          <w:rFonts w:ascii="Times New Roman" w:hAnsi="Times New Roman" w:cs="Times New Roman"/>
        </w:rPr>
        <w:t xml:space="preserve">Transaction timestamps are converted into structured temporal attributes including day-of-week, weekend/weekday indicators, and month-of-year. These temporal fields enable the study of habitual </w:t>
      </w:r>
      <w:proofErr w:type="spellStart"/>
      <w:r w:rsidRPr="00FF1473">
        <w:rPr>
          <w:rFonts w:ascii="Times New Roman" w:hAnsi="Times New Roman" w:cs="Times New Roman"/>
        </w:rPr>
        <w:t>behaviour</w:t>
      </w:r>
      <w:proofErr w:type="spellEnd"/>
      <w:r w:rsidRPr="00FF1473">
        <w:rPr>
          <w:rFonts w:ascii="Times New Roman" w:hAnsi="Times New Roman" w:cs="Times New Roman"/>
        </w:rPr>
        <w:t>, such as recurring weekday spending patterns or weekend leisure activity. The assumptions underlying this step are that the dataset captures user activity sufficiently consistently in time and that weekend transactions reflect leisure while weekday transactions align more with routine purchasing.</w:t>
      </w:r>
    </w:p>
    <w:p w14:paraId="79FFC63E" w14:textId="5EEDACCC"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Geographic Parsing and City Assignment</w:t>
      </w:r>
    </w:p>
    <w:p w14:paraId="4314A88F" w14:textId="0C640D5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Geolocation coordinates are extracted and clustered using K-Means to identify natural spatial groupings. Cluster centroids are matched to known major Indonesian cities, producing a reliable city-level label for each transaction without using external geocoding services. This provides a foundation for modelling home/work locations and </w:t>
      </w:r>
      <w:r w:rsidRPr="00C70F68">
        <w:rPr>
          <w:rFonts w:ascii="Times New Roman" w:hAnsi="Times New Roman" w:cs="Times New Roman"/>
        </w:rPr>
        <w:lastRenderedPageBreak/>
        <w:t xml:space="preserve">mobility. Visual inspection confirms that spatial clusters align closely with expected urban </w:t>
      </w:r>
      <w:proofErr w:type="spellStart"/>
      <w:r w:rsidRPr="00C70F68">
        <w:rPr>
          <w:rFonts w:ascii="Times New Roman" w:hAnsi="Times New Roman" w:cs="Times New Roman"/>
        </w:rPr>
        <w:t>centres</w:t>
      </w:r>
      <w:proofErr w:type="spellEnd"/>
      <w:r w:rsidRPr="00C70F68">
        <w:rPr>
          <w:rFonts w:ascii="Times New Roman" w:hAnsi="Times New Roman" w:cs="Times New Roman"/>
        </w:rPr>
        <w:t>.</w:t>
      </w:r>
    </w:p>
    <w:p w14:paraId="75728E44" w14:textId="1759A5D2"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Standardization of Flags and Categories</w:t>
      </w:r>
    </w:p>
    <w:p w14:paraId="26868B7E" w14:textId="2B773E8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Binary flags (e.g., refund status, discount applied, loyalty participation) are uniformly mapped to numerical values, and categorical dimensions such as merchant category codes are explicitly typed. Standardizing these fields ensures consistent aggregation and reduces ambiguity during higher-level feature derivation.</w:t>
      </w:r>
    </w:p>
    <w:p w14:paraId="296B1F8C" w14:textId="314E3F49"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 xml:space="preserve">User-Level </w:t>
      </w:r>
      <w:proofErr w:type="spellStart"/>
      <w:r w:rsidRPr="00C70F68">
        <w:rPr>
          <w:rFonts w:ascii="Times New Roman" w:hAnsi="Times New Roman" w:cs="Times New Roman"/>
          <w:b/>
          <w:bCs/>
        </w:rPr>
        <w:t>Behavioural</w:t>
      </w:r>
      <w:proofErr w:type="spellEnd"/>
      <w:r w:rsidRPr="00C70F68">
        <w:rPr>
          <w:rFonts w:ascii="Times New Roman" w:hAnsi="Times New Roman" w:cs="Times New Roman"/>
          <w:b/>
          <w:bCs/>
        </w:rPr>
        <w:t xml:space="preserve"> Features</w:t>
      </w:r>
    </w:p>
    <w:p w14:paraId="66A064C8" w14:textId="3396A675"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Spending and Transaction Volum</w:t>
      </w:r>
      <w:r>
        <w:rPr>
          <w:rFonts w:ascii="Times New Roman" w:hAnsi="Times New Roman" w:cs="Times New Roman"/>
          <w:b/>
          <w:bCs/>
        </w:rPr>
        <w:t>e</w:t>
      </w:r>
    </w:p>
    <w:p w14:paraId="08137959" w14:textId="097889AD"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Measures such as transaction count, total spend, average and median spend, standard deviation, and coefficient of variation capture both purchasing power and stability. High variability signifies irregular purchasing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while stable spend patterns suggest habitual or budgeted spending.</w:t>
      </w:r>
    </w:p>
    <w:p w14:paraId="559ECA5C" w14:textId="6B3A5AED"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Completion and Refund </w:t>
      </w:r>
      <w:proofErr w:type="spellStart"/>
      <w:r w:rsidRPr="00C70F68">
        <w:rPr>
          <w:rFonts w:ascii="Times New Roman" w:hAnsi="Times New Roman" w:cs="Times New Roman"/>
          <w:b/>
          <w:bCs/>
        </w:rPr>
        <w:t>Behaviour</w:t>
      </w:r>
      <w:proofErr w:type="spellEnd"/>
    </w:p>
    <w:p w14:paraId="194B4877" w14:textId="605E825D"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Completion and refund rates serve as indicators of friction and reliability in the user’s transaction experience. High refund activity may reflect dissatisfaction or risk-prone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while consistently completed transactions signal smoother interactions. These measures later underpin conscientiousness and neuroticism proxies.</w:t>
      </w:r>
    </w:p>
    <w:p w14:paraId="5C28DFB1" w14:textId="1A610027"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Temporal Engagement Patterns</w:t>
      </w:r>
    </w:p>
    <w:p w14:paraId="06311928" w14:textId="4A0C82A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Temporal features include activity span, number of active days, day-of-week preferences, and recency. These metrics reveal how frequently and consistently a user interacts with the platform. For example, high weekend transaction proportions are suggestive of leisure-oriented spending and contribute to extraversion scoring.</w:t>
      </w:r>
    </w:p>
    <w:p w14:paraId="5F2359EB" w14:textId="4E49E8C3"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Merchant Diversity and Concentration</w:t>
      </w:r>
    </w:p>
    <w:p w14:paraId="77E8433C" w14:textId="7AD80D92"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Diversity metrics such as distinct merchant/category counts and entropy values reflect how broadly or narrowly a user shops. High entropy indicates exploratory </w:t>
      </w:r>
      <w:proofErr w:type="spellStart"/>
      <w:r w:rsidRPr="00C70F68">
        <w:rPr>
          <w:rFonts w:ascii="Times New Roman" w:hAnsi="Times New Roman" w:cs="Times New Roman"/>
        </w:rPr>
        <w:t>behaviour</w:t>
      </w:r>
      <w:proofErr w:type="spellEnd"/>
      <w:r w:rsidRPr="00C70F68">
        <w:rPr>
          <w:rFonts w:ascii="Times New Roman" w:hAnsi="Times New Roman" w:cs="Times New Roman"/>
        </w:rPr>
        <w:t>, whereas high concentration on a single merchant suggests loyalty or limited needs. Category-specific spend shares derived from the top merchant category codes form the basis of interpretive thematic spend features.</w:t>
      </w:r>
    </w:p>
    <w:p w14:paraId="1AE0E242" w14:textId="2BB886B8"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Location and Mobility Patterns</w:t>
      </w:r>
    </w:p>
    <w:p w14:paraId="7E9420F0" w14:textId="0022451C"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User mobility is captured through distinct location counts, geographic centroids, average travel distance, and the distribution of transactions across multiple cities. These features support identifying home and work cities, commuting patterns, and overall openness to variety in physical movement.</w:t>
      </w:r>
    </w:p>
    <w:p w14:paraId="53DB4A17" w14:textId="6AD56550"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Payment, Loyalty, Discounts, and Promotions</w:t>
      </w:r>
    </w:p>
    <w:p w14:paraId="6F214C1B" w14:textId="5DBCD82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Payment method distributions, loyalty participation, discount usage, and promotional responsiveness provide insight into price sensitivity, financial sophistication, and engagement with the platform’s reward ecosystem. Notably, some users transact exclusively through the loyalty program, indicating strong platform stickiness.</w:t>
      </w:r>
    </w:p>
    <w:p w14:paraId="20D226D9" w14:textId="2F872B55" w:rsidR="00C70F68" w:rsidRP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User Rating </w:t>
      </w:r>
      <w:proofErr w:type="spellStart"/>
      <w:r w:rsidRPr="00C70F68">
        <w:rPr>
          <w:rFonts w:ascii="Times New Roman" w:hAnsi="Times New Roman" w:cs="Times New Roman"/>
          <w:b/>
          <w:bCs/>
        </w:rPr>
        <w:t>Behaviour</w:t>
      </w:r>
      <w:proofErr w:type="spellEnd"/>
    </w:p>
    <w:p w14:paraId="6F0257BF" w14:textId="70153AE3"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lastRenderedPageBreak/>
        <w:t>Review patterns are incorporated via average rating, rating variability, and counts of low or high ratings. These metrics provide signals related to satisfaction levels and critical tendencies, contributing to agreeableness and neuroticism derivations.</w:t>
      </w:r>
    </w:p>
    <w:p w14:paraId="64307F41" w14:textId="20940F6E"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Derived Psychographic and Pseudo-Demographic Features</w:t>
      </w:r>
    </w:p>
    <w:p w14:paraId="60D31407" w14:textId="513B8A1A"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 xml:space="preserve">Category-Based </w:t>
      </w:r>
      <w:proofErr w:type="spellStart"/>
      <w:r w:rsidRPr="00C70F68">
        <w:rPr>
          <w:rFonts w:ascii="Times New Roman" w:hAnsi="Times New Roman" w:cs="Times New Roman"/>
          <w:b/>
          <w:bCs/>
        </w:rPr>
        <w:t>Behavioural</w:t>
      </w:r>
      <w:proofErr w:type="spellEnd"/>
      <w:r w:rsidRPr="00C70F68">
        <w:rPr>
          <w:rFonts w:ascii="Times New Roman" w:hAnsi="Times New Roman" w:cs="Times New Roman"/>
          <w:b/>
          <w:bCs/>
        </w:rPr>
        <w:t xml:space="preserve"> Aggregates</w:t>
      </w:r>
    </w:p>
    <w:p w14:paraId="10FD43F4" w14:textId="5D069C40"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Merchant category codes are consolidated into interpretable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clusters such as restaurant dining, groceries, pharmacies, general retail, and fuel. These aggregates reflect broader lifestyle themes and enable the derivation of family-oriented versus social-oriented </w:t>
      </w:r>
      <w:proofErr w:type="spellStart"/>
      <w:r w:rsidRPr="00C70F68">
        <w:rPr>
          <w:rFonts w:ascii="Times New Roman" w:hAnsi="Times New Roman" w:cs="Times New Roman"/>
        </w:rPr>
        <w:t>behaviour</w:t>
      </w:r>
      <w:proofErr w:type="spellEnd"/>
      <w:r w:rsidRPr="00C70F68">
        <w:rPr>
          <w:rFonts w:ascii="Times New Roman" w:hAnsi="Times New Roman" w:cs="Times New Roman"/>
        </w:rPr>
        <w:t>.</w:t>
      </w:r>
    </w:p>
    <w:p w14:paraId="20D4CBED" w14:textId="117BD10D"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Big Five Personality-Inspired Metrics</w:t>
      </w:r>
    </w:p>
    <w:p w14:paraId="1A871CEC" w14:textId="2071DAC6"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Heuristic approximations of the Big Five traits are constructed through </w:t>
      </w:r>
      <w:proofErr w:type="spellStart"/>
      <w:r w:rsidRPr="00C70F68">
        <w:rPr>
          <w:rFonts w:ascii="Times New Roman" w:hAnsi="Times New Roman" w:cs="Times New Roman"/>
        </w:rPr>
        <w:t>behaviourally</w:t>
      </w:r>
      <w:proofErr w:type="spellEnd"/>
      <w:r w:rsidRPr="00C70F68">
        <w:rPr>
          <w:rFonts w:ascii="Times New Roman" w:hAnsi="Times New Roman" w:cs="Times New Roman"/>
        </w:rPr>
        <w:t xml:space="preserve"> motivated combinations of user-level metrics.</w:t>
      </w:r>
    </w:p>
    <w:p w14:paraId="22559350" w14:textId="2E6B1F91"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For example:</w:t>
      </w:r>
    </w:p>
    <w:p w14:paraId="3F4CD14B"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Openness reflects diversity in merchants, categories, and mobility.</w:t>
      </w:r>
    </w:p>
    <w:p w14:paraId="4635C0A7"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Conscientiousness reflects spending stability, low refund rates, and loyalty use.</w:t>
      </w:r>
    </w:p>
    <w:p w14:paraId="20A9AC9D"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Extraversion is informed by weekend and restaurant spending and multi-city activity.</w:t>
      </w:r>
    </w:p>
    <w:p w14:paraId="6576ECDC" w14:textId="77777777"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Agreeableness derives from high ratings and low complaint/refund rates.</w:t>
      </w:r>
    </w:p>
    <w:p w14:paraId="25C4DDB9" w14:textId="50BE62A6" w:rsidR="00C70F68" w:rsidRDefault="00C70F68" w:rsidP="00C70F68">
      <w:pPr>
        <w:pStyle w:val="ListParagraph"/>
        <w:numPr>
          <w:ilvl w:val="0"/>
          <w:numId w:val="5"/>
        </w:numPr>
        <w:jc w:val="both"/>
        <w:rPr>
          <w:rFonts w:ascii="Times New Roman" w:hAnsi="Times New Roman" w:cs="Times New Roman"/>
        </w:rPr>
      </w:pPr>
      <w:r w:rsidRPr="00C70F68">
        <w:rPr>
          <w:rFonts w:ascii="Times New Roman" w:hAnsi="Times New Roman" w:cs="Times New Roman"/>
        </w:rPr>
        <w:t xml:space="preserve">Neuroticism captures variability, low ratings, and refund </w:t>
      </w:r>
      <w:proofErr w:type="spellStart"/>
      <w:r w:rsidRPr="00C70F68">
        <w:rPr>
          <w:rFonts w:ascii="Times New Roman" w:hAnsi="Times New Roman" w:cs="Times New Roman"/>
        </w:rPr>
        <w:t>behaviour</w:t>
      </w:r>
      <w:proofErr w:type="spellEnd"/>
      <w:r w:rsidRPr="00C70F68">
        <w:rPr>
          <w:rFonts w:ascii="Times New Roman" w:hAnsi="Times New Roman" w:cs="Times New Roman"/>
        </w:rPr>
        <w:t>.</w:t>
      </w:r>
    </w:p>
    <w:p w14:paraId="2D7AE99E" w14:textId="20ED9A29"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Age, Income, and Education Proxies</w:t>
      </w:r>
    </w:p>
    <w:p w14:paraId="228CC47C" w14:textId="5ED082AA"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Relative age groups are inferred through a combination of family versus social spending, overall spend magnitude, and loyalty engagement. Income proxies are based on spend amounts, payment type usage, and urban activity. Education proxies combine diversity measures, income, and loyalty engagement. All classifications rely on quantile thresholds and are therefore sample-relative rather than absolute estimates.</w:t>
      </w:r>
    </w:p>
    <w:p w14:paraId="6D48565F" w14:textId="3D2A72C2"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Home and Work Location Derivation</w:t>
      </w:r>
    </w:p>
    <w:p w14:paraId="0AACDA41" w14:textId="16B55D69"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Home cities are inferred from primary transaction locations, while work cities are inferred from the second most frequent city for users active across multiple areas. These locations support downstream lifestyle classifications such as working status and mobility.</w:t>
      </w:r>
    </w:p>
    <w:p w14:paraId="1BB6E029" w14:textId="3D8041D4"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Lifestyle and Household Indicators</w:t>
      </w:r>
    </w:p>
    <w:p w14:paraId="4DFE6F86" w14:textId="18949780" w:rsid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Heuristic labels for working status, industry affinity, health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marital/parental likelihood, and vehicle ownership are constructed using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signals such as spending themes, weekend bias, and category preferences. These labels enhance interpretability but are intentionally high-level, reflecting </w:t>
      </w:r>
      <w:proofErr w:type="spellStart"/>
      <w:r w:rsidRPr="00C70F68">
        <w:rPr>
          <w:rFonts w:ascii="Times New Roman" w:hAnsi="Times New Roman" w:cs="Times New Roman"/>
        </w:rPr>
        <w:t>behavioural</w:t>
      </w:r>
      <w:proofErr w:type="spellEnd"/>
      <w:r w:rsidRPr="00C70F68">
        <w:rPr>
          <w:rFonts w:ascii="Times New Roman" w:hAnsi="Times New Roman" w:cs="Times New Roman"/>
        </w:rPr>
        <w:t xml:space="preserve"> rather than demographic certainty.</w:t>
      </w:r>
    </w:p>
    <w:p w14:paraId="5CFBE158" w14:textId="4E427A1E"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Segmentation Methodology</w:t>
      </w:r>
    </w:p>
    <w:p w14:paraId="682E3926" w14:textId="7D788253" w:rsidR="00C70F68" w:rsidRPr="00C70F68" w:rsidRDefault="00C70F68" w:rsidP="00C70F68">
      <w:pPr>
        <w:pStyle w:val="ListParagraph"/>
        <w:jc w:val="both"/>
        <w:rPr>
          <w:rFonts w:ascii="Times New Roman" w:hAnsi="Times New Roman" w:cs="Times New Roman"/>
        </w:rPr>
      </w:pPr>
      <w:r w:rsidRPr="00C70F68">
        <w:rPr>
          <w:rFonts w:ascii="Times New Roman" w:hAnsi="Times New Roman" w:cs="Times New Roman"/>
        </w:rPr>
        <w:t xml:space="preserve">A comprehensive feature matrix combining standardized numeric attributes and one-hot encoded categorical variables is prepared for clustering. Missing numeric values are </w:t>
      </w:r>
      <w:r w:rsidRPr="00C70F68">
        <w:rPr>
          <w:rFonts w:ascii="Times New Roman" w:hAnsi="Times New Roman" w:cs="Times New Roman"/>
        </w:rPr>
        <w:lastRenderedPageBreak/>
        <w:t>imputed using medians, and categorical unknowns are explicitly labeled to preserve interpretability.</w:t>
      </w:r>
    </w:p>
    <w:p w14:paraId="12AF84F8" w14:textId="50534823" w:rsidR="00C70F68" w:rsidRDefault="00C70F68" w:rsidP="00C70F68">
      <w:pPr>
        <w:pStyle w:val="ListParagraph"/>
        <w:jc w:val="both"/>
        <w:rPr>
          <w:rFonts w:ascii="Times New Roman" w:hAnsi="Times New Roman" w:cs="Times New Roman"/>
        </w:rPr>
      </w:pPr>
      <w:r w:rsidRPr="00C70F68">
        <w:rPr>
          <w:rFonts w:ascii="Times New Roman" w:hAnsi="Times New Roman" w:cs="Times New Roman"/>
        </w:rPr>
        <w:t>K-Means clustering is evaluated for k between 4 and 9 using inertia and silhouette scores. Four clusters are selected as the optimal configuration, offering a balance between separation, stability, and interpretability. PCA visualizations confirm distinct cluster groupings in reduced-dimensional space.</w:t>
      </w:r>
    </w:p>
    <w:p w14:paraId="3533E3ED" w14:textId="144A717D" w:rsidR="00C70F68" w:rsidRDefault="00C70F68" w:rsidP="00C70F68">
      <w:pPr>
        <w:pStyle w:val="ListParagraph"/>
        <w:numPr>
          <w:ilvl w:val="0"/>
          <w:numId w:val="1"/>
        </w:numPr>
        <w:jc w:val="both"/>
        <w:rPr>
          <w:rFonts w:ascii="Times New Roman" w:hAnsi="Times New Roman" w:cs="Times New Roman"/>
          <w:b/>
          <w:bCs/>
        </w:rPr>
      </w:pPr>
      <w:r w:rsidRPr="00C70F68">
        <w:rPr>
          <w:rFonts w:ascii="Times New Roman" w:hAnsi="Times New Roman" w:cs="Times New Roman"/>
          <w:b/>
          <w:bCs/>
        </w:rPr>
        <w:t>User Segment Profiles</w:t>
      </w:r>
    </w:p>
    <w:p w14:paraId="4A4CEFD3" w14:textId="7B2BEEAF"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0: Mid-Life Urban Social Shoppers</w:t>
      </w:r>
    </w:p>
    <w:p w14:paraId="69A087E7" w14:textId="2B6B1174"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This segment consists of users with higher-than-average spending and a diverse range of merchants, categories, and locations. They display strong restaurant spending and moderate family-related spending. They skew toward middle-age groups, exhibit medium-to-high income and education scores, and demonstrate moderate extraversion and conscientiousness. Their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reflects an active, social, and relatively affluent urban lifestyle.</w:t>
      </w:r>
    </w:p>
    <w:p w14:paraId="027E66C0" w14:textId="0E4D5103"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1: Budget-Conscious Family Essentials Shoppers</w:t>
      </w:r>
    </w:p>
    <w:p w14:paraId="42CC9F85" w14:textId="7D7A2A74"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Users in this segment show lower spending levels but a strong emphasis on grocery and pharmacy purchases. They exhibit the healthiest spending profile among all segments, with low dining-out activity. They tend to fall within lower income and education groups and show lower extraversion. Their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aligns with household-oriented, budget-conscious lifestyles focused on necessities rather than discretionary spending.</w:t>
      </w:r>
    </w:p>
    <w:p w14:paraId="24958ABE" w14:textId="3BA59927"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2: Young Social Diners</w:t>
      </w:r>
    </w:p>
    <w:p w14:paraId="051DC464" w14:textId="764820AF"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This segment is dominated by younger users with high restaurant and bar spending, minimal grocery and pharmacy activity, and relatively low health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scores. They exhibit the highest extraversion levels and more flexible or part-time working patterns. Their low income and education scores, paired with leisure-heavy spending, suggest student or early-career lifestyles characterized by social activity and limited household obligations.</w:t>
      </w:r>
    </w:p>
    <w:p w14:paraId="75FE80BB" w14:textId="28420FDF" w:rsidR="00C70F68" w:rsidRDefault="00C70F68" w:rsidP="00C70F68">
      <w:pPr>
        <w:pStyle w:val="ListParagraph"/>
        <w:numPr>
          <w:ilvl w:val="1"/>
          <w:numId w:val="1"/>
        </w:numPr>
        <w:jc w:val="both"/>
        <w:rPr>
          <w:rFonts w:ascii="Times New Roman" w:hAnsi="Times New Roman" w:cs="Times New Roman"/>
          <w:b/>
          <w:bCs/>
        </w:rPr>
      </w:pPr>
      <w:r w:rsidRPr="00C70F68">
        <w:rPr>
          <w:rFonts w:ascii="Times New Roman" w:hAnsi="Times New Roman" w:cs="Times New Roman"/>
          <w:b/>
          <w:bCs/>
        </w:rPr>
        <w:t>Cluster 3: Older, Highly Educated Loyalty Super-Users</w:t>
      </w:r>
    </w:p>
    <w:p w14:paraId="48949F74" w14:textId="50B7BECC" w:rsidR="00C70F68" w:rsidRPr="00C70F68" w:rsidRDefault="00C70F68" w:rsidP="00C70F68">
      <w:pPr>
        <w:pStyle w:val="ListParagraph"/>
        <w:ind w:left="1080"/>
        <w:jc w:val="both"/>
        <w:rPr>
          <w:rFonts w:ascii="Times New Roman" w:hAnsi="Times New Roman" w:cs="Times New Roman"/>
        </w:rPr>
      </w:pPr>
      <w:r w:rsidRPr="00C70F68">
        <w:rPr>
          <w:rFonts w:ascii="Times New Roman" w:hAnsi="Times New Roman" w:cs="Times New Roman"/>
        </w:rPr>
        <w:t xml:space="preserve">These users combine high transaction volume with diverse shopping </w:t>
      </w:r>
      <w:proofErr w:type="spellStart"/>
      <w:r w:rsidRPr="00C70F68">
        <w:rPr>
          <w:rFonts w:ascii="Times New Roman" w:hAnsi="Times New Roman" w:cs="Times New Roman"/>
        </w:rPr>
        <w:t>behaviour</w:t>
      </w:r>
      <w:proofErr w:type="spellEnd"/>
      <w:r w:rsidRPr="00C70F68">
        <w:rPr>
          <w:rFonts w:ascii="Times New Roman" w:hAnsi="Times New Roman" w:cs="Times New Roman"/>
        </w:rPr>
        <w:t xml:space="preserve"> and complete reliance on the loyalty program. They are universally classified under the older age group and hold the highest education and conscientiousness scores. Their spending patterns and loyalty engagement suggest stable, affluent, and highly committed platform users likely to respond positively to premium and loyalty-driven offerings.</w:t>
      </w:r>
    </w:p>
    <w:sectPr w:rsidR="00C70F68" w:rsidRPr="00C70F6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69C1" w14:textId="77777777" w:rsidR="0085183A" w:rsidRDefault="0085183A" w:rsidP="00FF1473">
      <w:pPr>
        <w:spacing w:after="0" w:line="240" w:lineRule="auto"/>
      </w:pPr>
      <w:r>
        <w:separator/>
      </w:r>
    </w:p>
  </w:endnote>
  <w:endnote w:type="continuationSeparator" w:id="0">
    <w:p w14:paraId="380B6B71" w14:textId="77777777" w:rsidR="0085183A" w:rsidRDefault="0085183A" w:rsidP="00FF1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EBE4D" w14:textId="77777777" w:rsidR="0085183A" w:rsidRDefault="0085183A" w:rsidP="00FF1473">
      <w:pPr>
        <w:spacing w:after="0" w:line="240" w:lineRule="auto"/>
      </w:pPr>
      <w:r>
        <w:separator/>
      </w:r>
    </w:p>
  </w:footnote>
  <w:footnote w:type="continuationSeparator" w:id="0">
    <w:p w14:paraId="394E8CEA" w14:textId="77777777" w:rsidR="0085183A" w:rsidRDefault="0085183A" w:rsidP="00FF1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B9B4" w14:textId="09AFFABC" w:rsidR="00B541B8" w:rsidRPr="00FF1473" w:rsidRDefault="00FF1473" w:rsidP="00B541B8">
    <w:pPr>
      <w:pStyle w:val="Header"/>
      <w:jc w:val="right"/>
      <w:rPr>
        <w:rFonts w:ascii="Times New Roman" w:hAnsi="Times New Roman" w:cs="Times New Roman"/>
      </w:rPr>
    </w:pPr>
    <w:r>
      <w:rPr>
        <w:rFonts w:ascii="Times New Roman" w:hAnsi="Times New Roman" w:cs="Times New Roman"/>
      </w:rPr>
      <w:t>Elvern Neylmav</w:t>
    </w:r>
    <w:r w:rsidR="00B541B8">
      <w:rPr>
        <w:rFonts w:ascii="Times New Roman" w:hAnsi="Times New Roman" w:cs="Times New Roman"/>
      </w:rPr>
      <w:t xml:space="preserve"> Tanny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BBD"/>
    <w:multiLevelType w:val="multilevel"/>
    <w:tmpl w:val="C82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62B01"/>
    <w:multiLevelType w:val="multilevel"/>
    <w:tmpl w:val="01DEE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07E1D"/>
    <w:multiLevelType w:val="hybridMultilevel"/>
    <w:tmpl w:val="9B885F52"/>
    <w:lvl w:ilvl="0" w:tplc="0409000F">
      <w:start w:val="1"/>
      <w:numFmt w:val="decimal"/>
      <w:lvlText w:val="%1."/>
      <w:lvlJc w:val="left"/>
      <w:pPr>
        <w:ind w:left="720" w:hanging="360"/>
      </w:pPr>
      <w:rPr>
        <w:rFonts w:hint="default"/>
      </w:rPr>
    </w:lvl>
    <w:lvl w:ilvl="1" w:tplc="04090019">
      <w:start w:val="1"/>
      <w:numFmt w:val="lowerLetter"/>
      <w:lvlText w:val="%2."/>
      <w:lvlJc w:val="left"/>
      <w:pPr>
        <w:ind w:left="1080" w:hanging="360"/>
      </w:pPr>
    </w:lvl>
    <w:lvl w:ilvl="2" w:tplc="04090001">
      <w:start w:val="1"/>
      <w:numFmt w:val="bullet"/>
      <w:lvlText w:val=""/>
      <w:lvlJc w:val="left"/>
      <w:pPr>
        <w:ind w:left="234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953DFA"/>
    <w:multiLevelType w:val="hybridMultilevel"/>
    <w:tmpl w:val="9E8A95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7F412C53"/>
    <w:multiLevelType w:val="multilevel"/>
    <w:tmpl w:val="3912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1673701">
    <w:abstractNumId w:val="2"/>
  </w:num>
  <w:num w:numId="2" w16cid:durableId="1747069207">
    <w:abstractNumId w:val="0"/>
  </w:num>
  <w:num w:numId="3" w16cid:durableId="199129049">
    <w:abstractNumId w:val="1"/>
  </w:num>
  <w:num w:numId="4" w16cid:durableId="339935956">
    <w:abstractNumId w:val="4"/>
  </w:num>
  <w:num w:numId="5" w16cid:durableId="547036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4C4"/>
    <w:rsid w:val="00112336"/>
    <w:rsid w:val="005F7332"/>
    <w:rsid w:val="007214C4"/>
    <w:rsid w:val="0085183A"/>
    <w:rsid w:val="00AA614B"/>
    <w:rsid w:val="00AC1AAF"/>
    <w:rsid w:val="00B541B8"/>
    <w:rsid w:val="00C70F68"/>
    <w:rsid w:val="00D53624"/>
    <w:rsid w:val="00F17CEC"/>
    <w:rsid w:val="00FF14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8CFD5"/>
  <w15:chartTrackingRefBased/>
  <w15:docId w15:val="{1639B3B7-1FF4-4E5A-9BDC-1A60ECEA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4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4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4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4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4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4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4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4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4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4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4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4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4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4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4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4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4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4C4"/>
    <w:rPr>
      <w:rFonts w:eastAsiaTheme="majorEastAsia" w:cstheme="majorBidi"/>
      <w:color w:val="272727" w:themeColor="text1" w:themeTint="D8"/>
    </w:rPr>
  </w:style>
  <w:style w:type="paragraph" w:styleId="Title">
    <w:name w:val="Title"/>
    <w:basedOn w:val="Normal"/>
    <w:next w:val="Normal"/>
    <w:link w:val="TitleChar"/>
    <w:uiPriority w:val="10"/>
    <w:qFormat/>
    <w:rsid w:val="007214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4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4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4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4C4"/>
    <w:pPr>
      <w:spacing w:before="160"/>
      <w:jc w:val="center"/>
    </w:pPr>
    <w:rPr>
      <w:i/>
      <w:iCs/>
      <w:color w:val="404040" w:themeColor="text1" w:themeTint="BF"/>
    </w:rPr>
  </w:style>
  <w:style w:type="character" w:customStyle="1" w:styleId="QuoteChar">
    <w:name w:val="Quote Char"/>
    <w:basedOn w:val="DefaultParagraphFont"/>
    <w:link w:val="Quote"/>
    <w:uiPriority w:val="29"/>
    <w:rsid w:val="007214C4"/>
    <w:rPr>
      <w:i/>
      <w:iCs/>
      <w:color w:val="404040" w:themeColor="text1" w:themeTint="BF"/>
    </w:rPr>
  </w:style>
  <w:style w:type="paragraph" w:styleId="ListParagraph">
    <w:name w:val="List Paragraph"/>
    <w:basedOn w:val="Normal"/>
    <w:uiPriority w:val="34"/>
    <w:qFormat/>
    <w:rsid w:val="007214C4"/>
    <w:pPr>
      <w:ind w:left="720"/>
      <w:contextualSpacing/>
    </w:pPr>
  </w:style>
  <w:style w:type="character" w:styleId="IntenseEmphasis">
    <w:name w:val="Intense Emphasis"/>
    <w:basedOn w:val="DefaultParagraphFont"/>
    <w:uiPriority w:val="21"/>
    <w:qFormat/>
    <w:rsid w:val="007214C4"/>
    <w:rPr>
      <w:i/>
      <w:iCs/>
      <w:color w:val="0F4761" w:themeColor="accent1" w:themeShade="BF"/>
    </w:rPr>
  </w:style>
  <w:style w:type="paragraph" w:styleId="IntenseQuote">
    <w:name w:val="Intense Quote"/>
    <w:basedOn w:val="Normal"/>
    <w:next w:val="Normal"/>
    <w:link w:val="IntenseQuoteChar"/>
    <w:uiPriority w:val="30"/>
    <w:qFormat/>
    <w:rsid w:val="007214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4C4"/>
    <w:rPr>
      <w:i/>
      <w:iCs/>
      <w:color w:val="0F4761" w:themeColor="accent1" w:themeShade="BF"/>
    </w:rPr>
  </w:style>
  <w:style w:type="character" w:styleId="IntenseReference">
    <w:name w:val="Intense Reference"/>
    <w:basedOn w:val="DefaultParagraphFont"/>
    <w:uiPriority w:val="32"/>
    <w:qFormat/>
    <w:rsid w:val="007214C4"/>
    <w:rPr>
      <w:b/>
      <w:bCs/>
      <w:smallCaps/>
      <w:color w:val="0F4761" w:themeColor="accent1" w:themeShade="BF"/>
      <w:spacing w:val="5"/>
    </w:rPr>
  </w:style>
  <w:style w:type="paragraph" w:styleId="Header">
    <w:name w:val="header"/>
    <w:basedOn w:val="Normal"/>
    <w:link w:val="HeaderChar"/>
    <w:uiPriority w:val="99"/>
    <w:unhideWhenUsed/>
    <w:rsid w:val="00FF14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1473"/>
  </w:style>
  <w:style w:type="paragraph" w:styleId="Footer">
    <w:name w:val="footer"/>
    <w:basedOn w:val="Normal"/>
    <w:link w:val="FooterChar"/>
    <w:uiPriority w:val="99"/>
    <w:unhideWhenUsed/>
    <w:rsid w:val="00FF14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14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1555</Words>
  <Characters>8868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Elvern Neylmav Tanny</dc:creator>
  <cp:keywords/>
  <dc:description/>
  <cp:lastModifiedBy>Elvern Neylmav Tanny</cp:lastModifiedBy>
  <cp:revision>4</cp:revision>
  <dcterms:created xsi:type="dcterms:W3CDTF">2025-11-19T16:02:00Z</dcterms:created>
  <dcterms:modified xsi:type="dcterms:W3CDTF">2025-11-24T07:17:00Z</dcterms:modified>
</cp:coreProperties>
</file>