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Grupo #5 Sección 02</w:t>
      </w:r>
    </w:p>
    <w:p w:rsidR="00000000" w:rsidDel="00000000" w:rsidP="00000000" w:rsidRDefault="00000000" w:rsidRPr="00000000" w14:paraId="00000002">
      <w:pPr>
        <w:rPr/>
      </w:pPr>
      <w:r w:rsidDel="00000000" w:rsidR="00000000" w:rsidRPr="00000000">
        <w:rPr>
          <w:rtl w:val="0"/>
        </w:rPr>
        <w:t xml:space="preserve">Diego Hernández CI: 31.311.570</w:t>
      </w:r>
    </w:p>
    <w:p w:rsidR="00000000" w:rsidDel="00000000" w:rsidP="00000000" w:rsidRDefault="00000000" w:rsidRPr="00000000" w14:paraId="00000003">
      <w:pPr>
        <w:rPr/>
      </w:pPr>
      <w:r w:rsidDel="00000000" w:rsidR="00000000" w:rsidRPr="00000000">
        <w:rPr>
          <w:rtl w:val="0"/>
        </w:rPr>
        <w:t xml:space="preserve">Mirko Ipsa</w:t>
      </w:r>
    </w:p>
    <w:p w:rsidR="00000000" w:rsidDel="00000000" w:rsidP="00000000" w:rsidRDefault="00000000" w:rsidRPr="00000000" w14:paraId="00000004">
      <w:pPr>
        <w:rPr/>
      </w:pPr>
      <w:r w:rsidDel="00000000" w:rsidR="00000000" w:rsidRPr="00000000">
        <w:rPr>
          <w:rtl w:val="0"/>
        </w:rPr>
        <w:t xml:space="preserve">Humberto Villacis</w:t>
      </w:r>
    </w:p>
    <w:p w:rsidR="00000000" w:rsidDel="00000000" w:rsidP="00000000" w:rsidRDefault="00000000" w:rsidRPr="00000000" w14:paraId="00000005">
      <w:pPr>
        <w:rPr/>
      </w:pPr>
      <w:r w:rsidDel="00000000" w:rsidR="00000000" w:rsidRPr="00000000">
        <w:rPr>
          <w:rtl w:val="0"/>
        </w:rPr>
        <w:t xml:space="preserve">Arturo Pinto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Luego de realizar la primera revisión de los Datasets suministrados </w:t>
      </w:r>
      <w:hyperlink r:id="rId6">
        <w:r w:rsidDel="00000000" w:rsidR="00000000" w:rsidRPr="00000000">
          <w:rPr>
            <w:color w:val="0000ee"/>
            <w:u w:val="single"/>
            <w:rtl w:val="0"/>
          </w:rPr>
          <w:t xml:space="preserve">Datos Crudos</w:t>
        </w:r>
      </w:hyperlink>
      <w:r w:rsidDel="00000000" w:rsidR="00000000" w:rsidRPr="00000000">
        <w:rPr>
          <w:rtl w:val="0"/>
        </w:rPr>
        <w:t xml:space="preserve">, mediante unos Scripts escritos en Python para su posterior interpretación de los resultados con un agente de IA, se identificaron las siguientes problemáticas e inconsistencias en los datos.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examinada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Hallazgo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Alternativas Propuestas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Decisión Adoptada y Justificación Técnica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campanas_marketing.csv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indica que 184 campañas o correos publicitarios fueron un "éxito" y lograron que el cliente comprara. Sin embargo, las fechas muestran que el cliente realizó su compra </w:t>
            </w:r>
            <w:r w:rsidDel="00000000" w:rsidR="00000000" w:rsidRPr="00000000">
              <w:rPr>
                <w:rtl w:val="0"/>
              </w:rPr>
              <w:t xml:space="preserve">antes</w:t>
            </w:r>
            <w:r w:rsidDel="00000000" w:rsidR="00000000" w:rsidRPr="00000000">
              <w:rPr>
                <w:rtl w:val="0"/>
              </w:rPr>
              <w:t xml:space="preserve"> de que se le enviará la campaña. Básicamente, se le está dando el crédito a la publicidad por ventas que ocurrieron sin su ayuda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Distorsiona el Retorno de Inversión de las campañas publicitarias. Al inflar artificialmente la tasa de éxito de las comunicaciones, la gerencia recibe una visión sesgada de qué estrategias realmente impulsan las ventas, lo que puede derivar en una asignación incorrecta de presupuesto hacia canales ineficientes y el pago injustificado de bonos por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b w:val="1"/>
                <w:bCs w:val="1"/>
                <w:rtl w:val="0"/>
              </w:rPr>
              <w:t xml:space="preserve">Limpieza inmediata:</w:t>
            </w:r>
            <w:r w:rsidDel="00000000" w:rsidR="00000000" w:rsidRPr="00000000">
              <w:rPr>
                <w:rtl w:val="0"/>
              </w:rPr>
              <w:t xml:space="preserve"> Cambiar el estado de esos 184 registros de "Convertido" a "No convertido" para no inflar los resultados ni los bonos de desempeño del equipo de marketing.</w:t>
            </w:r>
          </w:p>
          <w:p w:rsidR="00000000" w:rsidDel="00000000" w:rsidP="00000000" w:rsidRDefault="00000000" w:rsidRPr="00000000" w14:paraId="00000013">
            <w:pPr>
              <w:widowControl w:val="0"/>
              <w:spacing w:line="240" w:lineRule="auto"/>
              <w:rPr/>
            </w:pPr>
            <w:r w:rsidDel="00000000" w:rsidR="00000000" w:rsidRPr="00000000">
              <w:rPr>
                <w:b w:val="1"/>
                <w:bCs w:val="1"/>
                <w:rtl w:val="0"/>
              </w:rPr>
              <w:t xml:space="preserve">Filtro de temporalidad:</w:t>
            </w:r>
            <w:r w:rsidDel="00000000" w:rsidR="00000000" w:rsidRPr="00000000">
              <w:rPr>
                <w:rtl w:val="0"/>
              </w:rPr>
              <w:t xml:space="preserve"> Configurar una regla en la base de datos para que una campaña solo pueda registrarse como exitosa si la fecha exacta de la compra es posterior a la fecha de envío del anuncio.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Se decidió actualizar mediante SQL el estado 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 los 184 registros históricos para sanear el dataset actual. Adicionalmente, se recomienda implementar un </w:t>
            </w:r>
            <w:r w:rsidDel="00000000" w:rsidR="00000000" w:rsidRPr="00000000">
              <w:rPr>
                <w:i w:val="1"/>
                <w:iCs w:val="1"/>
                <w:rtl w:val="0"/>
              </w:rPr>
              <w:t xml:space="preserve">constraint</w:t>
            </w:r>
            <w:r w:rsidDel="00000000" w:rsidR="00000000" w:rsidRPr="00000000">
              <w:rPr>
                <w:rtl w:val="0"/>
              </w:rPr>
              <w:t xml:space="preserve"> (restricción) a nivel de base de datos que exija que </w:t>
            </w:r>
            <w:r w:rsidDel="00000000" w:rsidR="00000000" w:rsidRPr="00000000">
              <w:rPr>
                <w:rFonts w:ascii="Roboto Mono" w:cs="Roboto Mono" w:eastAsia="Roboto Mono" w:hAnsi="Roboto Mono"/>
                <w:color w:val="188038"/>
                <w:rtl w:val="0"/>
              </w:rPr>
              <w:t xml:space="preserve">fecha_compra &gt; fecha_envio_campana</w:t>
            </w:r>
            <w:r w:rsidDel="00000000" w:rsidR="00000000" w:rsidRPr="00000000">
              <w:rPr>
                <w:rtl w:val="0"/>
              </w:rPr>
              <w:t xml:space="preserve"> para prevenir futuras inserciones anómalas.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productos.csv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márgenes de ganancia están escritos de forma visual (ej. 21.1 para referirse a 21.1%) en lugar de su formato matemático (0.211). Si un analista usa estos datos y multiplica las ventas directamente por 21.1, los reportes financieros mostrarán ganancias irreales y gigantescas.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riesgo alto de sobreestimación financiera. Si un modelo de Machine Learning, un dashboard automatizado o un analista multiplica el volumen de ventas por este valor sin transformarlo (ej. por </w:t>
            </w:r>
            <w:r w:rsidDel="00000000" w:rsidR="00000000" w:rsidRPr="00000000">
              <w:rPr>
                <w:rFonts w:ascii="Roboto Mono" w:cs="Roboto Mono" w:eastAsia="Roboto Mono" w:hAnsi="Roboto Mono"/>
                <w:color w:val="188038"/>
                <w:rtl w:val="0"/>
              </w:rPr>
              <w:t xml:space="preserve">21.1</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0.211</w:t>
            </w:r>
            <w:r w:rsidDel="00000000" w:rsidR="00000000" w:rsidRPr="00000000">
              <w:rPr>
                <w:rtl w:val="0"/>
              </w:rPr>
              <w:t xml:space="preserve">), el margen bruto reportado se multiplicará por 100. Esto genera proyecciones de rentabilidad completamente ficticias y arruina la confiabilidad de cualquier métrica de ingresos.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Conversión matemática:</w:t>
            </w:r>
            <w:r w:rsidDel="00000000" w:rsidR="00000000" w:rsidRPr="00000000">
              <w:rPr>
                <w:rtl w:val="0"/>
              </w:rPr>
              <w:t xml:space="preserve"> Aplicar una fórmula en bloque que divida todos los valores de esa columna entre 100 para estandarizarlos al formato decimal necesario para hacer cálculos.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ejecutó un script en Python (con Pandas) para dividir la columna </w:t>
            </w:r>
            <w:r w:rsidDel="00000000" w:rsidR="00000000" w:rsidRPr="00000000">
              <w:rPr>
                <w:rFonts w:ascii="Roboto Mono" w:cs="Roboto Mono" w:eastAsia="Roboto Mono" w:hAnsi="Roboto Mono"/>
                <w:color w:val="188038"/>
                <w:rtl w:val="0"/>
              </w:rPr>
              <w:t xml:space="preserve">margen_bruto_pct</w:t>
            </w:r>
            <w:r w:rsidDel="00000000" w:rsidR="00000000" w:rsidRPr="00000000">
              <w:rPr>
                <w:rtl w:val="0"/>
              </w:rPr>
              <w:t xml:space="preserve"> entre 100. Esta decisión se tomó porque los modelos de Machine Learning y las herramientas de visualización de datos requieren que los porcentajes estén en formato flotante decimal estandarizado (0.00 a 1.00) para realizar cálculos agregados sin alterar los resultados financieros.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interacciones_crm.csv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Aunque casi todos los problemas de los clientes se resuelven en medio día, hay registros que muestran tiempos de espera de hasta 21 días (518 horas). Esto suele ocurrir por dos razones: o un cliente fue ignorado por casi un mes, o el empleado resolvió el problema pero olvidó darle al botón de "cerrar caso" en 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Contamina los indicadores clave de rendimiento del equipo de soporte. A nivel estadístico, estos valores extremos (hasta 518 horas) arrastran el promedio de tiempo de respuesta hacia arriba, disparando falsas alarmas de ineficiencia. Desde la perspectiva del negocio, si estos registros reflejan la realidad y no un error de sistema (como olvidar cerrar un ticket), evidencian un riesgo crítico de pérdida de clientes por abandono prolongado.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b w:val="1"/>
                <w:bCs w:val="1"/>
                <w:rtl w:val="0"/>
              </w:rPr>
              <w:t xml:space="preserve">Auditoría humana:</w:t>
            </w:r>
            <w:r w:rsidDel="00000000" w:rsidR="00000000" w:rsidRPr="00000000">
              <w:rPr>
                <w:rtl w:val="0"/>
              </w:rPr>
              <w:t xml:space="preserve"> Revisar esos casos extremos. Si el problema fue resuelto rápidamente pero el sistema quedó abierto por error humano, se deben corregir esos tiempos para que las métricas de la empresa no se vean afectadas negativamente.</w:t>
            </w:r>
          </w:p>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Alertas automáticas:</w:t>
            </w:r>
            <w:r w:rsidDel="00000000" w:rsidR="00000000" w:rsidRPr="00000000">
              <w:rPr>
                <w:rtl w:val="0"/>
              </w:rPr>
              <w:t xml:space="preserve"> Implementar un sistema de notificaciones ("semáforo") que alerte a los supervisores de atención al cliente cuando un ticket lleve más de 48 horas sin movimiento.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Dado que no es posible auditar manualmente todos los tickets de 518 horas en esta fase, se decidió imputar estos valores atípicos reemplazándolos por la mediana histórica (12 horas) o marcarlos temporalmente como nulos para el entrenamiento de modelos, evitando así que el sesgo estadístico contamine las predicciones del soporte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transacciones.csv</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productos.csv</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devoluciones.csv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campos transaccionales como </w:t>
            </w:r>
            <w:r w:rsidDel="00000000" w:rsidR="00000000" w:rsidRPr="00000000">
              <w:rPr>
                <w:rFonts w:ascii="Roboto Mono" w:cs="Roboto Mono" w:eastAsia="Roboto Mono" w:hAnsi="Roboto Mono"/>
                <w:color w:val="188038"/>
                <w:rtl w:val="0"/>
              </w:rPr>
              <w:t xml:space="preserve">precio_unitario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monto devuelto</w:t>
            </w:r>
            <w:r w:rsidDel="00000000" w:rsidR="00000000" w:rsidRPr="00000000">
              <w:rPr>
                <w:rtl w:val="0"/>
              </w:rPr>
              <w:t xml:space="preserve"> no especifican la divisa operativa. Aunque el comportamiento de los 24 meses sugiere que están fijados en dólares (USD) por la ausencia de inflación local, la falta de un campo de divisa exige documentar esta asunción técnica en la limpieza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un entorno de dualidad monetaria y fluctuación cambiaria constante como el venezolano, un registro financiero sin especificación de divisa pierde por completo su validez contable e histórica. Asumir incorrectamente la moneda de un registro de hace 24 meses distorsiona diametralmente el análisis financiero: 100 unidades devueltas en bolívares históricos tienen un peso económico insignificante frente a 100 dólares. Esta ambigüedad bloquea la capacidad de auditar las métricas de rentabilidad, imposibilita la conciliación con las pasarelas de pago y expone a la empresa a severas inconsistencias fiscales al momento de justificar los reembolsos ante autoridades tributarias.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b w:val="1"/>
                <w:bCs w:val="1"/>
                <w:rtl w:val="0"/>
              </w:rPr>
              <w:t xml:space="preserve">Inclusión de Tasa de Cambio y Divisa de Origen:</w:t>
            </w:r>
            <w:r w:rsidDel="00000000" w:rsidR="00000000" w:rsidRPr="00000000">
              <w:rPr>
                <w:rtl w:val="0"/>
              </w:rPr>
              <w:t xml:space="preserve"> Agregar dos columnas obligatorias a la estructura de la base de datos: </w:t>
            </w:r>
            <w:r w:rsidDel="00000000" w:rsidR="00000000" w:rsidRPr="00000000">
              <w:rPr>
                <w:rFonts w:ascii="Roboto Mono" w:cs="Roboto Mono" w:eastAsia="Roboto Mono" w:hAnsi="Roboto Mono"/>
                <w:color w:val="188038"/>
                <w:rtl w:val="0"/>
              </w:rPr>
              <w:t xml:space="preserve">divisa_operacion</w:t>
            </w:r>
            <w:r w:rsidDel="00000000" w:rsidR="00000000" w:rsidRPr="00000000">
              <w:rPr>
                <w:rtl w:val="0"/>
              </w:rPr>
              <w:t xml:space="preserve"> (para registrar si el cliente pagó en USD o Bs) y </w:t>
            </w:r>
            <w:r w:rsidDel="00000000" w:rsidR="00000000" w:rsidRPr="00000000">
              <w:rPr>
                <w:rFonts w:ascii="Roboto Mono" w:cs="Roboto Mono" w:eastAsia="Roboto Mono" w:hAnsi="Roboto Mono"/>
                <w:color w:val="188038"/>
                <w:rtl w:val="0"/>
              </w:rPr>
              <w:t xml:space="preserve">tasa_cambio_bcv_dia</w:t>
            </w:r>
            <w:r w:rsidDel="00000000" w:rsidR="00000000" w:rsidRPr="00000000">
              <w:rPr>
                <w:rtl w:val="0"/>
              </w:rPr>
              <w:t xml:space="preserve"> (capturando la tasa oficial del día de la transacción). Esto preserva la fidelidad del dato original, cumple con normativas contables locales y permite a los analistas calcular dinámicamente el valor en la moneda que requiera el reporte.</w:t>
            </w:r>
          </w:p>
          <w:p w:rsidR="00000000" w:rsidDel="00000000" w:rsidP="00000000" w:rsidRDefault="00000000" w:rsidRPr="00000000" w14:paraId="00000028">
            <w:pPr>
              <w:widowControl w:val="0"/>
              <w:spacing w:line="240" w:lineRule="auto"/>
              <w:rPr/>
            </w:pPr>
            <w:r w:rsidDel="00000000" w:rsidR="00000000" w:rsidRPr="00000000">
              <w:rPr>
                <w:b w:val="1"/>
                <w:bCs w:val="1"/>
                <w:rtl w:val="0"/>
              </w:rPr>
              <w:t xml:space="preserve">Estandarización Absoluta a USD (Moneda Fuerte): </w:t>
            </w:r>
            <w:r w:rsidDel="00000000" w:rsidR="00000000" w:rsidRPr="00000000">
              <w:rPr>
                <w:rtl w:val="0"/>
              </w:rPr>
              <w:t xml:space="preserve">Transformar y consolidar todos los campos financieros (monto pagado, monto devuelto, margen) para que se expresen única y exclusivamente en dólares estadounidenses (ej. renombrando la columna a </w:t>
            </w:r>
            <w:r w:rsidDel="00000000" w:rsidR="00000000" w:rsidRPr="00000000">
              <w:rPr>
                <w:rFonts w:ascii="Roboto Mono" w:cs="Roboto Mono" w:eastAsia="Roboto Mono" w:hAnsi="Roboto Mono"/>
                <w:color w:val="188038"/>
                <w:rtl w:val="0"/>
              </w:rPr>
              <w:t xml:space="preserve">monto_devuelto_usd</w:t>
            </w:r>
            <w:r w:rsidDel="00000000" w:rsidR="00000000" w:rsidRPr="00000000">
              <w:rPr>
                <w:rtl w:val="0"/>
              </w:rPr>
              <w:t xml:space="preserve">). Esta solución es ideal si el objetivo principal es el análisis de Machine Learning o Inteligencia de Negocios, ya que elimina el ruido de la inflación local y facilita el análisis de tendencias a largo plazo, asumiendo la conversión previa en la etapa de extracción de datos.</w:t>
            </w:r>
          </w:p>
          <w:p w:rsidR="00000000" w:rsidDel="00000000" w:rsidP="00000000" w:rsidRDefault="00000000" w:rsidRPr="00000000" w14:paraId="0000002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Se decidió renombrar las columnas a </w:t>
            </w:r>
            <w:r w:rsidDel="00000000" w:rsidR="00000000" w:rsidRPr="00000000">
              <w:rPr>
                <w:rFonts w:ascii="Roboto Mono" w:cs="Roboto Mono" w:eastAsia="Roboto Mono" w:hAnsi="Roboto Mono"/>
                <w:color w:val="188038"/>
                <w:rtl w:val="0"/>
              </w:rPr>
              <w:t xml:space="preserve">monto_pagado_usd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costo_usd</w:t>
            </w:r>
            <w:r w:rsidDel="00000000" w:rsidR="00000000" w:rsidRPr="00000000">
              <w:rPr>
                <w:rtl w:val="0"/>
              </w:rPr>
              <w:t xml:space="preserve">, etc. Técnicamente, al ser datos históricos de 24 meses sin hiperinflación reflejada en los montos, se asume matemáticamente la divisa fuerte. Esto optimiza el rendimiento del análisis al evitar joins complejos con tablas de tasas de cambio diarias del BCV, priorizando la velocidad del procesamiento para Inteligencia de Negocios. </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NSbmkr5DeZzFihSCytvePC27oLWizmHd/view?usp=sharing" TargetMode="External"/><Relationship Id="rId10" Type="http://schemas.openxmlformats.org/officeDocument/2006/relationships/hyperlink" Target="https://drive.google.com/file/d/1ESD8APUd0ltiJ9ZODGpc_e1HseMR9Asu/view?usp=sharing" TargetMode="External"/><Relationship Id="rId12" Type="http://schemas.openxmlformats.org/officeDocument/2006/relationships/hyperlink" Target="https://drive.google.com/file/d/14TVY7nhZzrdY8SZceJA0vb8qtDgsOqnc/view?usp=sharing" TargetMode="External"/><Relationship Id="rId9" Type="http://schemas.openxmlformats.org/officeDocument/2006/relationships/hyperlink" Target="https://drive.google.com/file/d/14--vTJD1Xz5N3_xOtyMsjL5SX4rlq5WC/view?usp=sharing" TargetMode="External"/><Relationship Id="rId5" Type="http://schemas.openxmlformats.org/officeDocument/2006/relationships/styles" Target="styles.xml"/><Relationship Id="rId6" Type="http://schemas.openxmlformats.org/officeDocument/2006/relationships/hyperlink" Target="https://drive.google.com/drive/folders/1cOSmtHfVZT7rOVwaVQ5hvQ0JDIawb0q-?usp=sharing" TargetMode="External"/><Relationship Id="rId7" Type="http://schemas.openxmlformats.org/officeDocument/2006/relationships/hyperlink" Target="https://drive.google.com/file/d/1uWw6ke73ndm8kQ5VCFdLG7Fk1v6tESAV/view?usp=sharing" TargetMode="External"/><Relationship Id="rId8" Type="http://schemas.openxmlformats.org/officeDocument/2006/relationships/hyperlink" Target="https://drive.google.com/file/d/1NSbmkr5DeZzFihSCytvePC27oLWizmHd/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