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sz w:val="22"/>
          <w:szCs w:val="22"/>
        </w:rPr>
        <w:t xml:space="preserve"/>
      </w:r>
    </w:p>
    <w:p>
      <w:pPr>
        <w:jc w:val="center"/>
      </w:pPr>
      <w:r>
        <w:rPr>
          <w:rFonts w:ascii="Arial" w:cs="Arial" w:eastAsia="Arial" w:hAnsi="Arial"/>
          <w:b/>
          <w:bCs/>
          <w:color w:val="2E4A8B"/>
          <w:sz w:val="64"/>
          <w:szCs w:val="64"/>
        </w:rPr>
        <w:t xml:space="preserve">SubCube-Factor</w:t>
      </w:r>
    </w:p>
    <w:p>
      <w:pPr>
        <w:spacing w:after="400" w:before="160"/>
        <w:jc w:val="center"/>
      </w:pPr>
      <w:r>
        <w:rPr>
          <w:rFonts w:ascii="Arial" w:cs="Arial" w:eastAsia="Arial" w:hAnsi="Arial"/>
          <w:i/>
          <w:iCs/>
          <w:color w:val="1A6B4A"/>
          <w:sz w:val="30"/>
          <w:szCs w:val="30"/>
        </w:rPr>
        <w:t xml:space="preserve">Heurística de Factorización por Subcubos para k-MIP</w:t>
      </w:r>
    </w:p>
    <w:p>
      <w:pPr>
        <w:pBdr>
          <w:bottom w:val="single" w:color="2E4A8B" w:sz="8" w:space="2"/>
        </w:pBdr>
        <w:spacing w:after="400" w:before="0"/>
        <w:jc w:val="center"/>
      </w:pPr>
      <w:r>
        <w:rPr>
          <w:sz w:val="22"/>
          <w:szCs w:val="22"/>
        </w:rPr>
        <w:t xml:space="preserve"/>
      </w:r>
    </w:p>
    <w:p>
      <w:pPr>
        <w:spacing w:after="100" w:before="200"/>
        <w:jc w:val="center"/>
      </w:pPr>
      <w:r>
        <w:rPr>
          <w:rFonts w:ascii="Arial" w:cs="Arial" w:eastAsia="Arial" w:hAnsi="Arial"/>
          <w:color w:val="444444"/>
          <w:sz w:val="26"/>
          <w:szCs w:val="26"/>
        </w:rPr>
        <w:t xml:space="preserve">Formalización Matemática del Algoritmo</w:t>
      </w:r>
    </w:p>
    <w:p>
      <w:pPr>
        <w:spacing w:after="100" w:before="100"/>
        <w:jc w:val="center"/>
      </w:pPr>
      <w:r>
        <w:rPr>
          <w:rFonts w:ascii="Arial" w:cs="Arial" w:eastAsia="Arial" w:hAnsi="Arial"/>
          <w:color w:val="666666"/>
          <w:sz w:val="22"/>
          <w:szCs w:val="22"/>
        </w:rPr>
        <w:t xml:space="preserve">Análisis y Diseño de Algoritmos — Proyecto KGeoMIP</w:t>
      </w:r>
    </w:p>
    <w:p>
      <w:pPr>
        <w:spacing w:after="2000" w:before="100"/>
        <w:jc w:val="center"/>
      </w:pPr>
      <w:r>
        <w:rPr>
          <w:rFonts w:ascii="Arial" w:cs="Arial" w:eastAsia="Arial" w:hAnsi="Arial"/>
          <w:color w:val="666666"/>
          <w:sz w:val="22"/>
          <w:szCs w:val="22"/>
        </w:rPr>
        <w:t xml:space="preserve">2026-1</w:t>
      </w:r>
    </w:p>
    <w:p>
      <w:r>
        <w:br w:type="page"/>
      </w:r>
    </w:p>
    <w:p>
      <w:pPr>
        <w:pStyle w:val="Heading1"/>
        <w:spacing w:after="180" w:before="360"/>
      </w:pPr>
      <w:r>
        <w:rPr>
          <w:rFonts w:ascii="Arial" w:cs="Arial" w:eastAsia="Arial" w:hAnsi="Arial"/>
          <w:b/>
          <w:bCs/>
          <w:color w:val="2E4A8B"/>
          <w:sz w:val="32"/>
          <w:szCs w:val="32"/>
        </w:rPr>
        <w:t xml:space="preserve">1. Contexto y Motivación</w:t>
      </w:r>
    </w:p>
    <w:p>
      <w:pPr>
        <w:spacing w:after="100" w:before="100"/>
        <w:jc w:val="both"/>
      </w:pPr>
      <w:r>
        <w:rPr>
          <w:rFonts w:ascii="Arial" w:cs="Arial" w:eastAsia="Arial" w:hAnsi="Arial"/>
          <w:sz w:val="22"/>
          <w:szCs w:val="22"/>
        </w:rPr>
        <w:t xml:space="preserve">El problema de la Partición de Mínima Información (MIP) consiste en encontrar la k-partición de un sistema V que minimice la discrepancia entre la dinámica original del sistema y la dinámica reconstruida a partir de sus partes independientes. Las estrategias previas (QNodes, GeoMIP) resuelven el caso k=2 con reducciones significativas de complejidad, pero el caso general k ≥ 2 requiere nuevas heurísticas.</w:t>
      </w:r>
    </w:p>
    <w:p>
      <w:pPr>
        <w:spacing w:after="100" w:before="100"/>
        <w:jc w:val="both"/>
      </w:pPr>
      <w:r>
        <w:rPr>
          <w:rFonts w:ascii="Arial" w:cs="Arial" w:eastAsia="Arial" w:hAnsi="Arial"/>
          <w:sz w:val="22"/>
          <w:szCs w:val="22"/>
        </w:rPr>
        <w:t xml:space="preserve">SubCube-Factor es una heurística geométrica que extiende GeoMIP al caso k-partito, aprovechando una descomposición local del hipercubo n-dimensional en subcubos de dimensión d &lt; n para reducir el costo computacional de la búsqueda de particiones óptimas.</w:t>
      </w:r>
    </w:p>
    <w:p>
      <w:pPr>
        <w:spacing w:after="60" w:before="60"/>
      </w:pPr>
      <w:r>
        <w:t xml:space="preserve"/>
      </w:r>
    </w:p>
    <w:p>
      <w:pPr>
        <w:pStyle w:val="Heading1"/>
        <w:spacing w:after="180" w:before="360"/>
      </w:pPr>
      <w:r>
        <w:rPr>
          <w:rFonts w:ascii="Arial" w:cs="Arial" w:eastAsia="Arial" w:hAnsi="Arial"/>
          <w:b/>
          <w:bCs/>
          <w:color w:val="2E4A8B"/>
          <w:sz w:val="32"/>
          <w:szCs w:val="32"/>
        </w:rPr>
        <w:t xml:space="preserve">2. Definiciones Fundamentales</w:t>
      </w:r>
    </w:p>
    <w:p>
      <w:pPr>
        <w:pStyle w:val="Heading2"/>
        <w:spacing w:after="140" w:before="280"/>
      </w:pPr>
      <w:r>
        <w:rPr>
          <w:rFonts w:ascii="Arial" w:cs="Arial" w:eastAsia="Arial" w:hAnsi="Arial"/>
          <w:b/>
          <w:bCs/>
          <w:color w:val="1A6B4A"/>
          <w:sz w:val="26"/>
          <w:szCs w:val="26"/>
        </w:rPr>
        <w:t xml:space="preserve">2.1 Sistema y espacio de estados</w:t>
      </w:r>
    </w:p>
    <w:p>
      <w:pPr>
        <w:spacing w:after="100" w:before="100"/>
        <w:jc w:val="both"/>
      </w:pPr>
      <w:r>
        <w:rPr>
          <w:rFonts w:ascii="Arial" w:cs="Arial" w:eastAsia="Arial" w:hAnsi="Arial"/>
          <w:sz w:val="22"/>
          <w:szCs w:val="22"/>
        </w:rPr>
        <w:t xml:space="preserve">Sea V = {X₁, X₂, ..., Xₙ} un sistema de n variables binarias. El espacio de estados del sistema es {0,1}ⁿ, con cardinalidad 2ⁿ. La dinámica del sistema queda completamente caracterizada por su Matriz de Probabilidad de Transición (TPM):</w:t>
      </w:r>
    </w:p>
    <w:p>
      <w:pPr>
        <w:pBdr>
          <w:left w:val="single" w:color="2E4A8B" w:sz="4" w:space="10"/>
        </w:pBdr>
        <w:spacing w:after="160" w:before="160"/>
        <w:ind w:left="720"/>
        <w:jc w:val="center"/>
      </w:pPr>
      <w:r>
        <w:rPr>
          <w:rFonts w:ascii="Courier New" w:cs="Courier New" w:eastAsia="Courier New" w:hAnsi="Courier New"/>
          <w:color w:val="1A1A6B"/>
          <w:sz w:val="20"/>
          <w:szCs w:val="20"/>
        </w:rPr>
        <w:t xml:space="preserve">T : {0,1}ⁿ × {0,1}ⁿ → [0,1]    tal que    T[s, s'] = P(Vₜ₊₁ = s' | Vₜ = s)</w:t>
      </w:r>
    </w:p>
    <w:p>
      <w:pPr>
        <w:spacing w:after="100" w:before="100"/>
        <w:jc w:val="both"/>
      </w:pPr>
      <w:r>
        <w:rPr>
          <w:rFonts w:ascii="Arial" w:cs="Arial" w:eastAsia="Arial" w:hAnsi="Arial"/>
          <w:sz w:val="22"/>
          <w:szCs w:val="22"/>
        </w:rPr>
        <w:t xml:space="preserve">Cada variable Xᵢ en t+1 es representable individualmente como un tensor elemental:</w:t>
      </w:r>
    </w:p>
    <w:p>
      <w:pPr>
        <w:pBdr>
          <w:left w:val="single" w:color="2E4A8B" w:sz="4" w:space="10"/>
        </w:pBdr>
        <w:spacing w:after="160" w:before="160"/>
        <w:ind w:left="720"/>
        <w:jc w:val="center"/>
      </w:pPr>
      <w:r>
        <w:rPr>
          <w:rFonts w:ascii="Courier New" w:cs="Courier New" w:eastAsia="Courier New" w:hAnsi="Courier New"/>
          <w:color w:val="1A1A6B"/>
          <w:sz w:val="20"/>
          <w:szCs w:val="20"/>
        </w:rPr>
        <w:t xml:space="preserve">τᵢ : {0,1}ⁿ → [0,1]    donde    τᵢ(s) = P(Xᵢₜ₊₁ = 1 | Vₜ = s)</w:t>
      </w:r>
    </w:p>
    <w:p>
      <w:pPr>
        <w:spacing w:after="60" w:before="60"/>
      </w:pPr>
      <w:r>
        <w:t xml:space="preserve"/>
      </w:r>
    </w:p>
    <w:p>
      <w:pPr>
        <w:pStyle w:val="Heading2"/>
        <w:spacing w:after="140" w:before="280"/>
      </w:pPr>
      <w:r>
        <w:rPr>
          <w:rFonts w:ascii="Arial" w:cs="Arial" w:eastAsia="Arial" w:hAnsi="Arial"/>
          <w:b/>
          <w:bCs/>
          <w:color w:val="1A6B4A"/>
          <w:sz w:val="26"/>
          <w:szCs w:val="26"/>
        </w:rPr>
        <w:t xml:space="preserve">2.2 Hipercubo n-dimensional y función de costo GeoMIP</w:t>
      </w:r>
    </w:p>
    <w:p>
      <w:pPr>
        <w:spacing w:after="100" w:before="100"/>
        <w:jc w:val="both"/>
      </w:pPr>
      <w:r>
        <w:rPr>
          <w:rFonts w:ascii="Arial" w:cs="Arial" w:eastAsia="Arial" w:hAnsi="Arial"/>
          <w:sz w:val="22"/>
          <w:szCs w:val="22"/>
        </w:rPr>
        <w:t xml:space="preserve">Existe una biyección natural β : {0,1}ⁿ → ℝⁿ que mapea cada estado binario a un vértice del hipercubo unitario. La distancia de Hamming entre estados induce la métrica topológica del hipercubo:</w:t>
      </w:r>
    </w:p>
    <w:p>
      <w:pPr>
        <w:pBdr>
          <w:left w:val="single" w:color="2E4A8B" w:sz="4" w:space="10"/>
        </w:pBdr>
        <w:spacing w:after="160" w:before="160"/>
        <w:ind w:left="720"/>
        <w:jc w:val="center"/>
      </w:pPr>
      <w:r>
        <w:rPr>
          <w:rFonts w:ascii="Courier New" w:cs="Courier New" w:eastAsia="Courier New" w:hAnsi="Courier New"/>
          <w:color w:val="1A1A6B"/>
          <w:sz w:val="20"/>
          <w:szCs w:val="20"/>
        </w:rPr>
        <w:t xml:space="preserve">dH(s, s') = Σᵢ sᵢ ⊕ s'ᵢ    (número de bits distintos)</w:t>
      </w:r>
    </w:p>
    <w:p>
      <w:pPr>
        <w:spacing w:after="100" w:before="100"/>
        <w:jc w:val="both"/>
      </w:pPr>
      <w:r>
        <w:rPr>
          <w:rFonts w:ascii="Arial" w:cs="Arial" w:eastAsia="Arial" w:hAnsi="Arial"/>
          <w:sz w:val="22"/>
          <w:szCs w:val="22"/>
        </w:rPr>
        <w:t xml:space="preserve">GeoMIP define la función de costo de transición entre estados i, j del sistema para una variable X como:</w:t>
      </w:r>
    </w:p>
    <w:p>
      <w:pPr>
        <w:pBdr>
          <w:left w:val="single" w:color="2E4A8B" w:sz="4" w:space="10"/>
        </w:pBdr>
        <w:spacing w:after="160" w:before="160"/>
        <w:ind w:left="720"/>
        <w:jc w:val="center"/>
      </w:pPr>
      <w:r>
        <w:rPr>
          <w:rFonts w:ascii="Courier New" w:cs="Courier New" w:eastAsia="Courier New" w:hAnsi="Courier New"/>
          <w:color w:val="1A1A6B"/>
          <w:sz w:val="20"/>
          <w:szCs w:val="20"/>
        </w:rPr>
        <w:t xml:space="preserve">tₓ(i, j) = γ · ( |X[i] − X[j]| + Σ_{k ∈ N(i,j)} tₓ(k, j) )</w:t>
      </w:r>
    </w:p>
    <w:p>
      <w:pPr>
        <w:spacing w:after="100" w:before="100"/>
        <w:jc w:val="both"/>
      </w:pPr>
      <w:r>
        <w:rPr>
          <w:rFonts w:ascii="Arial" w:cs="Arial" w:eastAsia="Arial" w:hAnsi="Arial"/>
          <w:sz w:val="22"/>
          <w:szCs w:val="22"/>
        </w:rPr>
        <w:t xml:space="preserve">donde </w:t>
      </w:r>
      <w:r>
        <w:rPr>
          <w:rFonts w:ascii="Courier New" w:cs="Courier New" w:eastAsia="Courier New" w:hAnsi="Courier New"/>
          <w:color w:val="1A1A6B"/>
          <w:sz w:val="20"/>
          <w:szCs w:val="20"/>
        </w:rPr>
        <w:t xml:space="preserve">γ = 2⁻ᵈᴴ⁽ⁱ'ʲ⁾</w:t>
      </w:r>
      <w:r>
        <w:rPr>
          <w:rFonts w:ascii="Arial" w:cs="Arial" w:eastAsia="Arial" w:hAnsi="Arial"/>
          <w:sz w:val="22"/>
          <w:szCs w:val="22"/>
        </w:rPr>
        <w:t xml:space="preserve"> y N(i,j) son los vecinos de i en caminos óptimos hacia j dentro del hipercubo.</w:t>
      </w:r>
    </w:p>
    <w:p>
      <w:pPr>
        <w:spacing w:after="60" w:before="60"/>
      </w:pPr>
      <w:r>
        <w:t xml:space="preserve"/>
      </w:r>
    </w:p>
    <w:p>
      <w:pPr>
        <w:pStyle w:val="Heading2"/>
        <w:spacing w:after="140" w:before="280"/>
      </w:pPr>
      <w:r>
        <w:rPr>
          <w:rFonts w:ascii="Arial" w:cs="Arial" w:eastAsia="Arial" w:hAnsi="Arial"/>
          <w:b/>
          <w:bCs/>
          <w:color w:val="1A6B4A"/>
          <w:sz w:val="26"/>
          <w:szCs w:val="26"/>
        </w:rPr>
        <w:t xml:space="preserve">2.3 k-Partición y función de pérdida</w:t>
      </w:r>
    </w:p>
    <w:p>
      <w:pPr>
        <w:spacing w:after="100" w:before="100"/>
        <w:jc w:val="both"/>
      </w:pPr>
      <w:r>
        <w:rPr>
          <w:rFonts w:ascii="Arial" w:cs="Arial" w:eastAsia="Arial" w:hAnsi="Arial"/>
          <w:sz w:val="22"/>
          <w:szCs w:val="22"/>
        </w:rPr>
        <w:t xml:space="preserve">Una k-partición de V es una familia {S₁, S₂, ..., Sₖ} tal que Sᵢ ∩ Sⱼ = ∅ para i ≠ j y S₁ ∪ ... ∪ Sₖ = V. La pérdida asociada se mide como:</w:t>
      </w:r>
    </w:p>
    <w:p>
      <w:pPr>
        <w:pBdr>
          <w:left w:val="single" w:color="2E4A8B" w:sz="4" w:space="10"/>
        </w:pBdr>
        <w:spacing w:after="160" w:before="160"/>
        <w:ind w:left="720"/>
        <w:jc w:val="center"/>
      </w:pPr>
      <w:r>
        <w:rPr>
          <w:rFonts w:ascii="Courier New" w:cs="Courier New" w:eastAsia="Courier New" w:hAnsi="Courier New"/>
          <w:color w:val="1A1A6B"/>
          <w:sz w:val="20"/>
          <w:szCs w:val="20"/>
        </w:rPr>
        <w:t xml:space="preserve">δₖ(V, {S₁,...,Sₖ}) = EMD( P(Vₜ₊₁|Vₜ),  ⊗ᵢ P(Sᵢ,ₜ₊₁|Sᵢ,ₜ) )</w:t>
      </w:r>
    </w:p>
    <w:p>
      <w:pPr>
        <w:spacing w:after="100" w:before="100"/>
        <w:jc w:val="both"/>
      </w:pPr>
      <w:r>
        <w:rPr>
          <w:rFonts w:ascii="Arial" w:cs="Arial" w:eastAsia="Arial" w:hAnsi="Arial"/>
          <w:sz w:val="22"/>
          <w:szCs w:val="22"/>
        </w:rPr>
        <w:t xml:space="preserve">El objetivo del problema k-MIP es encontrar la partición óptima:</w:t>
      </w:r>
    </w:p>
    <w:p>
      <w:pPr>
        <w:pBdr>
          <w:left w:val="single" w:color="2E4A8B" w:sz="4" w:space="10"/>
        </w:pBdr>
        <w:spacing w:after="160" w:before="160"/>
        <w:ind w:left="720"/>
        <w:jc w:val="center"/>
      </w:pPr>
      <w:r>
        <w:rPr>
          <w:rFonts w:ascii="Courier New" w:cs="Courier New" w:eastAsia="Courier New" w:hAnsi="Courier New"/>
          <w:color w:val="1A1A6B"/>
          <w:sz w:val="20"/>
          <w:szCs w:val="20"/>
        </w:rPr>
        <w:t xml:space="preserve">k-MIP*(V) = argmin_{{S₁,...,Sₖ}} δₖ(V, {S₁,...,Sₖ})</w:t>
      </w:r>
    </w:p>
    <w:p>
      <w:pPr>
        <w:spacing w:after="60" w:before="60"/>
      </w:pPr>
      <w:r>
        <w:t xml:space="preserve"/>
      </w:r>
    </w:p>
    <w:p>
      <w:pPr>
        <w:pBdr>
          <w:bottom w:val="single" w:color="CCCCCC" w:sz="4" w:space="1"/>
        </w:pBdr>
        <w:spacing w:after="200" w:before="200"/>
      </w:pPr>
      <w:r>
        <w:t xml:space="preserve"/>
      </w:r>
    </w:p>
    <w:p>
      <w:pPr>
        <w:pStyle w:val="Heading1"/>
        <w:spacing w:after="180" w:before="360"/>
      </w:pPr>
      <w:r>
        <w:rPr>
          <w:rFonts w:ascii="Arial" w:cs="Arial" w:eastAsia="Arial" w:hAnsi="Arial"/>
          <w:b/>
          <w:bCs/>
          <w:color w:val="2E4A8B"/>
          <w:sz w:val="32"/>
          <w:szCs w:val="32"/>
        </w:rPr>
        <w:t xml:space="preserve">3. SubCube-Factor: Principio Fundamental</w:t>
      </w:r>
    </w:p>
    <w:p>
      <w:pPr>
        <w:pStyle w:val="Heading2"/>
        <w:spacing w:after="140" w:before="280"/>
      </w:pPr>
      <w:r>
        <w:rPr>
          <w:rFonts w:ascii="Arial" w:cs="Arial" w:eastAsia="Arial" w:hAnsi="Arial"/>
          <w:b/>
          <w:bCs/>
          <w:color w:val="1A6B4A"/>
          <w:sz w:val="26"/>
          <w:szCs w:val="26"/>
        </w:rPr>
        <w:t xml:space="preserve">3.1 Motivación geométrica</w:t>
      </w:r>
    </w:p>
    <w:p>
      <w:pPr>
        <w:spacing w:after="100" w:before="100"/>
        <w:jc w:val="both"/>
      </w:pPr>
      <w:r>
        <w:rPr>
          <w:rFonts w:ascii="Arial" w:cs="Arial" w:eastAsia="Arial" w:hAnsi="Arial"/>
          <w:sz w:val="22"/>
          <w:szCs w:val="22"/>
        </w:rPr>
        <w:t xml:space="preserve">GeoMIP calcula la tabla de costos T sobre todos los 2ⁿ estados simultáneamente (costo O(n · 2ⁿ)) y luego busca biparticiones por complementariedad global. Para k &gt; 2, el espacio de búsqueda crece según los números de Stirling del segundo tipo S(n,k), haciendo inviable la evaluación exhaustiva.</w:t>
      </w:r>
    </w:p>
    <w:p>
      <w:pPr>
        <w:spacing w:after="100" w:before="100"/>
        <w:jc w:val="both"/>
      </w:pPr>
      <w:r>
        <w:rPr>
          <w:rFonts w:ascii="Arial" w:cs="Arial" w:eastAsia="Arial" w:hAnsi="Arial"/>
          <w:sz w:val="22"/>
          <w:szCs w:val="22"/>
        </w:rPr>
        <w:t xml:space="preserve">La observación clave de SubCube-Factor es la siguiente:</w:t>
      </w:r>
    </w:p>
    <w:p>
      <w:pPr>
        <w:spacing w:after="100" w:before="100"/>
        <w:jc w:val="both"/>
      </w:pPr>
      <w:r>
        <w:rPr>
          <w:rFonts w:ascii="Arial" w:cs="Arial" w:eastAsia="Arial" w:hAnsi="Arial"/>
          <w:b/>
          <w:bCs/>
          <w:sz w:val="22"/>
          <w:szCs w:val="22"/>
        </w:rPr>
        <w:t xml:space="preserve">Hipótesis de Localidad: </w:t>
      </w:r>
      <w:r>
        <w:rPr>
          <w:rFonts w:ascii="Arial" w:cs="Arial" w:eastAsia="Arial" w:hAnsi="Arial"/>
          <w:i/>
          <w:iCs/>
          <w:sz w:val="22"/>
          <w:szCs w:val="22"/>
        </w:rPr>
        <w:t xml:space="preserve">variables que presentan bajo costo de transición dentro de múltiples subcubos son candidatas naturales a pertenecer a la misma parte de la k-partición óptima.</w:t>
      </w:r>
    </w:p>
    <w:p>
      <w:pPr>
        <w:spacing w:after="60" w:before="60"/>
      </w:pPr>
      <w:r>
        <w:t xml:space="preserve"/>
      </w:r>
    </w:p>
    <w:p>
      <w:pPr>
        <w:pStyle w:val="Heading2"/>
        <w:spacing w:after="140" w:before="280"/>
      </w:pPr>
      <w:r>
        <w:rPr>
          <w:rFonts w:ascii="Arial" w:cs="Arial" w:eastAsia="Arial" w:hAnsi="Arial"/>
          <w:b/>
          <w:bCs/>
          <w:color w:val="1A6B4A"/>
          <w:sz w:val="26"/>
          <w:szCs w:val="26"/>
        </w:rPr>
        <w:t xml:space="preserve">3.2 Descomposición del hipercubo en subcubos</w:t>
      </w:r>
    </w:p>
    <w:p>
      <w:pPr>
        <w:spacing w:after="100" w:before="100"/>
        <w:jc w:val="both"/>
      </w:pPr>
      <w:r>
        <w:rPr>
          <w:rFonts w:ascii="Arial" w:cs="Arial" w:eastAsia="Arial" w:hAnsi="Arial"/>
          <w:sz w:val="22"/>
          <w:szCs w:val="22"/>
        </w:rPr>
        <w:t xml:space="preserve">Dado el hipercubo Hₙ de dimensión n y un parámetro de corte d (con 1 ≤ d &lt; n), se define la descomposición en subcubos como sigue.</w:t>
      </w:r>
    </w:p>
    <w:p>
      <w:pPr>
        <w:spacing w:after="100" w:before="100"/>
        <w:jc w:val="both"/>
      </w:pPr>
      <w:r>
        <w:rPr>
          <w:rFonts w:ascii="Arial" w:cs="Arial" w:eastAsia="Arial" w:hAnsi="Arial"/>
          <w:sz w:val="22"/>
          <w:szCs w:val="22"/>
        </w:rPr>
        <w:t xml:space="preserve">Para un subconjunto de dimensiones fijas F ⊆ {1,...,n} con |F| = n − d, y una asignación de valores bₓ ∈ {0,1} para cada x ∈ F, se define el subcubo:</w:t>
      </w:r>
    </w:p>
    <w:p>
      <w:pPr>
        <w:pBdr>
          <w:left w:val="single" w:color="2E4A8B" w:sz="4" w:space="10"/>
        </w:pBdr>
        <w:spacing w:after="160" w:before="160"/>
        <w:ind w:left="720"/>
        <w:jc w:val="center"/>
      </w:pPr>
      <w:r>
        <w:rPr>
          <w:rFonts w:ascii="Courier New" w:cs="Courier New" w:eastAsia="Courier New" w:hAnsi="Courier New"/>
          <w:color w:val="1A1A6B"/>
          <w:sz w:val="20"/>
          <w:szCs w:val="20"/>
        </w:rPr>
        <w:t xml:space="preserve">C(F, b) = { s ∈ {0,1}ⁿ | sₓ = bₓ  ∀x ∈ F }</w:t>
      </w:r>
    </w:p>
    <w:p>
      <w:pPr>
        <w:spacing w:after="100" w:before="100"/>
        <w:jc w:val="both"/>
      </w:pPr>
      <w:r>
        <w:rPr>
          <w:rFonts w:ascii="Arial" w:cs="Arial" w:eastAsia="Arial" w:hAnsi="Arial"/>
          <w:sz w:val="22"/>
          <w:szCs w:val="22"/>
        </w:rPr>
        <w:t xml:space="preserve">Este subcubo contiene exactamente 2ᵈ vértices y es isomorfo a Hᵈ. El conjunto de todos los subcubos de esta descomposición es:</w:t>
      </w:r>
    </w:p>
    <w:p>
      <w:pPr>
        <w:pBdr>
          <w:left w:val="single" w:color="2E4A8B" w:sz="4" w:space="10"/>
        </w:pBdr>
        <w:spacing w:after="160" w:before="160"/>
        <w:ind w:left="720"/>
        <w:jc w:val="center"/>
      </w:pPr>
      <w:r>
        <w:rPr>
          <w:rFonts w:ascii="Courier New" w:cs="Courier New" w:eastAsia="Courier New" w:hAnsi="Courier New"/>
          <w:color w:val="1A1A6B"/>
          <w:sz w:val="20"/>
          <w:szCs w:val="20"/>
        </w:rPr>
        <w:t xml:space="preserve">𝒞(d) = { C(F, b) | b ∈ {0,1}^{n−d} }    con  |𝒞(d)| = 2^{n−d}</w:t>
      </w:r>
    </w:p>
    <w:p>
      <w:pPr>
        <w:spacing w:after="80" w:before="80"/>
        <w:ind w:left="720"/>
      </w:pPr>
      <w:r>
        <w:rPr>
          <w:rFonts w:ascii="Arial" w:cs="Arial" w:eastAsia="Arial" w:hAnsi="Arial"/>
          <w:i/>
          <w:iCs/>
          <w:color w:val="555555"/>
          <w:sz w:val="20"/>
          <w:szCs w:val="20"/>
        </w:rPr>
        <w:t xml:space="preserve">📌 Cada subcubo C(F,b) corresponde a fijar las coordenadas de las variables en F y dejar libres las d dimensiones restantes. Los subcubos de 𝒞(d) son disjuntos y cubren todo {0,1}ⁿ.</w:t>
      </w:r>
    </w:p>
    <w:p>
      <w:pPr>
        <w:spacing w:after="60" w:before="60"/>
      </w:pPr>
      <w:r>
        <w:t xml:space="preserve"/>
      </w:r>
    </w:p>
    <w:p>
      <w:pPr>
        <w:pStyle w:val="Heading2"/>
        <w:spacing w:after="140" w:before="280"/>
      </w:pPr>
      <w:r>
        <w:rPr>
          <w:rFonts w:ascii="Arial" w:cs="Arial" w:eastAsia="Arial" w:hAnsi="Arial"/>
          <w:b/>
          <w:bCs/>
          <w:color w:val="1A6B4A"/>
          <w:sz w:val="26"/>
          <w:szCs w:val="26"/>
        </w:rPr>
        <w:t xml:space="preserve">3.3 Costo local en un subcubo</w:t>
      </w:r>
    </w:p>
    <w:p>
      <w:pPr>
        <w:spacing w:after="100" w:before="100"/>
        <w:jc w:val="both"/>
      </w:pPr>
      <w:r>
        <w:rPr>
          <w:rFonts w:ascii="Arial" w:cs="Arial" w:eastAsia="Arial" w:hAnsi="Arial"/>
          <w:sz w:val="22"/>
          <w:szCs w:val="22"/>
        </w:rPr>
        <w:t xml:space="preserve">Para cada subcubo C ∈ 𝒞(d) y cada variable Xᵢ, se define la tabla de costos local como la restricción de la función de costo GeoMIP al subcubo:</w:t>
      </w:r>
    </w:p>
    <w:p>
      <w:pPr>
        <w:pBdr>
          <w:left w:val="single" w:color="2E4A8B" w:sz="4" w:space="10"/>
        </w:pBdr>
        <w:spacing w:after="160" w:before="160"/>
        <w:ind w:left="720"/>
        <w:jc w:val="center"/>
      </w:pPr>
      <w:r>
        <w:rPr>
          <w:rFonts w:ascii="Courier New" w:cs="Courier New" w:eastAsia="Courier New" w:hAnsi="Courier New"/>
          <w:color w:val="1A1A6B"/>
          <w:sz w:val="20"/>
          <w:szCs w:val="20"/>
        </w:rPr>
        <w:t xml:space="preserve">T_loc^{Xᵢ}(C)[i,j] = tₓᵢ(i, j)    ∀i,j ∈ C</w:t>
      </w:r>
    </w:p>
    <w:p>
      <w:pPr>
        <w:spacing w:after="100" w:before="100"/>
        <w:jc w:val="both"/>
      </w:pPr>
      <w:r>
        <w:rPr>
          <w:rFonts w:ascii="Arial" w:cs="Arial" w:eastAsia="Arial" w:hAnsi="Arial"/>
          <w:sz w:val="22"/>
          <w:szCs w:val="22"/>
        </w:rPr>
        <w:t xml:space="preserve">El costo global de transición entre dos estados i,j arbitrarios en Hₙ se puede aproximar por la suma ponderada de los costos locales en los subcubos que los contienen. Si i y j pertenecen al mismo subcubo C (dH(i,j) ≤ d), el costo local es exacto. Si no pertenecen al mismo subcubo, se estima por caminos que atraviesan fronteras entre subcubos.</w:t>
      </w:r>
    </w:p>
    <w:p>
      <w:pPr>
        <w:spacing w:after="60" w:before="60"/>
      </w:pPr>
      <w:r>
        <w:t xml:space="preserve"/>
      </w:r>
    </w:p>
    <w:p>
      <w:pPr>
        <w:pBdr>
          <w:bottom w:val="single" w:color="CCCCCC" w:sz="4" w:space="1"/>
        </w:pBdr>
        <w:spacing w:after="200" w:before="200"/>
      </w:pPr>
      <w:r>
        <w:t xml:space="preserve"/>
      </w:r>
    </w:p>
    <w:p>
      <w:pPr>
        <w:pStyle w:val="Heading1"/>
        <w:spacing w:after="180" w:before="360"/>
      </w:pPr>
      <w:r>
        <w:rPr>
          <w:rFonts w:ascii="Arial" w:cs="Arial" w:eastAsia="Arial" w:hAnsi="Arial"/>
          <w:b/>
          <w:bCs/>
          <w:color w:val="2E4A8B"/>
          <w:sz w:val="32"/>
          <w:szCs w:val="32"/>
        </w:rPr>
        <w:t xml:space="preserve">4. Algoritmo SubCube-Factor</w:t>
      </w:r>
    </w:p>
    <w:p>
      <w:pPr>
        <w:pStyle w:val="Heading2"/>
        <w:spacing w:after="140" w:before="280"/>
      </w:pPr>
      <w:r>
        <w:rPr>
          <w:rFonts w:ascii="Arial" w:cs="Arial" w:eastAsia="Arial" w:hAnsi="Arial"/>
          <w:b/>
          <w:bCs/>
          <w:color w:val="1A6B4A"/>
          <w:sz w:val="26"/>
          <w:szCs w:val="26"/>
        </w:rPr>
        <w:t xml:space="preserve">4.1 Esquema general (dos fases)</w:t>
      </w:r>
    </w:p>
    <w:p>
      <w:pPr>
        <w:spacing w:after="100" w:before="100"/>
        <w:jc w:val="both"/>
      </w:pPr>
      <w:r>
        <w:rPr>
          <w:rFonts w:ascii="Arial" w:cs="Arial" w:eastAsia="Arial" w:hAnsi="Arial"/>
          <w:sz w:val="22"/>
          <w:szCs w:val="22"/>
        </w:rPr>
        <w:t xml:space="preserve">El algoritmo opera en dos fases principales: una fase de análisis local (construcción de tablas de costos por subcubo) y una fase de agregación global (síntesis de candidatos a k-partición).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E4A8B" w:sz="1"/>
              <w:left w:val="single" w:color="2E4A8B" w:sz="1"/>
              <w:bottom w:val="single" w:color="2E4A8B" w:sz="1"/>
              <w:right w:val="single" w:color="2E4A8B" w:sz="1"/>
            </w:tcBorders>
            <w:shd w:fill="2E4A8B" w:val="clear"/>
            <w:tcMar>
              <w:top w:type="dxa" w:w="100"/>
              <w:left w:type="dxa" w:w="150"/>
              <w:bottom w:type="dxa" w:w="100"/>
              <w:right w:type="dxa" w:w="150"/>
            </w:tcMar>
          </w:tcPr>
          <w:p>
            <w:r>
              <w:rPr>
                <w:rFonts w:ascii="Arial" w:cs="Arial" w:eastAsia="Arial" w:hAnsi="Arial"/>
                <w:b/>
                <w:bCs/>
                <w:color w:val="FFFFFF"/>
                <w:sz w:val="20"/>
                <w:szCs w:val="20"/>
              </w:rPr>
              <w:t xml:space="preserve">Fase</w:t>
            </w:r>
          </w:p>
        </w:tc>
        <w:tc>
          <w:tcPr>
            <w:tcW w:type="dxa" w:w="7860"/>
            <w:tcBorders>
              <w:top w:val="single" w:color="2E4A8B" w:sz="1"/>
              <w:left w:val="single" w:color="2E4A8B" w:sz="1"/>
              <w:bottom w:val="single" w:color="2E4A8B" w:sz="1"/>
              <w:right w:val="single" w:color="2E4A8B" w:sz="1"/>
            </w:tcBorders>
            <w:shd w:fill="2E4A8B" w:val="clear"/>
            <w:tcMar>
              <w:top w:type="dxa" w:w="100"/>
              <w:left w:type="dxa" w:w="150"/>
              <w:bottom w:type="dxa" w:w="100"/>
              <w:right w:type="dxa" w:w="150"/>
            </w:tcMar>
          </w:tcPr>
          <w:p>
            <w:r>
              <w:rPr>
                <w:rFonts w:ascii="Arial" w:cs="Arial" w:eastAsia="Arial" w:hAnsi="Arial"/>
                <w:b/>
                <w:bCs/>
                <w:color w:val="FFFFFF"/>
                <w:sz w:val="20"/>
                <w:szCs w:val="20"/>
              </w:rPr>
              <w:t xml:space="preserve">Descripción</w:t>
            </w:r>
          </w:p>
        </w:tc>
      </w:tr>
      <w:tr>
        <w:tc>
          <w:tcPr>
            <w:tcW w:type="dxa" w:w="15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sz w:val="20"/>
                <w:szCs w:val="20"/>
              </w:rPr>
              <w:t xml:space="preserve">Fase 1</w:t>
            </w:r>
          </w:p>
        </w:tc>
        <w:tc>
          <w:tcPr>
            <w:tcW w:type="dxa" w:w="7860"/>
            <w:tcBorders>
              <w:top w:val="single" w:color="CCCCCC" w:sz="1"/>
              <w:left w:val="single" w:color="CCCCCC" w:sz="1"/>
              <w:bottom w:val="single" w:color="CCCCCC" w:sz="1"/>
              <w:right w:val="single" w:color="CCCCCC" w:sz="1"/>
            </w:tcBorders>
            <w:shd w:fill="F5F8FE" w:val="clear"/>
            <w:tcMar>
              <w:top w:type="dxa" w:w="80"/>
              <w:left w:type="dxa" w:w="120"/>
              <w:bottom w:type="dxa" w:w="80"/>
              <w:right w:type="dxa" w:w="120"/>
            </w:tcMar>
          </w:tcPr>
          <w:p>
            <w:r>
              <w:rPr>
                <w:rFonts w:ascii="Arial" w:cs="Arial" w:eastAsia="Arial" w:hAnsi="Arial"/>
                <w:sz w:val="20"/>
                <w:szCs w:val="20"/>
              </w:rPr>
              <w:t xml:space="preserve">Descomposición: calcular tablas de costo locales para cada subcubo de 𝒞(d)</w:t>
            </w:r>
          </w:p>
        </w:tc>
      </w:tr>
      <w:tr>
        <w:tc>
          <w:tcPr>
            <w:tcW w:type="dxa" w:w="1500"/>
            <w:tcBorders>
              <w:top w:val="single" w:color="CCCCCC" w:sz="1"/>
              <w:left w:val="single" w:color="CCCCCC" w:sz="1"/>
              <w:bottom w:val="single" w:color="CCCCCC" w:sz="1"/>
              <w:right w:val="single" w:color="CCCCCC" w:sz="1"/>
            </w:tcBorders>
            <w:shd w:fill="EAF5EE" w:val="clear"/>
            <w:tcMar>
              <w:top w:type="dxa" w:w="80"/>
              <w:left w:type="dxa" w:w="120"/>
              <w:bottom w:type="dxa" w:w="80"/>
              <w:right w:type="dxa" w:w="120"/>
            </w:tcMar>
          </w:tcPr>
          <w:p>
            <w:r>
              <w:rPr>
                <w:rFonts w:ascii="Arial" w:cs="Arial" w:eastAsia="Arial" w:hAnsi="Arial"/>
                <w:sz w:val="20"/>
                <w:szCs w:val="20"/>
              </w:rPr>
              <w:t xml:space="preserve">Fase 2</w:t>
            </w:r>
          </w:p>
        </w:tc>
        <w:tc>
          <w:tcPr>
            <w:tcW w:type="dxa" w:w="7860"/>
            <w:tcBorders>
              <w:top w:val="single" w:color="CCCCCC" w:sz="1"/>
              <w:left w:val="single" w:color="CCCCCC" w:sz="1"/>
              <w:bottom w:val="single" w:color="CCCCCC" w:sz="1"/>
              <w:right w:val="single" w:color="CCCCCC" w:sz="1"/>
            </w:tcBorders>
            <w:shd w:fill="F5FBF6" w:val="clear"/>
            <w:tcMar>
              <w:top w:type="dxa" w:w="80"/>
              <w:left w:type="dxa" w:w="120"/>
              <w:bottom w:type="dxa" w:w="80"/>
              <w:right w:type="dxa" w:w="120"/>
            </w:tcMar>
          </w:tcPr>
          <w:p>
            <w:r>
              <w:rPr>
                <w:rFonts w:ascii="Arial" w:cs="Arial" w:eastAsia="Arial" w:hAnsi="Arial"/>
                <w:sz w:val="20"/>
                <w:szCs w:val="20"/>
              </w:rPr>
              <w:t xml:space="preserve">Agregación: combinar scores locales para construir una matriz de afinidad entre variables y derivar la k-partición</w:t>
            </w:r>
          </w:p>
        </w:tc>
      </w:tr>
    </w:tbl>
    <w:p>
      <w:pPr>
        <w:spacing w:after="60" w:before="60"/>
      </w:pPr>
      <w:r>
        <w:t xml:space="preserve"/>
      </w:r>
    </w:p>
    <w:p>
      <w:pPr>
        <w:pStyle w:val="Heading2"/>
        <w:spacing w:after="140" w:before="280"/>
      </w:pPr>
      <w:r>
        <w:rPr>
          <w:rFonts w:ascii="Arial" w:cs="Arial" w:eastAsia="Arial" w:hAnsi="Arial"/>
          <w:b/>
          <w:bCs/>
          <w:color w:val="1A6B4A"/>
          <w:sz w:val="26"/>
          <w:szCs w:val="26"/>
        </w:rPr>
        <w:t xml:space="preserve">4.2 Fase 1 — Cálculo de costos locales</w:t>
      </w:r>
    </w:p>
    <w:p>
      <w:pPr>
        <w:pStyle w:val="Heading3"/>
        <w:spacing w:after="100" w:before="220"/>
      </w:pPr>
      <w:r>
        <w:rPr>
          <w:rFonts w:ascii="Arial" w:cs="Arial" w:eastAsia="Arial" w:hAnsi="Arial"/>
          <w:b/>
          <w:bCs/>
          <w:color w:val="444444"/>
          <w:sz w:val="24"/>
          <w:szCs w:val="24"/>
        </w:rPr>
        <w:t xml:space="preserve">4.2.1 Selección de la dimensión de corte d</w:t>
      </w:r>
    </w:p>
    <w:p>
      <w:pPr>
        <w:spacing w:after="100" w:before="100"/>
        <w:jc w:val="both"/>
      </w:pPr>
      <w:r>
        <w:rPr>
          <w:rFonts w:ascii="Arial" w:cs="Arial" w:eastAsia="Arial" w:hAnsi="Arial"/>
          <w:sz w:val="22"/>
          <w:szCs w:val="22"/>
        </w:rPr>
        <w:t xml:space="preserve">El parámetro d controla el tamaño de los subcubos. Se recomienda d = ⌊n/2⌋ como valor inicial, lo que genera 2^(n/2) subcubos con 2^(n/2) estados cada uno. La complejidad del cálculo local por subcubo es O(n · 2ᵈ), y el total de la Fase 1 es:</w:t>
      </w:r>
    </w:p>
    <w:p>
      <w:pPr>
        <w:pBdr>
          <w:left w:val="single" w:color="2E4A8B" w:sz="4" w:space="10"/>
        </w:pBdr>
        <w:spacing w:after="160" w:before="160"/>
        <w:ind w:left="720"/>
        <w:jc w:val="center"/>
      </w:pPr>
      <w:r>
        <w:rPr>
          <w:rFonts w:ascii="Courier New" w:cs="Courier New" w:eastAsia="Courier New" w:hAnsi="Courier New"/>
          <w:color w:val="1A1A6B"/>
          <w:sz w:val="20"/>
          <w:szCs w:val="20"/>
        </w:rPr>
        <w:t xml:space="preserve">Costo(Fase 1) = O(2^{n−d} · n · 2ᵈ) = O(n · 2ⁿ)</w:t>
      </w:r>
    </w:p>
    <w:p>
      <w:pPr>
        <w:spacing w:after="80" w:before="80"/>
        <w:ind w:left="720"/>
      </w:pPr>
      <w:r>
        <w:rPr>
          <w:rFonts w:ascii="Arial" w:cs="Arial" w:eastAsia="Arial" w:hAnsi="Arial"/>
          <w:i/>
          <w:iCs/>
          <w:color w:val="555555"/>
          <w:sz w:val="20"/>
          <w:szCs w:val="20"/>
        </w:rPr>
        <w:t xml:space="preserve">📌 La ventaja no está en la complejidad asintótica de la Fase 1 (igual a GeoMIP), sino en que el cálculo es inherentemente paralelizable: cada subcubo es independiente.</w:t>
      </w:r>
    </w:p>
    <w:p>
      <w:pPr>
        <w:pStyle w:val="Heading3"/>
        <w:spacing w:after="100" w:before="220"/>
      </w:pPr>
      <w:r>
        <w:rPr>
          <w:rFonts w:ascii="Arial" w:cs="Arial" w:eastAsia="Arial" w:hAnsi="Arial"/>
          <w:b/>
          <w:bCs/>
          <w:color w:val="444444"/>
          <w:sz w:val="24"/>
          <w:szCs w:val="24"/>
        </w:rPr>
        <w:t xml:space="preserve">4.2.2 Selección de qué dimensiones fijar (F)</w:t>
      </w:r>
    </w:p>
    <w:p>
      <w:pPr>
        <w:spacing w:after="100" w:before="100"/>
        <w:jc w:val="both"/>
      </w:pPr>
      <w:r>
        <w:rPr>
          <w:rFonts w:ascii="Arial" w:cs="Arial" w:eastAsia="Arial" w:hAnsi="Arial"/>
          <w:sz w:val="22"/>
          <w:szCs w:val="22"/>
        </w:rPr>
        <w:t xml:space="preserve">La elección de qué variables conforman F (las dimensiones fijas del subcubo) es crítica para la calidad de la heurística. Se proponen dos estrategias:</w:t>
      </w:r>
    </w:p>
    <w:p>
      <w:pPr>
        <w:pStyle w:val="ListParagraph"/>
        <w:numPr>
          <w:ilvl w:val="0"/>
          <w:numId w:val="2"/>
        </w:numPr>
        <w:spacing w:after="60" w:before="60"/>
      </w:pPr>
      <w:r>
        <w:rPr>
          <w:rFonts w:ascii="Arial" w:cs="Arial" w:eastAsia="Arial" w:hAnsi="Arial"/>
          <w:sz w:val="22"/>
          <w:szCs w:val="22"/>
        </w:rPr>
        <w:t xml:space="preserve">Corte por índice: F = {d+1, d+2, ..., n}. Simple, sin costo adicional, adecuado como línea base.</w:t>
      </w:r>
    </w:p>
    <w:p>
      <w:pPr>
        <w:pStyle w:val="ListParagraph"/>
        <w:numPr>
          <w:ilvl w:val="0"/>
          <w:numId w:val="2"/>
        </w:numPr>
        <w:spacing w:after="60" w:before="60"/>
      </w:pPr>
      <w:r>
        <w:rPr>
          <w:rFonts w:ascii="Arial" w:cs="Arial" w:eastAsia="Arial" w:hAnsi="Arial"/>
          <w:sz w:val="22"/>
          <w:szCs w:val="22"/>
        </w:rPr>
        <w:t xml:space="preserve">Corte por varianza de τᵢ: fijar primero las variables con menor varianza en sus tensores elementales, ya que aportan menos información diferencial a la tabla de costos.</w:t>
      </w:r>
    </w:p>
    <w:p>
      <w:pPr>
        <w:spacing w:after="60" w:before="60"/>
      </w:pPr>
      <w:r>
        <w:t xml:space="preserve"/>
      </w:r>
    </w:p>
    <w:p>
      <w:pPr>
        <w:pStyle w:val="Heading3"/>
        <w:spacing w:after="100" w:before="220"/>
      </w:pPr>
      <w:r>
        <w:rPr>
          <w:rFonts w:ascii="Arial" w:cs="Arial" w:eastAsia="Arial" w:hAnsi="Arial"/>
          <w:b/>
          <w:bCs/>
          <w:color w:val="444444"/>
          <w:sz w:val="24"/>
          <w:szCs w:val="24"/>
        </w:rPr>
        <w:t xml:space="preserve">4.2.3 Cómputo de T_loc por subcubo</w:t>
      </w:r>
    </w:p>
    <w:p>
      <w:pPr>
        <w:spacing w:after="100" w:before="100"/>
        <w:jc w:val="both"/>
      </w:pPr>
      <w:r>
        <w:rPr>
          <w:rFonts w:ascii="Arial" w:cs="Arial" w:eastAsia="Arial" w:hAnsi="Arial"/>
          <w:sz w:val="22"/>
          <w:szCs w:val="22"/>
        </w:rPr>
        <w:t xml:space="preserve">Para cada subcubo C ∈ 𝒞(d) y cada variable Xᵢ, se aplica el BFS modificado de GeoMIP restringido a los vértices de C:</w:t>
      </w:r>
    </w:p>
    <w:p>
      <w:pPr>
        <w:pBdr>
          <w:left w:val="single" w:color="2E4A8B" w:sz="4" w:space="10"/>
        </w:pBdr>
        <w:spacing w:after="160" w:before="160"/>
        <w:ind w:left="720"/>
        <w:jc w:val="center"/>
      </w:pPr>
      <w:r>
        <w:rPr>
          <w:rFonts w:ascii="Courier New" w:cs="Courier New" w:eastAsia="Courier New" w:hAnsi="Courier New"/>
          <w:color w:val="1A1A6B"/>
          <w:sz w:val="20"/>
          <w:szCs w:val="20"/>
        </w:rPr>
        <w:t xml:space="preserve">T_loc^{Xᵢ}(C)[i,j] = γ_{ij} · ( |τᵢ(i) − τᵢ(j)| + Σ_{k ∈ N_C(i,j)} T_loc^{Xᵢ}(C)[k,j] )</w:t>
      </w:r>
    </w:p>
    <w:p>
      <w:pPr>
        <w:spacing w:after="100" w:before="100"/>
        <w:jc w:val="both"/>
      </w:pPr>
      <w:r>
        <w:rPr>
          <w:rFonts w:ascii="Arial" w:cs="Arial" w:eastAsia="Arial" w:hAnsi="Arial"/>
          <w:sz w:val="22"/>
          <w:szCs w:val="22"/>
        </w:rPr>
        <w:t xml:space="preserve">donde </w:t>
      </w:r>
      <w:r>
        <w:rPr>
          <w:rFonts w:ascii="Courier New" w:cs="Courier New" w:eastAsia="Courier New" w:hAnsi="Courier New"/>
          <w:color w:val="1A1A6B"/>
          <w:sz w:val="20"/>
          <w:szCs w:val="20"/>
        </w:rPr>
        <w:t xml:space="preserve">N_C(i,j)</w:t>
      </w:r>
      <w:r>
        <w:rPr>
          <w:rFonts w:ascii="Arial" w:cs="Arial" w:eastAsia="Arial" w:hAnsi="Arial"/>
          <w:sz w:val="22"/>
          <w:szCs w:val="22"/>
        </w:rPr>
        <w:t xml:space="preserve"> denota los vecinos de i en caminos óptimos hacia j dentro del subcubo C (no en el hipercubo completo).</w:t>
      </w:r>
    </w:p>
    <w:p>
      <w:pPr>
        <w:spacing w:after="60" w:before="60"/>
      </w:pPr>
      <w:r>
        <w:t xml:space="preserve"/>
      </w:r>
    </w:p>
    <w:p>
      <w:pPr>
        <w:pStyle w:val="Heading2"/>
        <w:spacing w:after="140" w:before="280"/>
      </w:pPr>
      <w:r>
        <w:rPr>
          <w:rFonts w:ascii="Arial" w:cs="Arial" w:eastAsia="Arial" w:hAnsi="Arial"/>
          <w:b/>
          <w:bCs/>
          <w:color w:val="1A6B4A"/>
          <w:sz w:val="26"/>
          <w:szCs w:val="26"/>
        </w:rPr>
        <w:t xml:space="preserve">4.3 Fase 2 — Construcción de la matriz de afinidad</w:t>
      </w:r>
    </w:p>
    <w:p>
      <w:pPr>
        <w:pStyle w:val="Heading3"/>
        <w:spacing w:after="100" w:before="220"/>
      </w:pPr>
      <w:r>
        <w:rPr>
          <w:rFonts w:ascii="Arial" w:cs="Arial" w:eastAsia="Arial" w:hAnsi="Arial"/>
          <w:b/>
          <w:bCs/>
          <w:color w:val="444444"/>
          <w:sz w:val="24"/>
          <w:szCs w:val="24"/>
        </w:rPr>
        <w:t xml:space="preserve">4.3.1 Score de afinidad entre variables</w:t>
      </w:r>
    </w:p>
    <w:p>
      <w:pPr>
        <w:spacing w:after="100" w:before="100"/>
        <w:jc w:val="both"/>
      </w:pPr>
      <w:r>
        <w:rPr>
          <w:rFonts w:ascii="Arial" w:cs="Arial" w:eastAsia="Arial" w:hAnsi="Arial"/>
          <w:sz w:val="22"/>
          <w:szCs w:val="22"/>
        </w:rPr>
        <w:t xml:space="preserve">Para cada par de variables (Xᵢ, Xⱼ), se define el score de afinidad A(i,j) como la correlación entre sus tablas de costos locales agregadas sobre todos los subcubos:</w:t>
      </w:r>
    </w:p>
    <w:p>
      <w:pPr>
        <w:pBdr>
          <w:left w:val="single" w:color="2E4A8B" w:sz="4" w:space="10"/>
        </w:pBdr>
        <w:spacing w:after="160" w:before="160"/>
        <w:ind w:left="720"/>
        <w:jc w:val="center"/>
      </w:pPr>
      <w:r>
        <w:rPr>
          <w:rFonts w:ascii="Courier New" w:cs="Courier New" w:eastAsia="Courier New" w:hAnsi="Courier New"/>
          <w:color w:val="1A1A6B"/>
          <w:sz w:val="20"/>
          <w:szCs w:val="20"/>
        </w:rPr>
        <w:t xml:space="preserve">A(i,j) = (1 / |𝒞(d)|) · Σ_{C ∈ 𝒞(d)}  corr( T_loc^{Xᵢ}(C),  T_loc^{Xⱼ}(C) )</w:t>
      </w:r>
    </w:p>
    <w:p>
      <w:pPr>
        <w:spacing w:after="100" w:before="100"/>
        <w:jc w:val="both"/>
      </w:pPr>
      <w:r>
        <w:rPr>
          <w:rFonts w:ascii="Arial" w:cs="Arial" w:eastAsia="Arial" w:hAnsi="Arial"/>
          <w:sz w:val="22"/>
          <w:szCs w:val="22"/>
        </w:rPr>
        <w:t xml:space="preserve">donde corr denota la correlación de Pearson vectorizada (vectorizar cada tabla local como un vector de 2ᵈ(2ᵈ−1)/2 entradas, correspondientes a los pares únicos de estados en C).</w:t>
      </w:r>
    </w:p>
    <w:p>
      <w:pPr>
        <w:spacing w:after="100" w:before="100"/>
        <w:jc w:val="both"/>
      </w:pPr>
      <w:r>
        <w:rPr>
          <w:rFonts w:ascii="Arial" w:cs="Arial" w:eastAsia="Arial" w:hAnsi="Arial"/>
          <w:sz w:val="22"/>
          <w:szCs w:val="22"/>
        </w:rPr>
        <w:t xml:space="preserve">Un valor A(i,j) ≈ 1 indica que Xᵢ y Xⱼ tienen estructuras causales similares (candidatos a la misma parte), mientras que A(i,j) ≈ −1 indica estructuras complementarias.</w:t>
      </w:r>
    </w:p>
    <w:p>
      <w:pPr>
        <w:spacing w:after="60" w:before="60"/>
      </w:pPr>
      <w:r>
        <w:t xml:space="preserve"/>
      </w:r>
    </w:p>
    <w:p>
      <w:pPr>
        <w:pStyle w:val="Heading3"/>
        <w:spacing w:after="100" w:before="220"/>
      </w:pPr>
      <w:r>
        <w:rPr>
          <w:rFonts w:ascii="Arial" w:cs="Arial" w:eastAsia="Arial" w:hAnsi="Arial"/>
          <w:b/>
          <w:bCs/>
          <w:color w:val="444444"/>
          <w:sz w:val="24"/>
          <w:szCs w:val="24"/>
        </w:rPr>
        <w:t xml:space="preserve">4.3.2 Derivación de la k-partición desde la matriz de afinidad</w:t>
      </w:r>
    </w:p>
    <w:p>
      <w:pPr>
        <w:spacing w:after="100" w:before="100"/>
        <w:jc w:val="both"/>
      </w:pPr>
      <w:r>
        <w:rPr>
          <w:rFonts w:ascii="Arial" w:cs="Arial" w:eastAsia="Arial" w:hAnsi="Arial"/>
          <w:sz w:val="22"/>
          <w:szCs w:val="22"/>
        </w:rPr>
        <w:t xml:space="preserve">La matriz de afinidad A ∈ ℝⁿˣⁿ define un grafo ponderado sobre las variables del sistema. La k-partición candidata se obtiene aplicando clustering espectral sobre A:</w:t>
      </w:r>
    </w:p>
    <w:p>
      <w:pPr>
        <w:pStyle w:val="ListParagraph"/>
        <w:numPr>
          <w:ilvl w:val="0"/>
          <w:numId w:val="3"/>
        </w:numPr>
        <w:spacing w:after="60" w:before="60"/>
      </w:pPr>
      <w:r>
        <w:rPr>
          <w:rFonts w:ascii="Arial" w:cs="Arial" w:eastAsia="Arial" w:hAnsi="Arial"/>
          <w:sz w:val="22"/>
          <w:szCs w:val="22"/>
        </w:rPr>
        <w:t xml:space="preserve">Construir la matriz Laplaciana normalizada L = D⁻¹/² (D − A) D⁻¹/², donde D es la matriz diagonal con Dᵢᵢ = Σⱼ A(i,j).</w:t>
      </w:r>
    </w:p>
    <w:p>
      <w:pPr>
        <w:pStyle w:val="ListParagraph"/>
        <w:numPr>
          <w:ilvl w:val="0"/>
          <w:numId w:val="3"/>
        </w:numPr>
        <w:spacing w:after="60" w:before="60"/>
      </w:pPr>
      <w:r>
        <w:rPr>
          <w:rFonts w:ascii="Arial" w:cs="Arial" w:eastAsia="Arial" w:hAnsi="Arial"/>
          <w:sz w:val="22"/>
          <w:szCs w:val="22"/>
        </w:rPr>
        <w:t xml:space="preserve">Calcular los k vectores propios asociados a los k menores valores propios de L.</w:t>
      </w:r>
    </w:p>
    <w:p>
      <w:pPr>
        <w:pStyle w:val="ListParagraph"/>
        <w:numPr>
          <w:ilvl w:val="0"/>
          <w:numId w:val="3"/>
        </w:numPr>
        <w:spacing w:after="60" w:before="60"/>
      </w:pPr>
      <w:r>
        <w:rPr>
          <w:rFonts w:ascii="Arial" w:cs="Arial" w:eastAsia="Arial" w:hAnsi="Arial"/>
          <w:sz w:val="22"/>
          <w:szCs w:val="22"/>
        </w:rPr>
        <w:t xml:space="preserve">Aplicar k-means sobre las n filas del espacio de vectores propios (n variables, k clusters).</w:t>
      </w:r>
    </w:p>
    <w:p>
      <w:pPr>
        <w:pStyle w:val="ListParagraph"/>
        <w:numPr>
          <w:ilvl w:val="0"/>
          <w:numId w:val="3"/>
        </w:numPr>
        <w:spacing w:after="60" w:before="60"/>
      </w:pPr>
      <w:r>
        <w:rPr>
          <w:rFonts w:ascii="Arial" w:cs="Arial" w:eastAsia="Arial" w:hAnsi="Arial"/>
          <w:sz w:val="22"/>
          <w:szCs w:val="22"/>
        </w:rPr>
        <w:t xml:space="preserve">Cada cluster define una parte Sₗ de la k-partición candidata.</w:t>
      </w:r>
    </w:p>
    <w:p>
      <w:pPr>
        <w:spacing w:after="60" w:before="60"/>
      </w:pPr>
      <w:r>
        <w:t xml:space="preserve"/>
      </w:r>
    </w:p>
    <w:p>
      <w:pPr>
        <w:pStyle w:val="Heading2"/>
        <w:spacing w:after="140" w:before="280"/>
      </w:pPr>
      <w:r>
        <w:rPr>
          <w:rFonts w:ascii="Arial" w:cs="Arial" w:eastAsia="Arial" w:hAnsi="Arial"/>
          <w:b/>
          <w:bCs/>
          <w:color w:val="1A6B4A"/>
          <w:sz w:val="26"/>
          <w:szCs w:val="26"/>
        </w:rPr>
        <w:t xml:space="preserve">4.4 Evaluación y refinamiento</w:t>
      </w:r>
    </w:p>
    <w:p>
      <w:pPr>
        <w:spacing w:after="100" w:before="100"/>
        <w:jc w:val="both"/>
      </w:pPr>
      <w:r>
        <w:rPr>
          <w:rFonts w:ascii="Arial" w:cs="Arial" w:eastAsia="Arial" w:hAnsi="Arial"/>
          <w:sz w:val="22"/>
          <w:szCs w:val="22"/>
        </w:rPr>
        <w:t xml:space="preserve">La k-partición candidata obtenida en la Fase 2 se evalúa calculando la pérdida real δₖ mediante EMD con métrica de Hamming (igual que en GeoMIP). Si se desea refinar, se puede aplicar búsqueda local (hill climbing) intercambiando variables entre partes y aceptando el movimiento si reduce δₖ.</w:t>
      </w:r>
    </w:p>
    <w:p>
      <w:pPr>
        <w:pBdr>
          <w:left w:val="single" w:color="2E4A8B" w:sz="4" w:space="10"/>
        </w:pBdr>
        <w:spacing w:after="160" w:before="160"/>
        <w:ind w:left="720"/>
        <w:jc w:val="center"/>
      </w:pPr>
      <w:r>
        <w:rPr>
          <w:rFonts w:ascii="Courier New" w:cs="Courier New" w:eastAsia="Courier New" w:hAnsi="Courier New"/>
          <w:color w:val="1A1A6B"/>
          <w:sz w:val="20"/>
          <w:szCs w:val="20"/>
        </w:rPr>
        <w:t xml:space="preserve">B_opt = argmin_{B ∈ Vecindad(B_candidata)} δₖ(V, B)</w:t>
      </w:r>
    </w:p>
    <w:p>
      <w:pPr>
        <w:spacing w:after="100" w:before="100"/>
        <w:jc w:val="both"/>
      </w:pPr>
      <w:r>
        <w:rPr>
          <w:rFonts w:ascii="Arial" w:cs="Arial" w:eastAsia="Arial" w:hAnsi="Arial"/>
          <w:sz w:val="22"/>
          <w:szCs w:val="22"/>
        </w:rPr>
        <w:t xml:space="preserve">El costo del refinamiento es O(n · eval_δ), donde eval_δ es el costo de evaluar la EMD para una partición concreta.</w:t>
      </w:r>
    </w:p>
    <w:p>
      <w:pPr>
        <w:spacing w:after="60" w:before="60"/>
      </w:pPr>
      <w:r>
        <w:t xml:space="preserve"/>
      </w:r>
    </w:p>
    <w:p>
      <w:pPr>
        <w:pBdr>
          <w:bottom w:val="single" w:color="CCCCCC" w:sz="4" w:space="1"/>
        </w:pBdr>
        <w:spacing w:after="200" w:before="200"/>
      </w:pPr>
      <w:r>
        <w:t xml:space="preserve"/>
      </w:r>
    </w:p>
    <w:p>
      <w:pPr>
        <w:pStyle w:val="Heading1"/>
        <w:spacing w:after="180" w:before="360"/>
      </w:pPr>
      <w:r>
        <w:rPr>
          <w:rFonts w:ascii="Arial" w:cs="Arial" w:eastAsia="Arial" w:hAnsi="Arial"/>
          <w:b/>
          <w:bCs/>
          <w:color w:val="2E4A8B"/>
          <w:sz w:val="32"/>
          <w:szCs w:val="32"/>
        </w:rPr>
        <w:t xml:space="preserve">5. Pseudocódigo Formal</w:t>
      </w:r>
    </w:p>
    <w:p>
      <w:pPr>
        <w:pBdr>
          <w:top w:val="single" w:color="2E4A8B" w:sz="4" w:space="4"/>
          <w:bottom w:val="single" w:color="2E4A8B" w:sz="4" w:space="4"/>
          <w:left w:val="single" w:color="2E4A8B" w:sz="4" w:space="10"/>
          <w:right w:val="single" w:color="2E4A8B" w:sz="4" w:space="4"/>
        </w:pBdr>
        <w:shd w:fill="F0F4FF" w:val="clear"/>
        <w:spacing w:after="40" w:before="160"/>
        <w:ind w:left="360" w:right="360"/>
      </w:pPr>
      <w:r>
        <w:rPr>
          <w:rFonts w:ascii="Courier New" w:cs="Courier New" w:eastAsia="Courier New" w:hAnsi="Courier New"/>
          <w:b/>
          <w:bCs/>
          <w:color w:val="1A1A6B"/>
          <w:sz w:val="20"/>
          <w:szCs w:val="20"/>
        </w:rPr>
        <w:t xml:space="preserve">Algoritmo SubCube-Factor(V, T, k, d)</w:t>
      </w:r>
    </w:p>
    <w:p>
      <w:pPr>
        <w:shd w:fill="F0F4FF" w:val="clear"/>
        <w:spacing w:after="20" w:before="20"/>
        <w:ind w:left="360" w:right="360"/>
      </w:pPr>
      <w:r>
        <w:rPr>
          <w:rFonts w:ascii="Courier New" w:cs="Courier New" w:eastAsia="Courier New" w:hAnsi="Courier New"/>
          <w:color w:val="1A1A2A"/>
          <w:sz w:val="18"/>
          <w:szCs w:val="18"/>
        </w:rPr>
        <w:t xml:space="preserve">  Entrada:  V = sistema con n variables</w:t>
      </w:r>
    </w:p>
    <w:p>
      <w:pPr>
        <w:shd w:fill="F0F4FF" w:val="clear"/>
        <w:spacing w:after="20" w:before="20"/>
        <w:ind w:left="360" w:right="360"/>
      </w:pPr>
      <w:r>
        <w:rPr>
          <w:rFonts w:ascii="Courier New" w:cs="Courier New" w:eastAsia="Courier New" w:hAnsi="Courier New"/>
          <w:color w:val="1A1A2A"/>
          <w:sz w:val="18"/>
          <w:szCs w:val="18"/>
        </w:rPr>
        <w:t xml:space="preserve">            T = TPM del sistema (o tensores elementales τᵢ)</w:t>
      </w:r>
    </w:p>
    <w:p>
      <w:pPr>
        <w:shd w:fill="F0F4FF" w:val="clear"/>
        <w:spacing w:after="20" w:before="20"/>
        <w:ind w:left="360" w:right="360"/>
      </w:pPr>
      <w:r>
        <w:rPr>
          <w:rFonts w:ascii="Courier New" w:cs="Courier New" w:eastAsia="Courier New" w:hAnsi="Courier New"/>
          <w:color w:val="1A1A2A"/>
          <w:sz w:val="18"/>
          <w:szCs w:val="18"/>
        </w:rPr>
        <w:t xml:space="preserve">            k = número de partes deseado</w:t>
      </w:r>
    </w:p>
    <w:p>
      <w:pPr>
        <w:shd w:fill="F0F4FF" w:val="clear"/>
        <w:spacing w:after="20" w:before="20"/>
        <w:ind w:left="360" w:right="360"/>
      </w:pPr>
      <w:r>
        <w:rPr>
          <w:rFonts w:ascii="Courier New" w:cs="Courier New" w:eastAsia="Courier New" w:hAnsi="Courier New"/>
          <w:color w:val="1A1A2A"/>
          <w:sz w:val="18"/>
          <w:szCs w:val="18"/>
        </w:rPr>
        <w:t xml:space="preserve">            d = dimensión de subcubo (default: ⌊n/2⌋)</w:t>
      </w:r>
    </w:p>
    <w:p>
      <w:pPr>
        <w:shd w:fill="F0F4FF" w:val="clear"/>
        <w:spacing w:after="20" w:before="20"/>
        <w:ind w:left="360" w:right="360"/>
      </w:pPr>
      <w:r>
        <w:rPr>
          <w:rFonts w:ascii="Courier New" w:cs="Courier New" w:eastAsia="Courier New" w:hAnsi="Courier New"/>
          <w:color w:val="1A1A2A"/>
          <w:sz w:val="18"/>
          <w:szCs w:val="18"/>
        </w:rPr>
        <w:t xml:space="preserve">  Salida:   k-partición óptima B_opt y su pérdida δₖ</w:t>
      </w:r>
    </w:p>
    <w:p>
      <w:pPr>
        <w:shd w:fill="F0F4FF" w:val="clear"/>
        <w:spacing w:after="20" w:before="20"/>
        <w:ind w:left="360" w:right="360"/>
      </w:pPr>
      <w:r>
        <w:rPr>
          <w:rFonts w:ascii="Courier New" w:cs="Courier New" w:eastAsia="Courier New" w:hAnsi="Courier New"/>
          <w:color w:val="1A1A2A"/>
          <w:sz w:val="18"/>
          <w:szCs w:val="18"/>
        </w:rPr>
        <w:t xml:space="preserve"/>
      </w:r>
    </w:p>
    <w:p>
      <w:pPr>
        <w:shd w:fill="F0F4FF" w:val="clear"/>
        <w:spacing w:after="20" w:before="20"/>
        <w:ind w:left="360" w:right="360"/>
      </w:pPr>
      <w:r>
        <w:rPr>
          <w:rFonts w:ascii="Courier New" w:cs="Courier New" w:eastAsia="Courier New" w:hAnsi="Courier New"/>
          <w:color w:val="888888"/>
          <w:sz w:val="18"/>
          <w:szCs w:val="18"/>
        </w:rPr>
        <w:t xml:space="preserve">  // ── FASE 1: Descomposición y costos locales ──────────────────────</w:t>
      </w:r>
    </w:p>
    <w:p>
      <w:pPr>
        <w:shd w:fill="F0F4FF" w:val="clear"/>
        <w:spacing w:after="20" w:before="20"/>
        <w:ind w:left="360" w:right="360"/>
      </w:pPr>
      <w:r>
        <w:rPr>
          <w:rFonts w:ascii="Courier New" w:cs="Courier New" w:eastAsia="Courier New" w:hAnsi="Courier New"/>
          <w:color w:val="1A1A2A"/>
          <w:sz w:val="18"/>
          <w:szCs w:val="18"/>
        </w:rPr>
        <w:t xml:space="preserve">  τ ← DescomponerEnTensores(T)               // n tensores elementales</w:t>
      </w:r>
    </w:p>
    <w:p>
      <w:pPr>
        <w:shd w:fill="F0F4FF" w:val="clear"/>
        <w:spacing w:after="20" w:before="20"/>
        <w:ind w:left="360" w:right="360"/>
      </w:pPr>
      <w:r>
        <w:rPr>
          <w:rFonts w:ascii="Courier New" w:cs="Courier New" w:eastAsia="Courier New" w:hAnsi="Courier New"/>
          <w:color w:val="1A1A2A"/>
          <w:sz w:val="18"/>
          <w:szCs w:val="18"/>
        </w:rPr>
        <w:t xml:space="preserve">  𝒞 ← GenerarSubcubos(n, d)                  // 2^{n−d} subcubos de dim d</w:t>
      </w:r>
    </w:p>
    <w:p>
      <w:pPr>
        <w:shd w:fill="F0F4FF" w:val="clear"/>
        <w:spacing w:after="20" w:before="20"/>
        <w:ind w:left="360" w:right="360"/>
      </w:pPr>
      <w:r>
        <w:rPr>
          <w:rFonts w:ascii="Courier New" w:cs="Courier New" w:eastAsia="Courier New" w:hAnsi="Courier New"/>
          <w:color w:val="1A1A2A"/>
          <w:sz w:val="18"/>
          <w:szCs w:val="18"/>
        </w:rPr>
        <w:t xml:space="preserve">  A ← MatrizCeros(n, n)                       // Matriz de afinidad</w:t>
      </w:r>
    </w:p>
    <w:p>
      <w:pPr>
        <w:shd w:fill="F0F4FF" w:val="clear"/>
        <w:spacing w:after="20" w:before="20"/>
        <w:ind w:left="360" w:right="360"/>
      </w:pPr>
      <w:r>
        <w:rPr>
          <w:rFonts w:ascii="Courier New" w:cs="Courier New" w:eastAsia="Courier New" w:hAnsi="Courier New"/>
          <w:color w:val="1A1A2A"/>
          <w:sz w:val="18"/>
          <w:szCs w:val="18"/>
        </w:rPr>
        <w:t xml:space="preserve"/>
      </w:r>
    </w:p>
    <w:p>
      <w:pPr>
        <w:shd w:fill="F0F4FF" w:val="clear"/>
        <w:spacing w:after="20" w:before="20"/>
        <w:ind w:left="360" w:right="360"/>
      </w:pPr>
      <w:r>
        <w:rPr>
          <w:rFonts w:ascii="Courier New" w:cs="Courier New" w:eastAsia="Courier New" w:hAnsi="Courier New"/>
          <w:color w:val="1A1A2A"/>
          <w:sz w:val="18"/>
          <w:szCs w:val="18"/>
        </w:rPr>
        <w:t xml:space="preserve">  Para cada C ∈ 𝒞:</w:t>
      </w:r>
    </w:p>
    <w:p>
      <w:pPr>
        <w:shd w:fill="F0F4FF" w:val="clear"/>
        <w:spacing w:after="20" w:before="20"/>
        <w:ind w:left="360" w:right="360"/>
      </w:pPr>
      <w:r>
        <w:rPr>
          <w:rFonts w:ascii="Courier New" w:cs="Courier New" w:eastAsia="Courier New" w:hAnsi="Courier New"/>
          <w:color w:val="1A1A2A"/>
          <w:sz w:val="18"/>
          <w:szCs w:val="18"/>
        </w:rPr>
        <w:t xml:space="preserve">    Para cada variable Xᵢ ∈ V:</w:t>
      </w:r>
    </w:p>
    <w:p>
      <w:pPr>
        <w:shd w:fill="F0F4FF" w:val="clear"/>
        <w:spacing w:after="20" w:before="20"/>
        <w:ind w:left="360" w:right="360"/>
      </w:pPr>
      <w:r>
        <w:rPr>
          <w:rFonts w:ascii="Courier New" w:cs="Courier New" w:eastAsia="Courier New" w:hAnsi="Courier New"/>
          <w:color w:val="1A1A2A"/>
          <w:sz w:val="18"/>
          <w:szCs w:val="18"/>
        </w:rPr>
        <w:t xml:space="preserve">      T_loc[Xᵢ][C] ← CalcularCostoLocal(C, τᵢ)   // BFS en subcubo</w:t>
      </w:r>
    </w:p>
    <w:p>
      <w:pPr>
        <w:shd w:fill="F0F4FF" w:val="clear"/>
        <w:spacing w:after="20" w:before="20"/>
        <w:ind w:left="360" w:right="360"/>
      </w:pPr>
      <w:r>
        <w:rPr>
          <w:rFonts w:ascii="Courier New" w:cs="Courier New" w:eastAsia="Courier New" w:hAnsi="Courier New"/>
          <w:color w:val="1A1A2A"/>
          <w:sz w:val="18"/>
          <w:szCs w:val="18"/>
        </w:rPr>
        <w:t xml:space="preserve"/>
      </w:r>
    </w:p>
    <w:p>
      <w:pPr>
        <w:shd w:fill="F0F4FF" w:val="clear"/>
        <w:spacing w:after="20" w:before="20"/>
        <w:ind w:left="360" w:right="360"/>
      </w:pPr>
      <w:r>
        <w:rPr>
          <w:rFonts w:ascii="Courier New" w:cs="Courier New" w:eastAsia="Courier New" w:hAnsi="Courier New"/>
          <w:color w:val="888888"/>
          <w:sz w:val="18"/>
          <w:szCs w:val="18"/>
        </w:rPr>
        <w:t xml:space="preserve">  // ── FASE 2: Construcción de matriz de afinidad ───────────────────</w:t>
      </w:r>
    </w:p>
    <w:p>
      <w:pPr>
        <w:shd w:fill="F0F4FF" w:val="clear"/>
        <w:spacing w:after="20" w:before="20"/>
        <w:ind w:left="360" w:right="360"/>
      </w:pPr>
      <w:r>
        <w:rPr>
          <w:rFonts w:ascii="Courier New" w:cs="Courier New" w:eastAsia="Courier New" w:hAnsi="Courier New"/>
          <w:color w:val="1A1A2A"/>
          <w:sz w:val="18"/>
          <w:szCs w:val="18"/>
        </w:rPr>
        <w:t xml:space="preserve">  Para cada par (Xᵢ, Xⱼ) con i &lt; j:</w:t>
      </w:r>
    </w:p>
    <w:p>
      <w:pPr>
        <w:shd w:fill="F0F4FF" w:val="clear"/>
        <w:spacing w:after="20" w:before="20"/>
        <w:ind w:left="360" w:right="360"/>
      </w:pPr>
      <w:r>
        <w:rPr>
          <w:rFonts w:ascii="Courier New" w:cs="Courier New" w:eastAsia="Courier New" w:hAnsi="Courier New"/>
          <w:color w:val="1A1A2A"/>
          <w:sz w:val="18"/>
          <w:szCs w:val="18"/>
        </w:rPr>
        <w:t xml:space="preserve">    scores ← []</w:t>
      </w:r>
    </w:p>
    <w:p>
      <w:pPr>
        <w:shd w:fill="F0F4FF" w:val="clear"/>
        <w:spacing w:after="20" w:before="20"/>
        <w:ind w:left="360" w:right="360"/>
      </w:pPr>
      <w:r>
        <w:rPr>
          <w:rFonts w:ascii="Courier New" w:cs="Courier New" w:eastAsia="Courier New" w:hAnsi="Courier New"/>
          <w:color w:val="1A1A2A"/>
          <w:sz w:val="18"/>
          <w:szCs w:val="18"/>
        </w:rPr>
        <w:t xml:space="preserve">    Para cada C ∈ 𝒞:</w:t>
      </w:r>
    </w:p>
    <w:p>
      <w:pPr>
        <w:shd w:fill="F0F4FF" w:val="clear"/>
        <w:spacing w:after="20" w:before="20"/>
        <w:ind w:left="360" w:right="360"/>
      </w:pPr>
      <w:r>
        <w:rPr>
          <w:rFonts w:ascii="Courier New" w:cs="Courier New" w:eastAsia="Courier New" w:hAnsi="Courier New"/>
          <w:color w:val="1A1A2A"/>
          <w:sz w:val="18"/>
          <w:szCs w:val="18"/>
        </w:rPr>
        <w:t xml:space="preserve">      v_i ← Vectorizar(T_loc[Xᵢ][C])</w:t>
      </w:r>
    </w:p>
    <w:p>
      <w:pPr>
        <w:shd w:fill="F0F4FF" w:val="clear"/>
        <w:spacing w:after="20" w:before="20"/>
        <w:ind w:left="360" w:right="360"/>
      </w:pPr>
      <w:r>
        <w:rPr>
          <w:rFonts w:ascii="Courier New" w:cs="Courier New" w:eastAsia="Courier New" w:hAnsi="Courier New"/>
          <w:color w:val="1A1A2A"/>
          <w:sz w:val="18"/>
          <w:szCs w:val="18"/>
        </w:rPr>
        <w:t xml:space="preserve">      v_j ← Vectorizar(T_loc[Xⱼ][C])</w:t>
      </w:r>
    </w:p>
    <w:p>
      <w:pPr>
        <w:shd w:fill="F0F4FF" w:val="clear"/>
        <w:spacing w:after="20" w:before="20"/>
        <w:ind w:left="360" w:right="360"/>
      </w:pPr>
      <w:r>
        <w:rPr>
          <w:rFonts w:ascii="Courier New" w:cs="Courier New" w:eastAsia="Courier New" w:hAnsi="Courier New"/>
          <w:color w:val="1A1A2A"/>
          <w:sz w:val="18"/>
          <w:szCs w:val="18"/>
        </w:rPr>
        <w:t xml:space="preserve">      scores.agregar( Correlacion(v_i, v_j) )</w:t>
      </w:r>
    </w:p>
    <w:p>
      <w:pPr>
        <w:shd w:fill="F0F4FF" w:val="clear"/>
        <w:spacing w:after="20" w:before="20"/>
        <w:ind w:left="360" w:right="360"/>
      </w:pPr>
      <w:r>
        <w:rPr>
          <w:rFonts w:ascii="Courier New" w:cs="Courier New" w:eastAsia="Courier New" w:hAnsi="Courier New"/>
          <w:color w:val="1A1A2A"/>
          <w:sz w:val="18"/>
          <w:szCs w:val="18"/>
        </w:rPr>
        <w:t xml:space="preserve">    A[i,j] = A[j,i] ← Media(scores)</w:t>
      </w:r>
    </w:p>
    <w:p>
      <w:pPr>
        <w:shd w:fill="F0F4FF" w:val="clear"/>
        <w:spacing w:after="20" w:before="20"/>
        <w:ind w:left="360" w:right="360"/>
      </w:pPr>
      <w:r>
        <w:rPr>
          <w:rFonts w:ascii="Courier New" w:cs="Courier New" w:eastAsia="Courier New" w:hAnsi="Courier New"/>
          <w:color w:val="1A1A2A"/>
          <w:sz w:val="18"/>
          <w:szCs w:val="18"/>
        </w:rPr>
        <w:t xml:space="preserve"/>
      </w:r>
    </w:p>
    <w:p>
      <w:pPr>
        <w:shd w:fill="F0F4FF" w:val="clear"/>
        <w:spacing w:after="20" w:before="20"/>
        <w:ind w:left="360" w:right="360"/>
      </w:pPr>
      <w:r>
        <w:rPr>
          <w:rFonts w:ascii="Courier New" w:cs="Courier New" w:eastAsia="Courier New" w:hAnsi="Courier New"/>
          <w:color w:val="888888"/>
          <w:sz w:val="18"/>
          <w:szCs w:val="18"/>
        </w:rPr>
        <w:t xml:space="preserve">  // ── FASE 3: Clustering espectral sobre A ─────────────────────────</w:t>
      </w:r>
    </w:p>
    <w:p>
      <w:pPr>
        <w:shd w:fill="F0F4FF" w:val="clear"/>
        <w:spacing w:after="20" w:before="20"/>
        <w:ind w:left="360" w:right="360"/>
      </w:pPr>
      <w:r>
        <w:rPr>
          <w:rFonts w:ascii="Courier New" w:cs="Courier New" w:eastAsia="Courier New" w:hAnsi="Courier New"/>
          <w:color w:val="1A1A2A"/>
          <w:sz w:val="18"/>
          <w:szCs w:val="18"/>
        </w:rPr>
        <w:t xml:space="preserve">  L ← LaplacianoNormalizado(A)</w:t>
      </w:r>
    </w:p>
    <w:p>
      <w:pPr>
        <w:shd w:fill="F0F4FF" w:val="clear"/>
        <w:spacing w:after="20" w:before="20"/>
        <w:ind w:left="360" w:right="360"/>
      </w:pPr>
      <w:r>
        <w:rPr>
          <w:rFonts w:ascii="Courier New" w:cs="Courier New" w:eastAsia="Courier New" w:hAnsi="Courier New"/>
          <w:color w:val="1A1A2A"/>
          <w:sz w:val="18"/>
          <w:szCs w:val="18"/>
        </w:rPr>
        <w:t xml:space="preserve">  E ← k_VectoresPropios(L, k)                // Matriz n×k</w:t>
      </w:r>
    </w:p>
    <w:p>
      <w:pPr>
        <w:shd w:fill="F0F4FF" w:val="clear"/>
        <w:spacing w:after="20" w:before="20"/>
        <w:ind w:left="360" w:right="360"/>
      </w:pPr>
      <w:r>
        <w:rPr>
          <w:rFonts w:ascii="Courier New" w:cs="Courier New" w:eastAsia="Courier New" w:hAnsi="Courier New"/>
          <w:color w:val="1A1A2A"/>
          <w:sz w:val="18"/>
          <w:szCs w:val="18"/>
        </w:rPr>
        <w:t xml:space="preserve">  etiquetas ← kMeans(E, k)                   // Asignar cada variable a un cluster</w:t>
      </w:r>
    </w:p>
    <w:p>
      <w:pPr>
        <w:shd w:fill="F0F4FF" w:val="clear"/>
        <w:spacing w:after="20" w:before="20"/>
        <w:ind w:left="360" w:right="360"/>
      </w:pPr>
      <w:r>
        <w:rPr>
          <w:rFonts w:ascii="Courier New" w:cs="Courier New" w:eastAsia="Courier New" w:hAnsi="Courier New"/>
          <w:color w:val="1A1A2A"/>
          <w:sz w:val="18"/>
          <w:szCs w:val="18"/>
        </w:rPr>
        <w:t xml:space="preserve">  B_candidata ← ParticionDesdeEtiquetas(etiquetas)</w:t>
      </w:r>
    </w:p>
    <w:p>
      <w:pPr>
        <w:shd w:fill="F0F4FF" w:val="clear"/>
        <w:spacing w:after="20" w:before="20"/>
        <w:ind w:left="360" w:right="360"/>
      </w:pPr>
      <w:r>
        <w:rPr>
          <w:rFonts w:ascii="Courier New" w:cs="Courier New" w:eastAsia="Courier New" w:hAnsi="Courier New"/>
          <w:color w:val="1A1A2A"/>
          <w:sz w:val="18"/>
          <w:szCs w:val="18"/>
        </w:rPr>
        <w:t xml:space="preserve"/>
      </w:r>
    </w:p>
    <w:p>
      <w:pPr>
        <w:shd w:fill="F0F4FF" w:val="clear"/>
        <w:spacing w:after="20" w:before="20"/>
        <w:ind w:left="360" w:right="360"/>
      </w:pPr>
      <w:r>
        <w:rPr>
          <w:rFonts w:ascii="Courier New" w:cs="Courier New" w:eastAsia="Courier New" w:hAnsi="Courier New"/>
          <w:color w:val="888888"/>
          <w:sz w:val="18"/>
          <w:szCs w:val="18"/>
        </w:rPr>
        <w:t xml:space="preserve">  // ── FASE 4: Evaluación y refinamiento local ───────────────────────</w:t>
      </w:r>
    </w:p>
    <w:p>
      <w:pPr>
        <w:shd w:fill="F0F4FF" w:val="clear"/>
        <w:spacing w:after="20" w:before="20"/>
        <w:ind w:left="360" w:right="360"/>
      </w:pPr>
      <w:r>
        <w:rPr>
          <w:rFonts w:ascii="Courier New" w:cs="Courier New" w:eastAsia="Courier New" w:hAnsi="Courier New"/>
          <w:color w:val="1A1A2A"/>
          <w:sz w:val="18"/>
          <w:szCs w:val="18"/>
        </w:rPr>
        <w:t xml:space="preserve">  B_opt ← RefinamientoLocal(B_candidata, V, T, δₖ)</w:t>
      </w:r>
    </w:p>
    <w:p>
      <w:pPr>
        <w:shd w:fill="F0F4FF" w:val="clear"/>
        <w:spacing w:after="20" w:before="20"/>
        <w:ind w:left="360" w:right="360"/>
      </w:pPr>
      <w:r>
        <w:rPr>
          <w:rFonts w:ascii="Courier New" w:cs="Courier New" w:eastAsia="Courier New" w:hAnsi="Courier New"/>
          <w:color w:val="1A1A2A"/>
          <w:sz w:val="18"/>
          <w:szCs w:val="18"/>
        </w:rPr>
        <w:t xml:space="preserve">  δ_opt ← EvaluarEMD(B_opt, V, T)</w:t>
      </w:r>
    </w:p>
    <w:p>
      <w:pPr>
        <w:shd w:fill="F0F4FF" w:val="clear"/>
        <w:spacing w:after="20" w:before="20"/>
        <w:ind w:left="360" w:right="360"/>
      </w:pPr>
      <w:r>
        <w:rPr>
          <w:rFonts w:ascii="Courier New" w:cs="Courier New" w:eastAsia="Courier New" w:hAnsi="Courier New"/>
          <w:color w:val="1A1A2A"/>
          <w:sz w:val="18"/>
          <w:szCs w:val="18"/>
        </w:rPr>
        <w:t xml:space="preserve"/>
      </w:r>
    </w:p>
    <w:p>
      <w:pPr>
        <w:shd w:fill="F0F4FF" w:val="clear"/>
        <w:spacing w:after="20" w:before="20"/>
        <w:ind w:left="360" w:right="360"/>
      </w:pPr>
      <w:r>
        <w:rPr>
          <w:rFonts w:ascii="Courier New" w:cs="Courier New" w:eastAsia="Courier New" w:hAnsi="Courier New"/>
          <w:color w:val="1A1A2A"/>
          <w:sz w:val="18"/>
          <w:szCs w:val="18"/>
        </w:rPr>
        <w:t xml:space="preserve">  Retornar (B_opt, δ_opt)</w:t>
      </w:r>
    </w:p>
    <w:p>
      <w:pPr>
        <w:spacing w:after="60" w:before="60"/>
      </w:pPr>
      <w:r>
        <w:t xml:space="preserve"/>
      </w:r>
    </w:p>
    <w:p>
      <w:pPr>
        <w:pBdr>
          <w:bottom w:val="single" w:color="CCCCCC" w:sz="4" w:space="1"/>
        </w:pBdr>
        <w:spacing w:after="200" w:before="200"/>
      </w:pPr>
      <w:r>
        <w:t xml:space="preserve"/>
      </w:r>
    </w:p>
    <w:p>
      <w:pPr>
        <w:pStyle w:val="Heading1"/>
        <w:spacing w:after="180" w:before="360"/>
      </w:pPr>
      <w:r>
        <w:rPr>
          <w:rFonts w:ascii="Arial" w:cs="Arial" w:eastAsia="Arial" w:hAnsi="Arial"/>
          <w:b/>
          <w:bCs/>
          <w:color w:val="2E4A8B"/>
          <w:sz w:val="32"/>
          <w:szCs w:val="32"/>
        </w:rPr>
        <w:t xml:space="preserve">6. Análisis de Complejidad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2E4A8B" w:sz="1"/>
              <w:left w:val="single" w:color="2E4A8B" w:sz="1"/>
              <w:bottom w:val="single" w:color="2E4A8B" w:sz="1"/>
              <w:right w:val="single" w:color="2E4A8B" w:sz="1"/>
            </w:tcBorders>
            <w:shd w:fill="2E4A8B" w:val="clear"/>
            <w:tcMar>
              <w:top w:type="dxa" w:w="100"/>
              <w:left w:type="dxa" w:w="150"/>
              <w:bottom w:type="dxa" w:w="100"/>
              <w:right w:type="dxa" w:w="150"/>
            </w:tcMar>
          </w:tcPr>
          <w:p>
            <w:r>
              <w:rPr>
                <w:rFonts w:ascii="Arial" w:cs="Arial" w:eastAsia="Arial" w:hAnsi="Arial"/>
                <w:b/>
                <w:bCs/>
                <w:color w:val="FFFFFF"/>
                <w:sz w:val="20"/>
                <w:szCs w:val="20"/>
              </w:rPr>
              <w:t xml:space="preserve">Componente</w:t>
            </w:r>
          </w:p>
        </w:tc>
        <w:tc>
          <w:tcPr>
            <w:tcW w:type="dxa" w:w="3180"/>
            <w:tcBorders>
              <w:top w:val="single" w:color="2E4A8B" w:sz="1"/>
              <w:left w:val="single" w:color="2E4A8B" w:sz="1"/>
              <w:bottom w:val="single" w:color="2E4A8B" w:sz="1"/>
              <w:right w:val="single" w:color="2E4A8B" w:sz="1"/>
            </w:tcBorders>
            <w:shd w:fill="2E4A8B" w:val="clear"/>
            <w:tcMar>
              <w:top w:type="dxa" w:w="100"/>
              <w:left w:type="dxa" w:w="150"/>
              <w:bottom w:type="dxa" w:w="100"/>
              <w:right w:type="dxa" w:w="150"/>
            </w:tcMar>
          </w:tcPr>
          <w:p>
            <w:r>
              <w:rPr>
                <w:rFonts w:ascii="Arial" w:cs="Arial" w:eastAsia="Arial" w:hAnsi="Arial"/>
                <w:b/>
                <w:bCs/>
                <w:color w:val="FFFFFF"/>
                <w:sz w:val="20"/>
                <w:szCs w:val="20"/>
              </w:rPr>
              <w:t xml:space="preserve">Complejidad Temporal</w:t>
            </w:r>
          </w:p>
        </w:tc>
        <w:tc>
          <w:tcPr>
            <w:tcW w:type="dxa" w:w="3180"/>
            <w:tcBorders>
              <w:top w:val="single" w:color="2E4A8B" w:sz="1"/>
              <w:left w:val="single" w:color="2E4A8B" w:sz="1"/>
              <w:bottom w:val="single" w:color="2E4A8B" w:sz="1"/>
              <w:right w:val="single" w:color="2E4A8B" w:sz="1"/>
            </w:tcBorders>
            <w:shd w:fill="2E4A8B" w:val="clear"/>
            <w:tcMar>
              <w:top w:type="dxa" w:w="100"/>
              <w:left w:type="dxa" w:w="150"/>
              <w:bottom w:type="dxa" w:w="100"/>
              <w:right w:type="dxa" w:w="150"/>
            </w:tcMar>
          </w:tcPr>
          <w:p>
            <w:r>
              <w:rPr>
                <w:rFonts w:ascii="Arial" w:cs="Arial" w:eastAsia="Arial" w:hAnsi="Arial"/>
                <w:b/>
                <w:bCs/>
                <w:color w:val="FFFFFF"/>
                <w:sz w:val="20"/>
                <w:szCs w:val="20"/>
              </w:rPr>
              <w:t xml:space="preserve">Observación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Generación de subcubos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O(2^{n−d})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Constante por subcubo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Costos locales (Fase 1)</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 2ⁿ) paralelizable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Igual que GeoMIP, pero local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Matriz de afinidad (Fase 2)</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O(n² · 2^{n−d} · 2^{2d})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Domina para d grande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Clustering espectral (Fase 3)</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O(n³) para eig, O(n²k) kmeans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Despreciable vs Fase 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Refinamiento local (Fase 4)</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 eval_δ)</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Opcional, mejora calidad</w:t>
            </w:r>
          </w:p>
        </w:tc>
      </w:tr>
      <w:tr>
        <w:tc>
          <w:tcPr>
            <w:tcW w:type="dxa" w:w="30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sz w:val="20"/>
                <w:szCs w:val="20"/>
              </w:rPr>
              <w:t xml:space="preserve">Total (d = ⌊n/2⌋)</w:t>
            </w:r>
          </w:p>
        </w:tc>
        <w:tc>
          <w:tcPr>
            <w:tcW w:type="dxa" w:w="318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sz w:val="20"/>
                <w:szCs w:val="20"/>
              </w:rPr>
              <w:t xml:space="preserve">O(n · 2ⁿ) + O(n² · 2^{n/2})</w:t>
            </w:r>
          </w:p>
        </w:tc>
        <w:tc>
          <w:tcPr>
            <w:tcW w:type="dxa" w:w="318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sz w:val="20"/>
                <w:szCs w:val="20"/>
              </w:rPr>
              <w:t xml:space="preserve">Speedup vs exhaustivo O(S(n,k))</w:t>
            </w:r>
          </w:p>
        </w:tc>
      </w:tr>
    </w:tbl>
    <w:p>
      <w:pPr>
        <w:spacing w:after="60" w:before="60"/>
      </w:pPr>
      <w:r>
        <w:t xml:space="preserve"/>
      </w:r>
    </w:p>
    <w:p>
      <w:pPr>
        <w:spacing w:after="100" w:before="100"/>
        <w:jc w:val="both"/>
      </w:pPr>
      <w:r>
        <w:rPr>
          <w:rFonts w:ascii="Arial" w:cs="Arial" w:eastAsia="Arial" w:hAnsi="Arial"/>
          <w:sz w:val="22"/>
          <w:szCs w:val="22"/>
        </w:rPr>
        <w:t xml:space="preserve">Para d = ⌊n/2⌋ y sistemas de 10–20 variables, el término dominante es O(n · 2ⁿ) (igual que GeoMIP para la Fase 1). La ganancia real proviene de evitar evaluar exhaustivamente las S(n,k) particiones posibles: el algoritmo propone directamente un candidato de alta calidad sin enumeración.</w:t>
      </w:r>
    </w:p>
    <w:p>
      <w:pPr>
        <w:spacing w:after="60" w:before="60"/>
      </w:pPr>
      <w:r>
        <w:t xml:space="preserve"/>
      </w:r>
    </w:p>
    <w:p>
      <w:pPr>
        <w:pBdr>
          <w:bottom w:val="single" w:color="CCCCCC" w:sz="4" w:space="1"/>
        </w:pBdr>
        <w:spacing w:after="200" w:before="200"/>
      </w:pPr>
      <w:r>
        <w:t xml:space="preserve"/>
      </w:r>
    </w:p>
    <w:p>
      <w:pPr>
        <w:pStyle w:val="Heading1"/>
        <w:spacing w:after="180" w:before="360"/>
      </w:pPr>
      <w:r>
        <w:rPr>
          <w:rFonts w:ascii="Arial" w:cs="Arial" w:eastAsia="Arial" w:hAnsi="Arial"/>
          <w:b/>
          <w:bCs/>
          <w:color w:val="2E4A8B"/>
          <w:sz w:val="32"/>
          <w:szCs w:val="32"/>
        </w:rPr>
        <w:t xml:space="preserve">7. Diferenciación Respecto a QNodes y GeoMIP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4A8B" w:sz="1"/>
              <w:left w:val="single" w:color="2E4A8B" w:sz="1"/>
              <w:bottom w:val="single" w:color="2E4A8B" w:sz="1"/>
              <w:right w:val="single" w:color="2E4A8B" w:sz="1"/>
            </w:tcBorders>
            <w:shd w:fill="2E4A8B" w:val="clear"/>
            <w:tcMar>
              <w:top w:type="dxa" w:w="100"/>
              <w:left w:type="dxa" w:w="150"/>
              <w:bottom w:type="dxa" w:w="100"/>
              <w:right w:type="dxa" w:w="150"/>
            </w:tcMar>
          </w:tcPr>
          <w:p>
            <w:r>
              <w:rPr>
                <w:rFonts w:ascii="Arial" w:cs="Arial" w:eastAsia="Arial" w:hAnsi="Arial"/>
                <w:b/>
                <w:bCs/>
                <w:color w:val="FFFFFF"/>
                <w:sz w:val="20"/>
                <w:szCs w:val="20"/>
              </w:rPr>
              <w:t xml:space="preserve">Aspecto</w:t>
            </w:r>
          </w:p>
        </w:tc>
        <w:tc>
          <w:tcPr>
            <w:tcW w:type="dxa" w:w="2340"/>
            <w:tcBorders>
              <w:top w:val="single" w:color="2E4A8B" w:sz="1"/>
              <w:left w:val="single" w:color="2E4A8B" w:sz="1"/>
              <w:bottom w:val="single" w:color="2E4A8B" w:sz="1"/>
              <w:right w:val="single" w:color="2E4A8B" w:sz="1"/>
            </w:tcBorders>
            <w:shd w:fill="2E4A8B" w:val="clear"/>
            <w:tcMar>
              <w:top w:type="dxa" w:w="100"/>
              <w:left w:type="dxa" w:w="150"/>
              <w:bottom w:type="dxa" w:w="100"/>
              <w:right w:type="dxa" w:w="150"/>
            </w:tcMar>
          </w:tcPr>
          <w:p>
            <w:r>
              <w:rPr>
                <w:rFonts w:ascii="Arial" w:cs="Arial" w:eastAsia="Arial" w:hAnsi="Arial"/>
                <w:b/>
                <w:bCs/>
                <w:color w:val="FFFFFF"/>
                <w:sz w:val="20"/>
                <w:szCs w:val="20"/>
              </w:rPr>
              <w:t xml:space="preserve">QNodes</w:t>
            </w:r>
          </w:p>
        </w:tc>
        <w:tc>
          <w:tcPr>
            <w:tcW w:type="dxa" w:w="2340"/>
            <w:tcBorders>
              <w:top w:val="single" w:color="2E4A8B" w:sz="1"/>
              <w:left w:val="single" w:color="2E4A8B" w:sz="1"/>
              <w:bottom w:val="single" w:color="2E4A8B" w:sz="1"/>
              <w:right w:val="single" w:color="2E4A8B" w:sz="1"/>
            </w:tcBorders>
            <w:shd w:fill="2E4A8B" w:val="clear"/>
            <w:tcMar>
              <w:top w:type="dxa" w:w="100"/>
              <w:left w:type="dxa" w:w="150"/>
              <w:bottom w:type="dxa" w:w="100"/>
              <w:right w:type="dxa" w:w="150"/>
            </w:tcMar>
          </w:tcPr>
          <w:p>
            <w:r>
              <w:rPr>
                <w:rFonts w:ascii="Arial" w:cs="Arial" w:eastAsia="Arial" w:hAnsi="Arial"/>
                <w:b/>
                <w:bCs/>
                <w:color w:val="FFFFFF"/>
                <w:sz w:val="20"/>
                <w:szCs w:val="20"/>
              </w:rPr>
              <w:t xml:space="preserve">GeoMIP</w:t>
            </w:r>
          </w:p>
        </w:tc>
        <w:tc>
          <w:tcPr>
            <w:tcW w:type="dxa" w:w="2340"/>
            <w:tcBorders>
              <w:top w:val="single" w:color="2E4A8B" w:sz="1"/>
              <w:left w:val="single" w:color="2E4A8B" w:sz="1"/>
              <w:bottom w:val="single" w:color="2E4A8B" w:sz="1"/>
              <w:right w:val="single" w:color="2E4A8B" w:sz="1"/>
            </w:tcBorders>
            <w:shd w:fill="2E4A8B" w:val="clear"/>
            <w:tcMar>
              <w:top w:type="dxa" w:w="100"/>
              <w:left w:type="dxa" w:w="150"/>
              <w:bottom w:type="dxa" w:w="100"/>
              <w:right w:type="dxa" w:w="150"/>
            </w:tcMar>
          </w:tcPr>
          <w:p>
            <w:r>
              <w:rPr>
                <w:rFonts w:ascii="Arial" w:cs="Arial" w:eastAsia="Arial" w:hAnsi="Arial"/>
                <w:b/>
                <w:bCs/>
                <w:color w:val="FFFFFF"/>
                <w:sz w:val="20"/>
                <w:szCs w:val="20"/>
              </w:rPr>
              <w:t xml:space="preserve">SubCube-Factor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Representación 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Grafo de nodos (submodular)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Hipercubo n-dimensional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Hipercubo descompuesto en subcubos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Estrategia de búsqueda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Descarte de caminos (Queyranne)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Complementariedad en tabla T global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Afinidad local-a-global + clustering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Soporta k &gt;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directamente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(solo bipartición)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 nativo por diseño</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Paralelizable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Parcialmente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 (por variable)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 (por subcubo y por variable)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Calidad garantizada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Óptima para k=2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Heurística de alta calidad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Heurística + refinamiento local</w:t>
            </w:r>
          </w:p>
        </w:tc>
      </w:tr>
    </w:tbl>
    <w:p>
      <w:pPr>
        <w:spacing w:after="60" w:before="60"/>
      </w:pPr>
      <w:r>
        <w:t xml:space="preserve"/>
      </w:r>
    </w:p>
    <w:p>
      <w:pPr>
        <w:pBdr>
          <w:bottom w:val="single" w:color="CCCCCC" w:sz="4" w:space="1"/>
        </w:pBdr>
        <w:spacing w:after="200" w:before="200"/>
      </w:pPr>
      <w:r>
        <w:t xml:space="preserve"/>
      </w:r>
    </w:p>
    <w:p>
      <w:pPr>
        <w:pStyle w:val="Heading1"/>
        <w:spacing w:after="180" w:before="360"/>
      </w:pPr>
      <w:r>
        <w:rPr>
          <w:rFonts w:ascii="Arial" w:cs="Arial" w:eastAsia="Arial" w:hAnsi="Arial"/>
          <w:b/>
          <w:bCs/>
          <w:color w:val="2E4A8B"/>
          <w:sz w:val="32"/>
          <w:szCs w:val="32"/>
        </w:rPr>
        <w:t xml:space="preserve">8. Parámetros y Configuración</w:t>
      </w:r>
    </w:p>
    <w:p>
      <w:pPr>
        <w:pStyle w:val="Heading2"/>
        <w:spacing w:after="140" w:before="280"/>
      </w:pPr>
      <w:r>
        <w:rPr>
          <w:rFonts w:ascii="Arial" w:cs="Arial" w:eastAsia="Arial" w:hAnsi="Arial"/>
          <w:b/>
          <w:bCs/>
          <w:color w:val="1A6B4A"/>
          <w:sz w:val="26"/>
          <w:szCs w:val="26"/>
        </w:rPr>
        <w:t xml:space="preserve">8.1 Parámetro d (dimensión de subcubo)</w:t>
      </w:r>
    </w:p>
    <w:p>
      <w:pPr>
        <w:spacing w:after="100" w:before="100"/>
        <w:jc w:val="both"/>
      </w:pPr>
      <w:r>
        <w:rPr>
          <w:rFonts w:ascii="Arial" w:cs="Arial" w:eastAsia="Arial" w:hAnsi="Arial"/>
          <w:sz w:val="22"/>
          <w:szCs w:val="22"/>
        </w:rPr>
        <w:t xml:space="preserve">El parámetro d controla el trade-off entre fidelidad de los costos locales y eficiencia:</w:t>
      </w:r>
    </w:p>
    <w:p>
      <w:pPr>
        <w:pStyle w:val="ListParagraph"/>
        <w:numPr>
          <w:ilvl w:val="0"/>
          <w:numId w:val="2"/>
        </w:numPr>
        <w:spacing w:after="60" w:before="60"/>
      </w:pPr>
      <w:r>
        <w:rPr>
          <w:rFonts w:ascii="Arial" w:cs="Arial" w:eastAsia="Arial" w:hAnsi="Arial"/>
          <w:sz w:val="22"/>
          <w:szCs w:val="22"/>
        </w:rPr>
        <w:t xml:space="preserve">d pequeño (d ≈ 2–3): subcubos muy pequeños, cálculo muy rápido pero costos locales poco representativos de la estructura global. Adecuado para sistemas grandes (n &gt; 20) donde se prioriza velocidad.</w:t>
      </w:r>
    </w:p>
    <w:p>
      <w:pPr>
        <w:pStyle w:val="ListParagraph"/>
        <w:numPr>
          <w:ilvl w:val="0"/>
          <w:numId w:val="2"/>
        </w:numPr>
        <w:spacing w:after="60" w:before="60"/>
      </w:pPr>
      <w:r>
        <w:rPr>
          <w:rFonts w:ascii="Arial" w:cs="Arial" w:eastAsia="Arial" w:hAnsi="Arial"/>
          <w:sz w:val="22"/>
          <w:szCs w:val="22"/>
        </w:rPr>
        <w:t xml:space="preserve">d = ⌊n/2⌋: balance entre representatividad y costo. Recomendado como default.</w:t>
      </w:r>
    </w:p>
    <w:p>
      <w:pPr>
        <w:pStyle w:val="ListParagraph"/>
        <w:numPr>
          <w:ilvl w:val="0"/>
          <w:numId w:val="2"/>
        </w:numPr>
        <w:spacing w:after="60" w:before="60"/>
      </w:pPr>
      <w:r>
        <w:rPr>
          <w:rFonts w:ascii="Arial" w:cs="Arial" w:eastAsia="Arial" w:hAnsi="Arial"/>
          <w:sz w:val="22"/>
          <w:szCs w:val="22"/>
        </w:rPr>
        <w:t xml:space="preserve">d → n: converge a GeoMIP (subcubo único = hipercubo completo), máxima fidelidad.</w:t>
      </w:r>
    </w:p>
    <w:p>
      <w:pPr>
        <w:spacing w:after="60" w:before="60"/>
      </w:pPr>
      <w:r>
        <w:t xml:space="preserve"/>
      </w:r>
    </w:p>
    <w:p>
      <w:pPr>
        <w:pStyle w:val="Heading2"/>
        <w:spacing w:after="140" w:before="280"/>
      </w:pPr>
      <w:r>
        <w:rPr>
          <w:rFonts w:ascii="Arial" w:cs="Arial" w:eastAsia="Arial" w:hAnsi="Arial"/>
          <w:b/>
          <w:bCs/>
          <w:color w:val="1A6B4A"/>
          <w:sz w:val="26"/>
          <w:szCs w:val="26"/>
        </w:rPr>
        <w:t xml:space="preserve">8.2 Estrategia de corte F</w:t>
      </w:r>
    </w:p>
    <w:p>
      <w:pPr>
        <w:pStyle w:val="ListParagraph"/>
        <w:numPr>
          <w:ilvl w:val="0"/>
          <w:numId w:val="2"/>
        </w:numPr>
        <w:spacing w:after="60" w:before="60"/>
      </w:pPr>
      <w:r>
        <w:rPr>
          <w:rFonts w:ascii="Arial" w:cs="Arial" w:eastAsia="Arial" w:hAnsi="Arial"/>
          <w:sz w:val="22"/>
          <w:szCs w:val="22"/>
        </w:rPr>
        <w:t xml:space="preserve">Corte por índice: F = {d+1,...,n}. Implementación más simple.</w:t>
      </w:r>
    </w:p>
    <w:p>
      <w:pPr>
        <w:pStyle w:val="ListParagraph"/>
        <w:numPr>
          <w:ilvl w:val="0"/>
          <w:numId w:val="2"/>
        </w:numPr>
        <w:spacing w:after="60" w:before="60"/>
      </w:pPr>
      <w:r>
        <w:rPr>
          <w:rFonts w:ascii="Arial" w:cs="Arial" w:eastAsia="Arial" w:hAnsi="Arial"/>
          <w:sz w:val="22"/>
          <w:szCs w:val="22"/>
        </w:rPr>
        <w:t xml:space="preserve">Corte por varianza mínima de τᵢ: agrupar primero las variables más predecibles.</w:t>
      </w:r>
    </w:p>
    <w:p>
      <w:pPr>
        <w:pStyle w:val="ListParagraph"/>
        <w:numPr>
          <w:ilvl w:val="0"/>
          <w:numId w:val="2"/>
        </w:numPr>
        <w:spacing w:after="60" w:before="60"/>
      </w:pPr>
      <w:r>
        <w:rPr>
          <w:rFonts w:ascii="Arial" w:cs="Arial" w:eastAsia="Arial" w:hAnsi="Arial"/>
          <w:sz w:val="22"/>
          <w:szCs w:val="22"/>
        </w:rPr>
        <w:t xml:space="preserve">Corte aleatorio (ensemble): promediar afinidades sobre múltiples elecciones aleatorias de F para mayor robustez.</w:t>
      </w:r>
    </w:p>
    <w:p>
      <w:pPr>
        <w:spacing w:after="60" w:before="60"/>
      </w:pPr>
      <w:r>
        <w:t xml:space="preserve"/>
      </w:r>
    </w:p>
    <w:p>
      <w:pPr>
        <w:pStyle w:val="Heading2"/>
        <w:spacing w:after="140" w:before="280"/>
      </w:pPr>
      <w:r>
        <w:rPr>
          <w:rFonts w:ascii="Arial" w:cs="Arial" w:eastAsia="Arial" w:hAnsi="Arial"/>
          <w:b/>
          <w:bCs/>
          <w:color w:val="1A6B4A"/>
          <w:sz w:val="26"/>
          <w:szCs w:val="26"/>
        </w:rPr>
        <w:t xml:space="preserve">8.3 Activar/desactivar refinamiento local</w:t>
      </w:r>
    </w:p>
    <w:p>
      <w:pPr>
        <w:spacing w:after="100" w:before="100"/>
        <w:jc w:val="both"/>
      </w:pPr>
      <w:r>
        <w:rPr>
          <w:rFonts w:ascii="Arial" w:cs="Arial" w:eastAsia="Arial" w:hAnsi="Arial"/>
          <w:sz w:val="22"/>
          <w:szCs w:val="22"/>
        </w:rPr>
        <w:t xml:space="preserve">El refinamiento local de la Fase 4 aumenta la calidad pero también el tiempo de ejecución. Se recomienda activarlo cuando el sistema tiene n ≤ 15 y desactivarlo para sistemas de mayor escala donde la velocidad sea prioritaria.</w:t>
      </w:r>
    </w:p>
    <w:p>
      <w:pPr>
        <w:spacing w:after="60" w:before="60"/>
      </w:pPr>
      <w:r>
        <w:t xml:space="preserve"/>
      </w:r>
    </w:p>
    <w:p>
      <w:pPr>
        <w:pBdr>
          <w:bottom w:val="single" w:color="CCCCCC" w:sz="4" w:space="1"/>
        </w:pBdr>
        <w:spacing w:after="200" w:before="200"/>
      </w:pPr>
      <w:r>
        <w:t xml:space="preserve"/>
      </w:r>
    </w:p>
    <w:p>
      <w:pPr>
        <w:pStyle w:val="Heading1"/>
        <w:spacing w:after="180" w:before="360"/>
      </w:pPr>
      <w:r>
        <w:rPr>
          <w:rFonts w:ascii="Arial" w:cs="Arial" w:eastAsia="Arial" w:hAnsi="Arial"/>
          <w:b/>
          <w:bCs/>
          <w:color w:val="2E4A8B"/>
          <w:sz w:val="32"/>
          <w:szCs w:val="32"/>
        </w:rPr>
        <w:t xml:space="preserve">9. Guía de Implementación (Python)</w:t>
      </w:r>
    </w:p>
    <w:p>
      <w:pPr>
        <w:pStyle w:val="Heading2"/>
        <w:spacing w:after="140" w:before="280"/>
      </w:pPr>
      <w:r>
        <w:rPr>
          <w:rFonts w:ascii="Arial" w:cs="Arial" w:eastAsia="Arial" w:hAnsi="Arial"/>
          <w:b/>
          <w:bCs/>
          <w:color w:val="1A6B4A"/>
          <w:sz w:val="26"/>
          <w:szCs w:val="26"/>
        </w:rPr>
        <w:t xml:space="preserve">9.1 Clase SubCubeSIA</w:t>
      </w:r>
    </w:p>
    <w:p>
      <w:pPr>
        <w:spacing w:after="100" w:before="100"/>
        <w:jc w:val="both"/>
      </w:pPr>
      <w:r>
        <w:rPr>
          <w:rFonts w:ascii="Arial" w:cs="Arial" w:eastAsia="Arial" w:hAnsi="Arial"/>
          <w:sz w:val="22"/>
          <w:szCs w:val="22"/>
        </w:rPr>
        <w:t xml:space="preserve">La implementación debe heredar de la clase base SIA del framework existente:</w:t>
      </w:r>
    </w:p>
    <w:p>
      <w:pPr>
        <w:shd w:fill="F0F4FF" w:val="clear"/>
        <w:spacing w:after="20" w:before="120"/>
        <w:ind w:left="360" w:right="360"/>
      </w:pPr>
      <w:r>
        <w:rPr>
          <w:rFonts w:ascii="Courier New" w:cs="Courier New" w:eastAsia="Courier New" w:hAnsi="Courier New"/>
          <w:color w:val="888888"/>
          <w:sz w:val="18"/>
          <w:szCs w:val="18"/>
        </w:rPr>
        <w:t xml:space="preserve"># src/controllers/strategies/subcube.py</w:t>
      </w:r>
    </w:p>
    <w:p>
      <w:pPr>
        <w:shd w:fill="F0F4FF" w:val="clear"/>
        <w:spacing w:after="16" w:before="16"/>
        <w:ind w:left="360" w:right="360"/>
      </w:pPr>
      <w:r>
        <w:rPr>
          <w:rFonts w:ascii="Courier New" w:cs="Courier New" w:eastAsia="Courier New" w:hAnsi="Courier New"/>
          <w:color w:val="1A1A2A"/>
          <w:sz w:val="18"/>
          <w:szCs w:val="18"/>
        </w:rPr>
        <w:t xml:space="preserve">class SubCubeSIA(SIA):</w:t>
      </w:r>
    </w:p>
    <w:p>
      <w:pPr>
        <w:shd w:fill="F0F4FF" w:val="clear"/>
        <w:spacing w:after="16" w:before="16"/>
        <w:ind w:left="360" w:right="360"/>
      </w:pPr>
      <w:r>
        <w:rPr>
          <w:rFonts w:ascii="Courier New" w:cs="Courier New" w:eastAsia="Courier New" w:hAnsi="Courier New"/>
          <w:color w:val="1A1A2A"/>
          <w:sz w:val="18"/>
          <w:szCs w:val="18"/>
        </w:rPr>
        <w:t xml:space="preserve">    def __init__(self, gestor, d=None, corte='varianza', refinar=True):</w:t>
      </w:r>
    </w:p>
    <w:p>
      <w:pPr>
        <w:shd w:fill="F0F4FF" w:val="clear"/>
        <w:spacing w:after="16" w:before="16"/>
        <w:ind w:left="360" w:right="360"/>
      </w:pPr>
      <w:r>
        <w:rPr>
          <w:rFonts w:ascii="Courier New" w:cs="Courier New" w:eastAsia="Courier New" w:hAnsi="Courier New"/>
          <w:color w:val="1A1A2A"/>
          <w:sz w:val="18"/>
          <w:szCs w:val="18"/>
        </w:rPr>
        <w:t xml:space="preserve">        super().__init__(gestor)</w:t>
      </w:r>
    </w:p>
    <w:p>
      <w:pPr>
        <w:shd w:fill="F0F4FF" w:val="clear"/>
        <w:spacing w:after="16" w:before="16"/>
        <w:ind w:left="360" w:right="360"/>
      </w:pPr>
      <w:r>
        <w:rPr>
          <w:rFonts w:ascii="Courier New" w:cs="Courier New" w:eastAsia="Courier New" w:hAnsi="Courier New"/>
          <w:color w:val="1A1A2A"/>
          <w:sz w:val="18"/>
          <w:szCs w:val="18"/>
        </w:rPr>
        <w:t xml:space="preserve">        self.d = d or (gestor.n // 2)  # dim subcubo</w:t>
      </w:r>
    </w:p>
    <w:p>
      <w:pPr>
        <w:shd w:fill="F0F4FF" w:val="clear"/>
        <w:spacing w:after="16" w:before="16"/>
        <w:ind w:left="360" w:right="360"/>
      </w:pPr>
      <w:r>
        <w:rPr>
          <w:rFonts w:ascii="Courier New" w:cs="Courier New" w:eastAsia="Courier New" w:hAnsi="Courier New"/>
          <w:color w:val="1A1A2A"/>
          <w:sz w:val="18"/>
          <w:szCs w:val="18"/>
        </w:rPr>
        <w:t xml:space="preserve">        self.corte = corte               # 'indice' | 'varianza' | 'aleatorio'</w:t>
      </w:r>
    </w:p>
    <w:p>
      <w:pPr>
        <w:shd w:fill="F0F4FF" w:val="clear"/>
        <w:spacing w:after="16" w:before="16"/>
        <w:ind w:left="360" w:right="360"/>
      </w:pPr>
      <w:r>
        <w:rPr>
          <w:rFonts w:ascii="Courier New" w:cs="Courier New" w:eastAsia="Courier New" w:hAnsi="Courier New"/>
          <w:color w:val="1A1A2A"/>
          <w:sz w:val="18"/>
          <w:szCs w:val="18"/>
        </w:rPr>
        <w:t xml:space="preserve">        self.refinar = refinar</w:t>
      </w:r>
    </w:p>
    <w:p>
      <w:pPr>
        <w:shd w:fill="F0F4FF" w:val="clear"/>
        <w:spacing w:after="16" w:before="16"/>
        <w:ind w:left="360" w:right="360"/>
      </w:pPr>
      <w:r>
        <w:rPr>
          <w:rFonts w:ascii="Courier New" w:cs="Courier New" w:eastAsia="Courier New" w:hAnsi="Courier New"/>
          <w:color w:val="1A1A2A"/>
          <w:sz w:val="18"/>
          <w:szCs w:val="18"/>
        </w:rPr>
        <w:t xml:space="preserve"/>
      </w:r>
    </w:p>
    <w:p>
      <w:pPr>
        <w:shd w:fill="F0F4FF" w:val="clear"/>
        <w:spacing w:after="16" w:before="16"/>
        <w:ind w:left="360" w:right="360"/>
      </w:pPr>
      <w:r>
        <w:rPr>
          <w:rFonts w:ascii="Courier New" w:cs="Courier New" w:eastAsia="Courier New" w:hAnsi="Courier New"/>
          <w:color w:val="1A1A2A"/>
          <w:sz w:val="18"/>
          <w:szCs w:val="18"/>
        </w:rPr>
        <w:t xml:space="preserve">    def aplicar_estrategia(self):</w:t>
      </w:r>
    </w:p>
    <w:p>
      <w:pPr>
        <w:shd w:fill="F0F4FF" w:val="clear"/>
        <w:spacing w:after="16" w:before="16"/>
        <w:ind w:left="360" w:right="360"/>
      </w:pPr>
      <w:r>
        <w:rPr>
          <w:rFonts w:ascii="Courier New" w:cs="Courier New" w:eastAsia="Courier New" w:hAnsi="Courier New"/>
          <w:color w:val="1A1A2A"/>
          <w:sz w:val="18"/>
          <w:szCs w:val="18"/>
        </w:rPr>
        <w:t xml:space="preserve">        # Fase 1: costos locales</w:t>
      </w:r>
    </w:p>
    <w:p>
      <w:pPr>
        <w:shd w:fill="F0F4FF" w:val="clear"/>
        <w:spacing w:after="16" w:before="16"/>
        <w:ind w:left="360" w:right="360"/>
      </w:pPr>
      <w:r>
        <w:rPr>
          <w:rFonts w:ascii="Courier New" w:cs="Courier New" w:eastAsia="Courier New" w:hAnsi="Courier New"/>
          <w:color w:val="1A1A2A"/>
          <w:sz w:val="18"/>
          <w:szCs w:val="18"/>
        </w:rPr>
        <w:t xml:space="preserve">        subcubos = self._generar_subcubos()</w:t>
      </w:r>
    </w:p>
    <w:p>
      <w:pPr>
        <w:shd w:fill="F0F4FF" w:val="clear"/>
        <w:spacing w:after="16" w:before="16"/>
        <w:ind w:left="360" w:right="360"/>
      </w:pPr>
      <w:r>
        <w:rPr>
          <w:rFonts w:ascii="Courier New" w:cs="Courier New" w:eastAsia="Courier New" w:hAnsi="Courier New"/>
          <w:color w:val="1A1A2A"/>
          <w:sz w:val="18"/>
          <w:szCs w:val="18"/>
        </w:rPr>
        <w:t xml:space="preserve">        T_loc = self._calcular_costos_locales(subcubos)</w:t>
      </w:r>
    </w:p>
    <w:p>
      <w:pPr>
        <w:shd w:fill="F0F4FF" w:val="clear"/>
        <w:spacing w:after="16" w:before="16"/>
        <w:ind w:left="360" w:right="360"/>
      </w:pPr>
      <w:r>
        <w:rPr>
          <w:rFonts w:ascii="Courier New" w:cs="Courier New" w:eastAsia="Courier New" w:hAnsi="Courier New"/>
          <w:color w:val="1A1A2A"/>
          <w:sz w:val="18"/>
          <w:szCs w:val="18"/>
        </w:rPr>
        <w:t xml:space="preserve"/>
      </w:r>
    </w:p>
    <w:p>
      <w:pPr>
        <w:shd w:fill="F0F4FF" w:val="clear"/>
        <w:spacing w:after="16" w:before="16"/>
        <w:ind w:left="360" w:right="360"/>
      </w:pPr>
      <w:r>
        <w:rPr>
          <w:rFonts w:ascii="Courier New" w:cs="Courier New" w:eastAsia="Courier New" w:hAnsi="Courier New"/>
          <w:color w:val="1A1A2A"/>
          <w:sz w:val="18"/>
          <w:szCs w:val="18"/>
        </w:rPr>
        <w:t xml:space="preserve">        # Fase 2: matriz de afinidad</w:t>
      </w:r>
    </w:p>
    <w:p>
      <w:pPr>
        <w:shd w:fill="F0F4FF" w:val="clear"/>
        <w:spacing w:after="16" w:before="16"/>
        <w:ind w:left="360" w:right="360"/>
      </w:pPr>
      <w:r>
        <w:rPr>
          <w:rFonts w:ascii="Courier New" w:cs="Courier New" w:eastAsia="Courier New" w:hAnsi="Courier New"/>
          <w:color w:val="1A1A2A"/>
          <w:sz w:val="18"/>
          <w:szCs w:val="18"/>
        </w:rPr>
        <w:t xml:space="preserve">        A = self._construir_afinidad(T_loc, subcubos)</w:t>
      </w:r>
    </w:p>
    <w:p>
      <w:pPr>
        <w:shd w:fill="F0F4FF" w:val="clear"/>
        <w:spacing w:after="16" w:before="16"/>
        <w:ind w:left="360" w:right="360"/>
      </w:pPr>
      <w:r>
        <w:rPr>
          <w:rFonts w:ascii="Courier New" w:cs="Courier New" w:eastAsia="Courier New" w:hAnsi="Courier New"/>
          <w:color w:val="1A1A2A"/>
          <w:sz w:val="18"/>
          <w:szCs w:val="18"/>
        </w:rPr>
        <w:t xml:space="preserve"/>
      </w:r>
    </w:p>
    <w:p>
      <w:pPr>
        <w:shd w:fill="F0F4FF" w:val="clear"/>
        <w:spacing w:after="16" w:before="16"/>
        <w:ind w:left="360" w:right="360"/>
      </w:pPr>
      <w:r>
        <w:rPr>
          <w:rFonts w:ascii="Courier New" w:cs="Courier New" w:eastAsia="Courier New" w:hAnsi="Courier New"/>
          <w:color w:val="1A1A2A"/>
          <w:sz w:val="18"/>
          <w:szCs w:val="18"/>
        </w:rPr>
        <w:t xml:space="preserve">        # Fase 3: clustering espectral</w:t>
      </w:r>
    </w:p>
    <w:p>
      <w:pPr>
        <w:shd w:fill="F0F4FF" w:val="clear"/>
        <w:spacing w:after="16" w:before="16"/>
        <w:ind w:left="360" w:right="360"/>
      </w:pPr>
      <w:r>
        <w:rPr>
          <w:rFonts w:ascii="Courier New" w:cs="Courier New" w:eastAsia="Courier New" w:hAnsi="Courier New"/>
          <w:color w:val="1A1A2A"/>
          <w:sz w:val="18"/>
          <w:szCs w:val="18"/>
        </w:rPr>
        <w:t xml:space="preserve">        particion = self._clustering_espectral(A, self.gestor.k)</w:t>
      </w:r>
    </w:p>
    <w:p>
      <w:pPr>
        <w:shd w:fill="F0F4FF" w:val="clear"/>
        <w:spacing w:after="16" w:before="16"/>
        <w:ind w:left="360" w:right="360"/>
      </w:pPr>
      <w:r>
        <w:rPr>
          <w:rFonts w:ascii="Courier New" w:cs="Courier New" w:eastAsia="Courier New" w:hAnsi="Courier New"/>
          <w:color w:val="1A1A2A"/>
          <w:sz w:val="18"/>
          <w:szCs w:val="18"/>
        </w:rPr>
        <w:t xml:space="preserve"/>
      </w:r>
    </w:p>
    <w:p>
      <w:pPr>
        <w:shd w:fill="F0F4FF" w:val="clear"/>
        <w:spacing w:after="16" w:before="16"/>
        <w:ind w:left="360" w:right="360"/>
      </w:pPr>
      <w:r>
        <w:rPr>
          <w:rFonts w:ascii="Courier New" w:cs="Courier New" w:eastAsia="Courier New" w:hAnsi="Courier New"/>
          <w:color w:val="1A1A2A"/>
          <w:sz w:val="18"/>
          <w:szCs w:val="18"/>
        </w:rPr>
        <w:t xml:space="preserve">        # Fase 4: refinamiento</w:t>
      </w:r>
    </w:p>
    <w:p>
      <w:pPr>
        <w:shd w:fill="F0F4FF" w:val="clear"/>
        <w:spacing w:after="16" w:before="16"/>
        <w:ind w:left="360" w:right="360"/>
      </w:pPr>
      <w:r>
        <w:rPr>
          <w:rFonts w:ascii="Courier New" w:cs="Courier New" w:eastAsia="Courier New" w:hAnsi="Courier New"/>
          <w:color w:val="1A1A2A"/>
          <w:sz w:val="18"/>
          <w:szCs w:val="18"/>
        </w:rPr>
        <w:t xml:space="preserve">        if self.refinar:</w:t>
      </w:r>
    </w:p>
    <w:p>
      <w:pPr>
        <w:shd w:fill="F0F4FF" w:val="clear"/>
        <w:spacing w:after="16" w:before="16"/>
        <w:ind w:left="360" w:right="360"/>
      </w:pPr>
      <w:r>
        <w:rPr>
          <w:rFonts w:ascii="Courier New" w:cs="Courier New" w:eastAsia="Courier New" w:hAnsi="Courier New"/>
          <w:color w:val="1A1A2A"/>
          <w:sz w:val="18"/>
          <w:szCs w:val="18"/>
        </w:rPr>
        <w:t xml:space="preserve">            particion = self._refinar_local(particion)</w:t>
      </w:r>
    </w:p>
    <w:p>
      <w:pPr>
        <w:shd w:fill="F0F4FF" w:val="clear"/>
        <w:spacing w:after="16" w:before="16"/>
        <w:ind w:left="360" w:right="360"/>
      </w:pPr>
      <w:r>
        <w:rPr>
          <w:rFonts w:ascii="Courier New" w:cs="Courier New" w:eastAsia="Courier New" w:hAnsi="Courier New"/>
          <w:color w:val="1A1A2A"/>
          <w:sz w:val="18"/>
          <w:szCs w:val="18"/>
        </w:rPr>
        <w:t xml:space="preserve"/>
      </w:r>
    </w:p>
    <w:p>
      <w:pPr>
        <w:shd w:fill="F0F4FF" w:val="clear"/>
        <w:spacing w:after="16" w:before="16"/>
        <w:ind w:left="360" w:right="360"/>
      </w:pPr>
      <w:r>
        <w:rPr>
          <w:rFonts w:ascii="Courier New" w:cs="Courier New" w:eastAsia="Courier New" w:hAnsi="Courier New"/>
          <w:color w:val="1A1A2A"/>
          <w:sz w:val="18"/>
          <w:szCs w:val="18"/>
        </w:rPr>
        <w:t xml:space="preserve">        return self._construir_resultado(particion)</w:t>
      </w:r>
    </w:p>
    <w:p>
      <w:pPr>
        <w:spacing w:after="60" w:before="60"/>
      </w:pPr>
      <w:r>
        <w:t xml:space="preserve"/>
      </w:r>
    </w:p>
    <w:p>
      <w:pPr>
        <w:pStyle w:val="Heading2"/>
        <w:spacing w:after="140" w:before="280"/>
      </w:pPr>
      <w:r>
        <w:rPr>
          <w:rFonts w:ascii="Arial" w:cs="Arial" w:eastAsia="Arial" w:hAnsi="Arial"/>
          <w:b/>
          <w:bCs/>
          <w:color w:val="1A6B4A"/>
          <w:sz w:val="26"/>
          <w:szCs w:val="26"/>
        </w:rPr>
        <w:t xml:space="preserve">9.2 Métodos privados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4A8B" w:sz="1"/>
              <w:left w:val="single" w:color="2E4A8B" w:sz="1"/>
              <w:bottom w:val="single" w:color="2E4A8B" w:sz="1"/>
              <w:right w:val="single" w:color="2E4A8B" w:sz="1"/>
            </w:tcBorders>
            <w:shd w:fill="2E4A8B" w:val="clear"/>
            <w:tcMar>
              <w:top w:type="dxa" w:w="100"/>
              <w:left w:type="dxa" w:w="150"/>
              <w:bottom w:type="dxa" w:w="100"/>
              <w:right w:type="dxa" w:w="150"/>
            </w:tcMar>
          </w:tcPr>
          <w:p>
            <w:r>
              <w:rPr>
                <w:rFonts w:ascii="Arial" w:cs="Arial" w:eastAsia="Arial" w:hAnsi="Arial"/>
                <w:b/>
                <w:bCs/>
                <w:color w:val="FFFFFF"/>
                <w:sz w:val="20"/>
                <w:szCs w:val="20"/>
              </w:rPr>
              <w:t xml:space="preserve">Método</w:t>
            </w:r>
          </w:p>
        </w:tc>
        <w:tc>
          <w:tcPr>
            <w:tcW w:type="dxa" w:w="5860"/>
            <w:tcBorders>
              <w:top w:val="single" w:color="2E4A8B" w:sz="1"/>
              <w:left w:val="single" w:color="2E4A8B" w:sz="1"/>
              <w:bottom w:val="single" w:color="2E4A8B" w:sz="1"/>
              <w:right w:val="single" w:color="2E4A8B" w:sz="1"/>
            </w:tcBorders>
            <w:shd w:fill="2E4A8B" w:val="clear"/>
            <w:tcMar>
              <w:top w:type="dxa" w:w="100"/>
              <w:left w:type="dxa" w:w="150"/>
              <w:bottom w:type="dxa" w:w="100"/>
              <w:right w:type="dxa" w:w="150"/>
            </w:tcMar>
          </w:tcPr>
          <w:p>
            <w:r>
              <w:rPr>
                <w:rFonts w:ascii="Arial" w:cs="Arial" w:eastAsia="Arial" w:hAnsi="Arial"/>
                <w:b/>
                <w:bCs/>
                <w:color w:val="FFFFFF"/>
                <w:sz w:val="20"/>
                <w:szCs w:val="20"/>
              </w:rPr>
              <w:t xml:space="preserve">Responsabilidad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_generar_subcubos()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Retorna la lista de subcubos C ∈ 𝒞(d) como listas de índices de estados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_calcular_costos_locales(subcubos)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 cada C y cada τᵢ, ejecuta BFS-GeoMIP restringido al subcubo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_construir_afinidad(T_loc, subcubos)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 A[i,j] como correlación promedio entre tablas locales de Xᵢ y Xⱼ</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_clustering_espectral(A, 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Laplaciano normalizado + eigenvectors + k-means sobre filas del espacio espectral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_refinar_local(particion)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Hill climbing: mover variables entre partes si reduce δₖ. Máx. n iteraciones.</w:t>
            </w:r>
          </w:p>
        </w:tc>
      </w:tr>
    </w:tbl>
    <w:p>
      <w:pPr>
        <w:spacing w:after="60" w:before="60"/>
      </w:pPr>
      <w:r>
        <w:t xml:space="preserve"/>
      </w:r>
    </w:p>
    <w:p>
      <w:pPr>
        <w:pBdr>
          <w:bottom w:val="single" w:color="CCCCCC" w:sz="4" w:space="1"/>
        </w:pBdr>
        <w:spacing w:after="200" w:before="200"/>
      </w:pPr>
      <w:r>
        <w:t xml:space="preserve"/>
      </w:r>
    </w:p>
    <w:p>
      <w:pPr>
        <w:pStyle w:val="Heading1"/>
        <w:spacing w:after="180" w:before="360"/>
      </w:pPr>
      <w:r>
        <w:rPr>
          <w:rFonts w:ascii="Arial" w:cs="Arial" w:eastAsia="Arial" w:hAnsi="Arial"/>
          <w:b/>
          <w:bCs/>
          <w:color w:val="2E4A8B"/>
          <w:sz w:val="32"/>
          <w:szCs w:val="32"/>
        </w:rPr>
        <w:t xml:space="preserve">10. Casos de Prueba y Validación</w:t>
      </w:r>
    </w:p>
    <w:p>
      <w:pPr>
        <w:pStyle w:val="Heading2"/>
        <w:spacing w:after="140" w:before="280"/>
      </w:pPr>
      <w:r>
        <w:rPr>
          <w:rFonts w:ascii="Arial" w:cs="Arial" w:eastAsia="Arial" w:hAnsi="Arial"/>
          <w:b/>
          <w:bCs/>
          <w:color w:val="1A6B4A"/>
          <w:sz w:val="26"/>
          <w:szCs w:val="26"/>
        </w:rPr>
        <w:t xml:space="preserve">10.1 Caso base: k = 2 (compatibilidad con GeoMIP)</w:t>
      </w:r>
    </w:p>
    <w:p>
      <w:pPr>
        <w:spacing w:after="100" w:before="100"/>
        <w:jc w:val="both"/>
      </w:pPr>
      <w:r>
        <w:rPr>
          <w:rFonts w:ascii="Arial" w:cs="Arial" w:eastAsia="Arial" w:hAnsi="Arial"/>
          <w:sz w:val="22"/>
          <w:szCs w:val="22"/>
        </w:rPr>
        <w:t xml:space="preserve">Para k = 2, SubCube-Factor debe reproducir biparticiones iguales o de menor pérdida que GeoMIP original. Si el clustering espectral con k = 2 no coincide, se puede reemplazar la Fase 3 por la búsqueda de complementariedad de GeoMIP para este caso específico.</w:t>
      </w:r>
    </w:p>
    <w:p>
      <w:pPr>
        <w:pStyle w:val="Heading2"/>
        <w:spacing w:after="140" w:before="280"/>
      </w:pPr>
      <w:r>
        <w:rPr>
          <w:rFonts w:ascii="Arial" w:cs="Arial" w:eastAsia="Arial" w:hAnsi="Arial"/>
          <w:b/>
          <w:bCs/>
          <w:color w:val="1A6B4A"/>
          <w:sz w:val="26"/>
          <w:szCs w:val="26"/>
        </w:rPr>
        <w:t xml:space="preserve">10.2 Validación con PyPhi para n ≤ 6</w:t>
      </w:r>
    </w:p>
    <w:p>
      <w:pPr>
        <w:spacing w:after="100" w:before="100"/>
        <w:jc w:val="both"/>
      </w:pPr>
      <w:r>
        <w:rPr>
          <w:rFonts w:ascii="Arial" w:cs="Arial" w:eastAsia="Arial" w:hAnsi="Arial"/>
          <w:sz w:val="22"/>
          <w:szCs w:val="22"/>
        </w:rPr>
        <w:t xml:space="preserve">Para sistemas pequeños donde PyPhi es viable, comparar la k-partición retornada por SubCube-Factor con la óptima de PyPhi. Se esperan tasas de acierto &gt; 80% según los criterios del proyecto.</w:t>
      </w:r>
    </w:p>
    <w:p>
      <w:pPr>
        <w:pStyle w:val="Heading2"/>
        <w:spacing w:after="140" w:before="280"/>
      </w:pPr>
      <w:r>
        <w:rPr>
          <w:rFonts w:ascii="Arial" w:cs="Arial" w:eastAsia="Arial" w:hAnsi="Arial"/>
          <w:b/>
          <w:bCs/>
          <w:color w:val="1A6B4A"/>
          <w:sz w:val="26"/>
          <w:szCs w:val="26"/>
        </w:rPr>
        <w:t xml:space="preserve">10.3 Análisis de sensibilidad al parámetro d</w:t>
      </w:r>
    </w:p>
    <w:p>
      <w:pPr>
        <w:spacing w:after="100" w:before="100"/>
        <w:jc w:val="both"/>
      </w:pPr>
      <w:r>
        <w:rPr>
          <w:rFonts w:ascii="Arial" w:cs="Arial" w:eastAsia="Arial" w:hAnsi="Arial"/>
          <w:sz w:val="22"/>
          <w:szCs w:val="22"/>
        </w:rPr>
        <w:t xml:space="preserve">Ejecutar el algoritmo con d ∈ {2, ⌊n/3⌋, ⌊n/2⌋, n−1} sobre los mismos sistemas y comparar: (a) tasa de acierto respecto a PyPhi, (b) tiempo de ejecución, (c) pérdida δₖ de la partición encontrada.</w:t>
      </w:r>
    </w:p>
    <w:p>
      <w:pPr>
        <w:spacing w:after="60" w:before="60"/>
      </w:pPr>
      <w:r>
        <w:t xml:space="preserve"/>
      </w:r>
    </w:p>
    <w:p>
      <w:pPr>
        <w:pBdr>
          <w:bottom w:val="single" w:color="CCCCCC" w:sz="4" w:space="1"/>
        </w:pBdr>
        <w:spacing w:after="200" w:before="200"/>
      </w:pPr>
      <w:r>
        <w:t xml:space="preserve"/>
      </w:r>
    </w:p>
    <w:p>
      <w:pPr>
        <w:pStyle w:val="Heading1"/>
        <w:spacing w:after="180" w:before="360"/>
      </w:pPr>
      <w:r>
        <w:rPr>
          <w:rFonts w:ascii="Arial" w:cs="Arial" w:eastAsia="Arial" w:hAnsi="Arial"/>
          <w:b/>
          <w:bCs/>
          <w:color w:val="2E4A8B"/>
          <w:sz w:val="32"/>
          <w:szCs w:val="32"/>
        </w:rPr>
        <w:t xml:space="preserve">11. Observaciones Finales</w:t>
      </w:r>
    </w:p>
    <w:p>
      <w:pPr>
        <w:spacing w:after="100" w:before="100"/>
        <w:jc w:val="both"/>
      </w:pPr>
      <w:r>
        <w:rPr>
          <w:rFonts w:ascii="Arial" w:cs="Arial" w:eastAsia="Arial" w:hAnsi="Arial"/>
          <w:sz w:val="22"/>
          <w:szCs w:val="22"/>
        </w:rPr>
        <w:t xml:space="preserve">SubCube-Factor es una heurística genuinamente diferente de QNodes y GeoMIP: no descarta caminos en el hipercubo (como QNodes) ni busca biparticiones por complementariedad global en una tabla única (como GeoMIP). En cambio, extrae información local de subestructuras del hipercubo y la sintetiza en una señal de afinidad entre variables, delegando la partición al clustering espectral.</w:t>
      </w:r>
    </w:p>
    <w:p>
      <w:pPr>
        <w:spacing w:after="100" w:before="100"/>
        <w:jc w:val="both"/>
      </w:pPr>
      <w:r>
        <w:rPr>
          <w:rFonts w:ascii="Arial" w:cs="Arial" w:eastAsia="Arial" w:hAnsi="Arial"/>
          <w:sz w:val="22"/>
          <w:szCs w:val="22"/>
        </w:rPr>
        <w:t xml:space="preserve">La hipótesis de localidad es el eje teórico central y debe ser validada empíricamente: si variables en la misma parte de la k-MIP óptima efectivamente muestran mayor correlación entre sus tablas de costos locales, la heurística producirá buenas soluciones. Esta validación es en sí misma un resultado experimental valioso del proyecto.</w:t>
      </w:r>
    </w:p>
    <w:p>
      <w:pPr>
        <w:spacing w:after="60" w:before="60"/>
      </w:pPr>
      <w:r>
        <w:t xml:space="preserve"/>
      </w:r>
    </w:p>
    <w:p>
      <w:pPr>
        <w:spacing w:after="80" w:before="80"/>
        <w:ind w:left="720"/>
      </w:pPr>
      <w:r>
        <w:rPr>
          <w:rFonts w:ascii="Arial" w:cs="Arial" w:eastAsia="Arial" w:hAnsi="Arial"/>
          <w:i/>
          <w:iCs/>
          <w:color w:val="555555"/>
          <w:sz w:val="20"/>
          <w:szCs w:val="20"/>
        </w:rPr>
        <w:t xml:space="preserve">📌 Este documento es un punto de partida para la formalización. Se recomienda refinar las definiciones matemáticas de las Secciones 4.3 y 4.4 a medida que avance la implementación y los experimentos revelen comportamientos específicos del sistema.</w:t>
      </w:r>
    </w:p>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A8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6B4A"/>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2026-04-01T22:33:32.294Z</dcterms:created>
  <dcterms:modified xsi:type="dcterms:W3CDTF">2026-04-01T22:33:32.295Z</dcterms:modified>
</cp:coreProperties>
</file>

<file path=docProps/custom.xml><?xml version="1.0" encoding="utf-8"?>
<Properties xmlns="http://schemas.openxmlformats.org/officeDocument/2006/custom-properties" xmlns:vt="http://schemas.openxmlformats.org/officeDocument/2006/docPropsVTypes"/>
</file>