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Solicitud de Control de Cambios (RFC)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Caso ilustrativo basado en la propuesta de Marketing.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RFC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RFC-001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del cambio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Proyección del logo corporativo durante el vuelo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Solicitante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solicitud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10-Febrero-202X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actual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PM responsable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Pérez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Propuesto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Modifica línea base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Alcance / Cronograma / Costos / Riesgos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cambio (qué y para qué)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Descripción resumida: Añadir capacidad de proyección del logo de la empresa durante el vuelo (visibilidad de marca).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Objetivo/intención: Incrementar reconocimiento de marca y diferenciación en punto de entrega; potencial de marketing viral.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Motivo de negocio: Iniciativa de Marketing para apoyar campañas y posicionamiento.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Beneficios esperados (medibles)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KPI de marca: +X% brand lift; +Y% menciones/redes; NPS entrega +Z.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Comercial: +A% conversión en áreas piloto; +B% referidos.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Operación: Cero impacto en SLA y seguridad (criterio de aceptación del piloto).</w:t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Opciones consideradas</w:t>
      </w:r>
    </w:p>
    <w:tbl>
      <w:tblPr>
        <w:tblStyle w:val="Table2"/>
        <w:tblW w:w="885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8"/>
        <w:gridCol w:w="1325"/>
        <w:gridCol w:w="1888"/>
        <w:gridCol w:w="860"/>
        <w:gridCol w:w="988"/>
        <w:gridCol w:w="1265"/>
        <w:gridCol w:w="1412"/>
        <w:tblGridChange w:id="0">
          <w:tblGrid>
            <w:gridCol w:w="1118"/>
            <w:gridCol w:w="1325"/>
            <w:gridCol w:w="1888"/>
            <w:gridCol w:w="860"/>
            <w:gridCol w:w="988"/>
            <w:gridCol w:w="1265"/>
            <w:gridCol w:w="141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Alcance estimado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Tiempo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Riesgos clave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Matriz LED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Tira/matriz LED controlada por firmware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HW LED+driver+arnés; FW patrones; pruebas EMI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$$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+1–2 sprints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Autonomía; distracción; EMI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Más simple y ligera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Mini proyector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óptico (gobo) proyecta logo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HW óptico; potencia; FW térmico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$$$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+2–4 sprints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Consumo; masa; térmico; regulación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Mayor impacto de marca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Sin 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Branding estático (vinilos)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Beneficio limitado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impacto técnico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Impacto estimado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Alcance (WBS): 1.1, 1.3, 1.4, 2.2 (opcional), 4.2.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Tiempo: Opción A +2–4 semanas; puede entrar a ruta crítica por lead time.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Costo: CAPEX componentes $X; OPEX horas de ingeniería/QA $Y.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Riesgos: Autonomía, seguridad visual (HSSE), regulatorio/compliance, EMI. Mitigación: límites de potencia/duty, pruebas EMI, feature flag OFF por defecto.</w:t>
      </w:r>
    </w:p>
    <w:p w:rsidR="00000000" w:rsidDel="00000000" w:rsidP="00000000" w:rsidRDefault="00000000" w:rsidRPr="00000000" w14:paraId="0000003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Recomendación del PM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Recomendación: Diferir la inclusión en línea base; aprobar piloto controlado (Opción A – LED) con feature flag, condicionado 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Validar autonomía (no perder &gt;1 min con 2 kg).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No objeciones regulatorias (Compliance) en zona piloto.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Uso desactivado en despegue/aterrizaje (HSSE).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Cumplir umbrales de KPI (brand lift/NPS) en ≤8 semanas.</w:t>
      </w:r>
    </w:p>
    <w:p w:rsidR="00000000" w:rsidDel="00000000" w:rsidP="00000000" w:rsidRDefault="00000000" w:rsidRPr="00000000" w14:paraId="0000004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 de implementación (si se aprueba)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Alcance piloto: drones equipados, zona controlada.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Hitos: diseño (1 sprint) → integración (1 sprint) → pruebas EMI/autonomía (1 sem) → campo (2 sem) → evaluación KPI (2 sem).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Responsables: Mecánico, Eléctrico, Firmware, QA, Compliance, HSSE, Marketing (medición KPI).</w:t>
      </w:r>
    </w:p>
    <w:p w:rsidR="00000000" w:rsidDel="00000000" w:rsidP="00000000" w:rsidRDefault="00000000" w:rsidRPr="00000000" w14:paraId="0000004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Aprobaciones (CCB)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HSSE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Sponsor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favor / En contra / Diferir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 CCB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Aprobado / Rechazado / Diferido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Gestión de línea base y versiones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Línea base actual: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Alcance S-1.0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Cronograma T-1.0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Costos C-1.0</w:t>
      </w:r>
    </w:p>
    <w:tbl>
      <w:tblPr>
        <w:tblStyle w:val="Table4"/>
        <w:tblW w:w="885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831"/>
        <w:gridCol w:w="1011"/>
        <w:gridCol w:w="987"/>
        <w:gridCol w:w="1059"/>
        <w:gridCol w:w="895"/>
        <w:gridCol w:w="888"/>
        <w:gridCol w:w="1304"/>
        <w:gridCol w:w="1064"/>
        <w:tblGridChange w:id="0">
          <w:tblGrid>
            <w:gridCol w:w="817"/>
            <w:gridCol w:w="831"/>
            <w:gridCol w:w="1011"/>
            <w:gridCol w:w="987"/>
            <w:gridCol w:w="1059"/>
            <w:gridCol w:w="895"/>
            <w:gridCol w:w="888"/>
            <w:gridCol w:w="1304"/>
            <w:gridCol w:w="106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ID RFC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Baselines impactadas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Estimado (Δalc/Δt/Δ$)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Decisión CCB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Fecha decisión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Implementación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RFC-001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28-Oct-202X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Proyección logo (LED)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S/T/C (si aplica)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Alcance: medio; Tiempo: +2–4 sem; Costo: $$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Diferido (piloto)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Pilotado sin tocar S-1.0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(PM)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Flujo del proceso de cambio (resumen)</w:t>
      </w:r>
    </w:p>
    <w:p w:rsidR="00000000" w:rsidDel="00000000" w:rsidP="00000000" w:rsidRDefault="00000000" w:rsidRPr="00000000" w14:paraId="0000007E">
      <w:pPr>
        <w:rPr/>
      </w:pPr>
      <w:bookmarkStart w:colFirst="0" w:colLast="0" w:name="_ia3xb1uuumh" w:id="0"/>
      <w:bookmarkEnd w:id="0"/>
      <w:r w:rsidDel="00000000" w:rsidR="00000000" w:rsidRPr="00000000">
        <w:rPr>
          <w:rtl w:val="0"/>
        </w:rPr>
        <w:t xml:space="preserve">1. Registro de solicitud (RFC).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Triage del PM (validación de información).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Análisis técnico/ROI/riesgos con áreas (QA, Compliance, HSSE, Ingeniería).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Revisión y decisión del CCB.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Ejecución (si aprueba): planificación, controles y comunicaciones.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6. Actualización de baselines/configuración (si se incorpora).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7. Cierre: verificación de beneficios y lecciones.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240" w:lineRule="auto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