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9C6C6" w14:textId="77777777" w:rsidR="001C1B35" w:rsidRDefault="001C1B35">
      <w:pPr>
        <w:rPr>
          <w:rFonts w:ascii="Times New Roman" w:hAnsi="Times New Roman" w:cs="Times New Roman"/>
          <w:sz w:val="24"/>
          <w:szCs w:val="24"/>
        </w:rPr>
      </w:pPr>
    </w:p>
    <w:p w14:paraId="7E7B5F89" w14:textId="77777777" w:rsidR="0018113B" w:rsidRPr="00D6656B" w:rsidRDefault="00DB752D" w:rsidP="00F17A0E">
      <w:pPr>
        <w:pStyle w:val="PargrafodaLista"/>
        <w:numPr>
          <w:ilvl w:val="0"/>
          <w:numId w:val="4"/>
        </w:numPr>
        <w:rPr>
          <w:rFonts w:ascii="Times New Roman" w:hAnsi="Times New Roman" w:cs="Times New Roman"/>
          <w:b/>
          <w:smallCaps/>
          <w:sz w:val="24"/>
          <w:szCs w:val="24"/>
        </w:rPr>
      </w:pPr>
      <w:r w:rsidRPr="00D6656B">
        <w:rPr>
          <w:rFonts w:ascii="Times New Roman" w:hAnsi="Times New Roman" w:cs="Times New Roman"/>
          <w:b/>
          <w:smallCaps/>
          <w:sz w:val="24"/>
          <w:szCs w:val="24"/>
        </w:rPr>
        <w:t>Introdução e Motivação</w:t>
      </w:r>
    </w:p>
    <w:p w14:paraId="5E0D0128" w14:textId="77777777" w:rsidR="0018113B" w:rsidRDefault="0018113B">
      <w:pPr>
        <w:rPr>
          <w:rFonts w:ascii="Times New Roman" w:hAnsi="Times New Roman" w:cs="Times New Roman"/>
          <w:sz w:val="24"/>
          <w:szCs w:val="24"/>
        </w:rPr>
      </w:pPr>
      <w:bookmarkStart w:id="0" w:name="_GoBack"/>
      <w:bookmarkEnd w:id="0"/>
    </w:p>
    <w:p w14:paraId="33F23512" w14:textId="77777777" w:rsidR="00414FF0" w:rsidRDefault="00BC5ACA" w:rsidP="00CC515B">
      <w:pPr>
        <w:ind w:firstLine="708"/>
        <w:jc w:val="both"/>
        <w:rPr>
          <w:rFonts w:ascii="Times New Roman" w:hAnsi="Times New Roman" w:cs="Times New Roman"/>
          <w:sz w:val="24"/>
          <w:szCs w:val="24"/>
        </w:rPr>
      </w:pPr>
      <w:r>
        <w:rPr>
          <w:rFonts w:ascii="Times New Roman" w:hAnsi="Times New Roman" w:cs="Times New Roman"/>
          <w:sz w:val="24"/>
          <w:szCs w:val="24"/>
        </w:rPr>
        <w:t xml:space="preserve">Há um </w:t>
      </w:r>
      <w:r w:rsidR="00480E56">
        <w:rPr>
          <w:rFonts w:ascii="Times New Roman" w:hAnsi="Times New Roman" w:cs="Times New Roman"/>
          <w:sz w:val="24"/>
          <w:szCs w:val="24"/>
        </w:rPr>
        <w:t>consenso entre os economistas sobre o</w:t>
      </w:r>
      <w:r>
        <w:rPr>
          <w:rFonts w:ascii="Times New Roman" w:hAnsi="Times New Roman" w:cs="Times New Roman"/>
          <w:sz w:val="24"/>
          <w:szCs w:val="24"/>
        </w:rPr>
        <w:t xml:space="preserve"> papel das instituições na promoção do crescimento econômico</w:t>
      </w:r>
      <w:r w:rsidR="002644BE">
        <w:rPr>
          <w:rFonts w:ascii="Times New Roman" w:hAnsi="Times New Roman" w:cs="Times New Roman"/>
          <w:sz w:val="24"/>
          <w:szCs w:val="24"/>
        </w:rPr>
        <w:t>.</w:t>
      </w:r>
      <w:r w:rsidR="00414FF0">
        <w:rPr>
          <w:rFonts w:ascii="Times New Roman" w:hAnsi="Times New Roman" w:cs="Times New Roman"/>
          <w:sz w:val="24"/>
          <w:szCs w:val="24"/>
        </w:rPr>
        <w:t xml:space="preserve"> Atribui-se </w:t>
      </w:r>
      <w:r w:rsidR="00480E56">
        <w:rPr>
          <w:rFonts w:ascii="Times New Roman" w:hAnsi="Times New Roman" w:cs="Times New Roman"/>
          <w:sz w:val="24"/>
          <w:szCs w:val="24"/>
        </w:rPr>
        <w:t>a elas</w:t>
      </w:r>
      <w:r w:rsidR="00414FF0">
        <w:rPr>
          <w:rFonts w:ascii="Times New Roman" w:hAnsi="Times New Roman" w:cs="Times New Roman"/>
          <w:sz w:val="24"/>
          <w:szCs w:val="24"/>
        </w:rPr>
        <w:t xml:space="preserve"> um papel fundamental no crescimento de longo prazo dos países, isso porque as instituições econômicas </w:t>
      </w:r>
      <w:r w:rsidR="00480E56">
        <w:rPr>
          <w:rFonts w:ascii="Times New Roman" w:hAnsi="Times New Roman" w:cs="Times New Roman"/>
          <w:sz w:val="24"/>
          <w:szCs w:val="24"/>
        </w:rPr>
        <w:t>podem determinar</w:t>
      </w:r>
      <w:r w:rsidR="00414FF0">
        <w:rPr>
          <w:rFonts w:ascii="Times New Roman" w:hAnsi="Times New Roman" w:cs="Times New Roman"/>
          <w:sz w:val="24"/>
          <w:szCs w:val="24"/>
        </w:rPr>
        <w:t xml:space="preserve"> os incentivos e a restrições dos agentes econômicos e </w:t>
      </w:r>
      <w:r w:rsidR="00480E56">
        <w:rPr>
          <w:rFonts w:ascii="Times New Roman" w:hAnsi="Times New Roman" w:cs="Times New Roman"/>
          <w:sz w:val="24"/>
          <w:szCs w:val="24"/>
        </w:rPr>
        <w:t xml:space="preserve">podem moldar </w:t>
      </w:r>
      <w:r w:rsidR="00212ADD">
        <w:rPr>
          <w:rFonts w:ascii="Times New Roman" w:hAnsi="Times New Roman" w:cs="Times New Roman"/>
          <w:sz w:val="24"/>
          <w:szCs w:val="24"/>
        </w:rPr>
        <w:t xml:space="preserve">como são alocados os recursos econômicos tais como investimentos em capital físico e humano além de conduzir a próprio meio </w:t>
      </w:r>
      <w:r w:rsidR="0043658A">
        <w:rPr>
          <w:rFonts w:ascii="Times New Roman" w:hAnsi="Times New Roman" w:cs="Times New Roman"/>
          <w:sz w:val="24"/>
          <w:szCs w:val="24"/>
        </w:rPr>
        <w:t>de organizar a produção em si</w:t>
      </w:r>
      <w:r w:rsidR="002878A8">
        <w:rPr>
          <w:rStyle w:val="Refdenotaderodap"/>
          <w:rFonts w:ascii="Times New Roman" w:hAnsi="Times New Roman" w:cs="Times New Roman"/>
          <w:sz w:val="24"/>
          <w:szCs w:val="24"/>
        </w:rPr>
        <w:footnoteReference w:id="1"/>
      </w:r>
      <w:r w:rsidR="002878A8">
        <w:rPr>
          <w:rFonts w:ascii="Times New Roman" w:hAnsi="Times New Roman" w:cs="Times New Roman"/>
          <w:sz w:val="24"/>
          <w:szCs w:val="24"/>
        </w:rPr>
        <w:t>.</w:t>
      </w:r>
    </w:p>
    <w:p w14:paraId="6DEACFB3" w14:textId="77777777" w:rsidR="008D2259" w:rsidRDefault="008D2259" w:rsidP="00CC515B">
      <w:pPr>
        <w:ind w:firstLine="708"/>
        <w:jc w:val="both"/>
        <w:rPr>
          <w:rFonts w:ascii="Times New Roman" w:hAnsi="Times New Roman" w:cs="Times New Roman"/>
          <w:sz w:val="24"/>
          <w:szCs w:val="24"/>
        </w:rPr>
      </w:pPr>
      <w:r>
        <w:rPr>
          <w:rFonts w:ascii="Times New Roman" w:hAnsi="Times New Roman" w:cs="Times New Roman"/>
          <w:sz w:val="24"/>
          <w:szCs w:val="24"/>
        </w:rPr>
        <w:t xml:space="preserve">Ou seja, um ambiente institucional definido por meio do respeito a direitos de propriedades, do estabelecimento do estado de direito, de baixo nível de corrupção e burocracia dentre outras variáveis institucionais estão fortemente relacionados e/ou são pré-condições para o desenvolvimento </w:t>
      </w:r>
      <w:r w:rsidR="009D3A61">
        <w:rPr>
          <w:rFonts w:ascii="Times New Roman" w:hAnsi="Times New Roman" w:cs="Times New Roman"/>
          <w:sz w:val="24"/>
          <w:szCs w:val="24"/>
        </w:rPr>
        <w:t>econômico</w:t>
      </w:r>
      <w:r w:rsidR="003D6805">
        <w:rPr>
          <w:rStyle w:val="Refdenotaderodap"/>
          <w:rFonts w:ascii="Times New Roman" w:hAnsi="Times New Roman" w:cs="Times New Roman"/>
          <w:sz w:val="24"/>
          <w:szCs w:val="24"/>
        </w:rPr>
        <w:footnoteReference w:id="2"/>
      </w:r>
      <w:r w:rsidR="009D3A61">
        <w:rPr>
          <w:rFonts w:ascii="Times New Roman" w:hAnsi="Times New Roman" w:cs="Times New Roman"/>
          <w:sz w:val="24"/>
          <w:szCs w:val="24"/>
        </w:rPr>
        <w:t>. Em outras palavras, países com melhores “instituições”, maiores direitos de propriedade e com políticas econômicas menos distorcidas investirão mais em capital físico e humano e usarão estes fatores de forma mais eficientes para alcançar um nível maior de renda</w:t>
      </w:r>
      <w:r w:rsidR="003D6805">
        <w:rPr>
          <w:rFonts w:ascii="Times New Roman" w:hAnsi="Times New Roman" w:cs="Times New Roman"/>
          <w:sz w:val="24"/>
          <w:szCs w:val="24"/>
        </w:rPr>
        <w:t>.</w:t>
      </w:r>
    </w:p>
    <w:p w14:paraId="642EEFE6" w14:textId="77777777" w:rsidR="00AE080D" w:rsidRDefault="00CC515B" w:rsidP="00BC5ACA">
      <w:pPr>
        <w:ind w:firstLine="708"/>
        <w:jc w:val="both"/>
        <w:rPr>
          <w:rFonts w:ascii="Times New Roman" w:hAnsi="Times New Roman" w:cs="Times New Roman"/>
          <w:sz w:val="24"/>
          <w:szCs w:val="24"/>
        </w:rPr>
      </w:pPr>
      <w:r>
        <w:rPr>
          <w:rFonts w:ascii="Times New Roman" w:hAnsi="Times New Roman" w:cs="Times New Roman"/>
          <w:sz w:val="24"/>
          <w:szCs w:val="24"/>
        </w:rPr>
        <w:t>Dessa forma, é</w:t>
      </w:r>
      <w:r w:rsidR="002938AA">
        <w:rPr>
          <w:rFonts w:ascii="Times New Roman" w:hAnsi="Times New Roman" w:cs="Times New Roman"/>
          <w:sz w:val="24"/>
          <w:szCs w:val="24"/>
        </w:rPr>
        <w:t xml:space="preserve"> neste arcabouço institucional que se insere o </w:t>
      </w:r>
      <w:r w:rsidR="005A04AA">
        <w:rPr>
          <w:rFonts w:ascii="Times New Roman" w:hAnsi="Times New Roman" w:cs="Times New Roman"/>
          <w:sz w:val="24"/>
          <w:szCs w:val="24"/>
        </w:rPr>
        <w:t>denominado</w:t>
      </w:r>
      <w:r w:rsidR="002938AA">
        <w:rPr>
          <w:rFonts w:ascii="Times New Roman" w:hAnsi="Times New Roman" w:cs="Times New Roman"/>
          <w:sz w:val="24"/>
          <w:szCs w:val="24"/>
        </w:rPr>
        <w:t xml:space="preserve"> ambiente de negócios.</w:t>
      </w:r>
      <w:r>
        <w:rPr>
          <w:rFonts w:ascii="Times New Roman" w:hAnsi="Times New Roman" w:cs="Times New Roman"/>
          <w:sz w:val="24"/>
          <w:szCs w:val="24"/>
        </w:rPr>
        <w:t xml:space="preserve"> </w:t>
      </w:r>
      <w:r w:rsidR="0058351E" w:rsidRPr="0058351E">
        <w:rPr>
          <w:rFonts w:ascii="Times New Roman" w:hAnsi="Times New Roman" w:cs="Times New Roman"/>
          <w:sz w:val="24"/>
          <w:szCs w:val="24"/>
        </w:rPr>
        <w:t xml:space="preserve">A conceituação de ambiente de negócios é ampla uma vez que envolve aspectos ligados as questões jurídicas, econômicas e sociais. </w:t>
      </w:r>
      <w:r w:rsidR="003D6805">
        <w:rPr>
          <w:rFonts w:ascii="Times New Roman" w:hAnsi="Times New Roman" w:cs="Times New Roman"/>
          <w:sz w:val="24"/>
          <w:szCs w:val="24"/>
        </w:rPr>
        <w:t>Nesse sentido</w:t>
      </w:r>
      <w:r w:rsidR="0058351E" w:rsidRPr="0058351E">
        <w:rPr>
          <w:rFonts w:ascii="Times New Roman" w:hAnsi="Times New Roman" w:cs="Times New Roman"/>
          <w:sz w:val="24"/>
          <w:szCs w:val="24"/>
        </w:rPr>
        <w:t xml:space="preserve">, </w:t>
      </w:r>
      <w:r w:rsidR="0058351E">
        <w:rPr>
          <w:rFonts w:ascii="Times New Roman" w:hAnsi="Times New Roman" w:cs="Times New Roman"/>
          <w:sz w:val="24"/>
          <w:szCs w:val="24"/>
        </w:rPr>
        <w:t>o</w:t>
      </w:r>
      <w:r w:rsidR="00F91839" w:rsidRPr="0058351E">
        <w:rPr>
          <w:rFonts w:ascii="Times New Roman" w:hAnsi="Times New Roman" w:cs="Times New Roman"/>
          <w:sz w:val="24"/>
          <w:szCs w:val="24"/>
        </w:rPr>
        <w:t xml:space="preserve"> amb</w:t>
      </w:r>
      <w:r w:rsidR="0058351E" w:rsidRPr="0058351E">
        <w:rPr>
          <w:rFonts w:ascii="Times New Roman" w:hAnsi="Times New Roman" w:cs="Times New Roman"/>
          <w:sz w:val="24"/>
          <w:szCs w:val="24"/>
        </w:rPr>
        <w:t>iente de negócio pode ser caracterizado</w:t>
      </w:r>
      <w:r w:rsidR="00F91839" w:rsidRPr="0058351E">
        <w:rPr>
          <w:rFonts w:ascii="Times New Roman" w:hAnsi="Times New Roman" w:cs="Times New Roman"/>
          <w:sz w:val="24"/>
          <w:szCs w:val="24"/>
        </w:rPr>
        <w:t xml:space="preserve"> por uma complexidade de fatores que </w:t>
      </w:r>
      <w:r w:rsidR="00DB752D">
        <w:rPr>
          <w:rFonts w:ascii="Times New Roman" w:hAnsi="Times New Roman" w:cs="Times New Roman"/>
          <w:sz w:val="24"/>
          <w:szCs w:val="24"/>
        </w:rPr>
        <w:t>tem origens tanto em ques</w:t>
      </w:r>
      <w:r w:rsidR="00DB2850">
        <w:rPr>
          <w:rFonts w:ascii="Times New Roman" w:hAnsi="Times New Roman" w:cs="Times New Roman"/>
          <w:sz w:val="24"/>
          <w:szCs w:val="24"/>
        </w:rPr>
        <w:t xml:space="preserve">tões </w:t>
      </w:r>
      <w:r w:rsidR="00DB752D">
        <w:rPr>
          <w:rFonts w:ascii="Times New Roman" w:hAnsi="Times New Roman" w:cs="Times New Roman"/>
          <w:sz w:val="24"/>
          <w:szCs w:val="24"/>
        </w:rPr>
        <w:t>eco</w:t>
      </w:r>
      <w:r w:rsidR="00F91839" w:rsidRPr="0058351E">
        <w:rPr>
          <w:rFonts w:ascii="Times New Roman" w:hAnsi="Times New Roman" w:cs="Times New Roman"/>
          <w:sz w:val="24"/>
          <w:szCs w:val="24"/>
        </w:rPr>
        <w:t>nômicas</w:t>
      </w:r>
      <w:r w:rsidR="003520B1">
        <w:rPr>
          <w:rFonts w:ascii="Times New Roman" w:hAnsi="Times New Roman" w:cs="Times New Roman"/>
          <w:sz w:val="24"/>
          <w:szCs w:val="24"/>
        </w:rPr>
        <w:t xml:space="preserve"> como em questões</w:t>
      </w:r>
      <w:r w:rsidR="00F91839" w:rsidRPr="0058351E">
        <w:rPr>
          <w:rFonts w:ascii="Times New Roman" w:hAnsi="Times New Roman" w:cs="Times New Roman"/>
          <w:sz w:val="24"/>
          <w:szCs w:val="24"/>
        </w:rPr>
        <w:t xml:space="preserve"> sociais, políticas, legais, demográficas e culturais</w:t>
      </w:r>
      <w:r w:rsidR="003D6805">
        <w:rPr>
          <w:rStyle w:val="Refdenotaderodap"/>
          <w:rFonts w:ascii="Times New Roman" w:hAnsi="Times New Roman" w:cs="Times New Roman"/>
          <w:sz w:val="24"/>
          <w:szCs w:val="24"/>
        </w:rPr>
        <w:footnoteReference w:id="3"/>
      </w:r>
      <w:r w:rsidR="00F91839" w:rsidRPr="0058351E">
        <w:rPr>
          <w:rFonts w:ascii="Times New Roman" w:hAnsi="Times New Roman" w:cs="Times New Roman"/>
          <w:sz w:val="24"/>
          <w:szCs w:val="24"/>
        </w:rPr>
        <w:t xml:space="preserve">. </w:t>
      </w:r>
      <w:r w:rsidR="005A04AA">
        <w:rPr>
          <w:rFonts w:ascii="Times New Roman" w:hAnsi="Times New Roman" w:cs="Times New Roman"/>
          <w:sz w:val="24"/>
          <w:szCs w:val="24"/>
        </w:rPr>
        <w:t xml:space="preserve">Outro conceito que pode ser relacionado é </w:t>
      </w:r>
      <w:r w:rsidR="003520B1">
        <w:rPr>
          <w:rFonts w:ascii="Times New Roman" w:hAnsi="Times New Roman" w:cs="Times New Roman"/>
          <w:sz w:val="24"/>
          <w:szCs w:val="24"/>
        </w:rPr>
        <w:t xml:space="preserve">o ambiente de negócio </w:t>
      </w:r>
      <w:r w:rsidR="00BD4905">
        <w:rPr>
          <w:rFonts w:ascii="Times New Roman" w:hAnsi="Times New Roman" w:cs="Times New Roman"/>
          <w:sz w:val="24"/>
          <w:szCs w:val="24"/>
        </w:rPr>
        <w:t>é a junção de todos os</w:t>
      </w:r>
      <w:r w:rsidR="003520B1">
        <w:rPr>
          <w:rFonts w:ascii="Times New Roman" w:hAnsi="Times New Roman" w:cs="Times New Roman"/>
          <w:sz w:val="24"/>
          <w:szCs w:val="24"/>
        </w:rPr>
        <w:t xml:space="preserve"> fatores</w:t>
      </w:r>
      <w:r w:rsidR="005A04AA">
        <w:rPr>
          <w:rFonts w:ascii="Times New Roman" w:hAnsi="Times New Roman" w:cs="Times New Roman"/>
          <w:sz w:val="24"/>
          <w:szCs w:val="24"/>
        </w:rPr>
        <w:t xml:space="preserve"> </w:t>
      </w:r>
      <w:r w:rsidR="00BD4905">
        <w:rPr>
          <w:rFonts w:ascii="Times New Roman" w:hAnsi="Times New Roman" w:cs="Times New Roman"/>
          <w:sz w:val="24"/>
          <w:szCs w:val="24"/>
        </w:rPr>
        <w:t xml:space="preserve">externos </w:t>
      </w:r>
      <w:r w:rsidR="005A04AA">
        <w:rPr>
          <w:rFonts w:ascii="Times New Roman" w:hAnsi="Times New Roman" w:cs="Times New Roman"/>
          <w:sz w:val="24"/>
          <w:szCs w:val="24"/>
        </w:rPr>
        <w:t>que não estão ligados ao ato de empreender em si, mas que</w:t>
      </w:r>
      <w:r w:rsidR="003520B1">
        <w:rPr>
          <w:rFonts w:ascii="Times New Roman" w:hAnsi="Times New Roman" w:cs="Times New Roman"/>
          <w:sz w:val="24"/>
          <w:szCs w:val="24"/>
        </w:rPr>
        <w:t xml:space="preserve"> influencia na decisão de empreender ou fazer investimentos</w:t>
      </w:r>
      <w:r w:rsidR="00480E56">
        <w:rPr>
          <w:rStyle w:val="Refdenotaderodap"/>
          <w:rFonts w:ascii="Times New Roman" w:hAnsi="Times New Roman" w:cs="Times New Roman"/>
          <w:sz w:val="24"/>
          <w:szCs w:val="24"/>
        </w:rPr>
        <w:footnoteReference w:id="4"/>
      </w:r>
      <w:r w:rsidR="00480E56">
        <w:rPr>
          <w:rFonts w:ascii="Times New Roman" w:hAnsi="Times New Roman" w:cs="Times New Roman"/>
          <w:sz w:val="24"/>
          <w:szCs w:val="24"/>
        </w:rPr>
        <w:t>.</w:t>
      </w:r>
    </w:p>
    <w:p w14:paraId="77B63DB7" w14:textId="77777777" w:rsidR="00BD4905" w:rsidRDefault="00BD4905" w:rsidP="00BC5ACA">
      <w:pPr>
        <w:ind w:firstLine="708"/>
        <w:jc w:val="both"/>
        <w:rPr>
          <w:rFonts w:ascii="Times New Roman" w:hAnsi="Times New Roman" w:cs="Times New Roman"/>
          <w:sz w:val="24"/>
          <w:szCs w:val="24"/>
        </w:rPr>
      </w:pPr>
      <w:r>
        <w:rPr>
          <w:rFonts w:ascii="Times New Roman" w:hAnsi="Times New Roman" w:cs="Times New Roman"/>
          <w:sz w:val="24"/>
          <w:szCs w:val="24"/>
        </w:rPr>
        <w:t xml:space="preserve">Dessa forma, estes conceitos relevam de certa forma que a decisão de investir não está relacionada somente as características intrínsecas do indivíduo que deseja empreender e nem a natureza do negócio em si, mas também com o arcabouço institucional </w:t>
      </w:r>
      <w:r w:rsidR="007712A7">
        <w:rPr>
          <w:rFonts w:ascii="Times New Roman" w:hAnsi="Times New Roman" w:cs="Times New Roman"/>
          <w:sz w:val="24"/>
          <w:szCs w:val="24"/>
        </w:rPr>
        <w:t>de um determinado país</w:t>
      </w:r>
      <w:r>
        <w:rPr>
          <w:rFonts w:ascii="Times New Roman" w:hAnsi="Times New Roman" w:cs="Times New Roman"/>
          <w:sz w:val="24"/>
          <w:szCs w:val="24"/>
        </w:rPr>
        <w:t xml:space="preserve">, uma vez que um investimento é </w:t>
      </w:r>
      <w:r w:rsidR="00A876A9">
        <w:rPr>
          <w:rFonts w:ascii="Times New Roman" w:hAnsi="Times New Roman" w:cs="Times New Roman"/>
          <w:sz w:val="24"/>
          <w:szCs w:val="24"/>
        </w:rPr>
        <w:t>baseado</w:t>
      </w:r>
      <w:r>
        <w:rPr>
          <w:rFonts w:ascii="Times New Roman" w:hAnsi="Times New Roman" w:cs="Times New Roman"/>
          <w:sz w:val="24"/>
          <w:szCs w:val="24"/>
        </w:rPr>
        <w:t xml:space="preserve"> nos custos e </w:t>
      </w:r>
      <w:r w:rsidR="00A876A9">
        <w:rPr>
          <w:rFonts w:ascii="Times New Roman" w:hAnsi="Times New Roman" w:cs="Times New Roman"/>
          <w:sz w:val="24"/>
          <w:szCs w:val="24"/>
        </w:rPr>
        <w:t>nas expectativas</w:t>
      </w:r>
      <w:r>
        <w:rPr>
          <w:rFonts w:ascii="Times New Roman" w:hAnsi="Times New Roman" w:cs="Times New Roman"/>
          <w:sz w:val="24"/>
          <w:szCs w:val="24"/>
        </w:rPr>
        <w:t xml:space="preserve"> de retornos</w:t>
      </w:r>
      <w:r w:rsidR="00A876A9">
        <w:rPr>
          <w:rFonts w:ascii="Times New Roman" w:hAnsi="Times New Roman" w:cs="Times New Roman"/>
          <w:sz w:val="24"/>
          <w:szCs w:val="24"/>
        </w:rPr>
        <w:t>.</w:t>
      </w:r>
    </w:p>
    <w:p w14:paraId="256A9CA7" w14:textId="77777777" w:rsidR="00F91839" w:rsidRDefault="003F7B0F" w:rsidP="00BC5ACA">
      <w:pPr>
        <w:ind w:firstLine="708"/>
        <w:jc w:val="both"/>
        <w:rPr>
          <w:rFonts w:ascii="Times New Roman" w:hAnsi="Times New Roman" w:cs="Times New Roman"/>
          <w:sz w:val="24"/>
          <w:szCs w:val="24"/>
        </w:rPr>
      </w:pPr>
      <w:r>
        <w:rPr>
          <w:rFonts w:ascii="Times New Roman" w:hAnsi="Times New Roman" w:cs="Times New Roman"/>
          <w:sz w:val="24"/>
          <w:szCs w:val="24"/>
        </w:rPr>
        <w:t xml:space="preserve">Quantificar o que é chamado ambiente de negócio também não é </w:t>
      </w:r>
      <w:r w:rsidR="00AE080D">
        <w:rPr>
          <w:rFonts w:ascii="Times New Roman" w:hAnsi="Times New Roman" w:cs="Times New Roman"/>
          <w:sz w:val="24"/>
          <w:szCs w:val="24"/>
        </w:rPr>
        <w:t>tarefa trivial</w:t>
      </w:r>
      <w:r>
        <w:rPr>
          <w:rFonts w:ascii="Times New Roman" w:hAnsi="Times New Roman" w:cs="Times New Roman"/>
          <w:sz w:val="24"/>
          <w:szCs w:val="24"/>
        </w:rPr>
        <w:t>.</w:t>
      </w:r>
      <w:r w:rsidR="003520B1">
        <w:rPr>
          <w:rFonts w:ascii="Times New Roman" w:hAnsi="Times New Roman" w:cs="Times New Roman"/>
          <w:sz w:val="24"/>
          <w:szCs w:val="24"/>
        </w:rPr>
        <w:t xml:space="preserve"> Atualmente, </w:t>
      </w:r>
      <w:r w:rsidR="0016635B">
        <w:rPr>
          <w:rFonts w:ascii="Times New Roman" w:hAnsi="Times New Roman" w:cs="Times New Roman"/>
          <w:sz w:val="24"/>
          <w:szCs w:val="24"/>
        </w:rPr>
        <w:t>um dos indicadores amplamente utilizados</w:t>
      </w:r>
      <w:r w:rsidR="00AE080D">
        <w:rPr>
          <w:rFonts w:ascii="Times New Roman" w:hAnsi="Times New Roman" w:cs="Times New Roman"/>
          <w:sz w:val="24"/>
          <w:szCs w:val="24"/>
        </w:rPr>
        <w:t xml:space="preserve"> – tanto pelos governos quanto pela academia –  e que será também</w:t>
      </w:r>
      <w:r w:rsidR="003520B1">
        <w:rPr>
          <w:rFonts w:ascii="Times New Roman" w:hAnsi="Times New Roman" w:cs="Times New Roman"/>
          <w:sz w:val="24"/>
          <w:szCs w:val="24"/>
        </w:rPr>
        <w:t xml:space="preserve"> objeto de análise deste texto</w:t>
      </w:r>
      <w:r w:rsidR="00277481">
        <w:rPr>
          <w:rFonts w:ascii="Times New Roman" w:hAnsi="Times New Roman" w:cs="Times New Roman"/>
          <w:sz w:val="24"/>
          <w:szCs w:val="24"/>
        </w:rPr>
        <w:t>,</w:t>
      </w:r>
      <w:r w:rsidR="003520B1">
        <w:rPr>
          <w:rFonts w:ascii="Times New Roman" w:hAnsi="Times New Roman" w:cs="Times New Roman"/>
          <w:sz w:val="24"/>
          <w:szCs w:val="24"/>
        </w:rPr>
        <w:t xml:space="preserve"> são </w:t>
      </w:r>
      <w:r w:rsidR="00EF60EE">
        <w:rPr>
          <w:rFonts w:ascii="Times New Roman" w:hAnsi="Times New Roman" w:cs="Times New Roman"/>
          <w:sz w:val="24"/>
          <w:szCs w:val="24"/>
        </w:rPr>
        <w:t>os divulgados</w:t>
      </w:r>
      <w:r w:rsidR="001F0BC9">
        <w:rPr>
          <w:rFonts w:ascii="Times New Roman" w:hAnsi="Times New Roman" w:cs="Times New Roman"/>
          <w:sz w:val="24"/>
          <w:szCs w:val="24"/>
        </w:rPr>
        <w:t xml:space="preserve"> pelo</w:t>
      </w:r>
      <w:r w:rsidR="00EF60EE">
        <w:rPr>
          <w:rFonts w:ascii="Times New Roman" w:hAnsi="Times New Roman" w:cs="Times New Roman"/>
          <w:sz w:val="24"/>
          <w:szCs w:val="24"/>
        </w:rPr>
        <w:t xml:space="preserve"> Banco M</w:t>
      </w:r>
      <w:r>
        <w:rPr>
          <w:rFonts w:ascii="Times New Roman" w:hAnsi="Times New Roman" w:cs="Times New Roman"/>
          <w:sz w:val="24"/>
          <w:szCs w:val="24"/>
        </w:rPr>
        <w:t xml:space="preserve">undial </w:t>
      </w:r>
      <w:r w:rsidR="001F0BC9">
        <w:rPr>
          <w:rFonts w:ascii="Times New Roman" w:hAnsi="Times New Roman" w:cs="Times New Roman"/>
          <w:sz w:val="24"/>
          <w:szCs w:val="24"/>
        </w:rPr>
        <w:t xml:space="preserve">por meio do relatório </w:t>
      </w:r>
      <w:r w:rsidRPr="001F0BC9">
        <w:rPr>
          <w:rFonts w:ascii="Times New Roman" w:hAnsi="Times New Roman" w:cs="Times New Roman"/>
          <w:i/>
          <w:sz w:val="24"/>
          <w:szCs w:val="24"/>
        </w:rPr>
        <w:t>Doing Business</w:t>
      </w:r>
      <w:r w:rsidR="007712A7">
        <w:rPr>
          <w:rStyle w:val="Refdenotaderodap"/>
          <w:rFonts w:ascii="Times New Roman" w:hAnsi="Times New Roman" w:cs="Times New Roman"/>
          <w:sz w:val="24"/>
          <w:szCs w:val="24"/>
        </w:rPr>
        <w:footnoteReference w:id="5"/>
      </w:r>
      <w:r w:rsidR="001F0BC9">
        <w:rPr>
          <w:rFonts w:ascii="Times New Roman" w:hAnsi="Times New Roman" w:cs="Times New Roman"/>
          <w:i/>
          <w:sz w:val="24"/>
          <w:szCs w:val="24"/>
        </w:rPr>
        <w:t xml:space="preserve"> –</w:t>
      </w:r>
      <w:r>
        <w:rPr>
          <w:rFonts w:ascii="Times New Roman" w:hAnsi="Times New Roman" w:cs="Times New Roman"/>
          <w:sz w:val="24"/>
          <w:szCs w:val="24"/>
        </w:rPr>
        <w:t xml:space="preserve"> que tem por finalidade </w:t>
      </w:r>
      <w:r>
        <w:rPr>
          <w:rFonts w:ascii="Times New Roman" w:hAnsi="Times New Roman" w:cs="Times New Roman"/>
          <w:sz w:val="24"/>
          <w:szCs w:val="24"/>
        </w:rPr>
        <w:lastRenderedPageBreak/>
        <w:t>proporcionar uma medida objetiva dos regulamentos para fazer negócios</w:t>
      </w:r>
      <w:r w:rsidR="00FC3E34">
        <w:rPr>
          <w:rFonts w:ascii="Times New Roman" w:hAnsi="Times New Roman" w:cs="Times New Roman"/>
          <w:sz w:val="24"/>
          <w:szCs w:val="24"/>
        </w:rPr>
        <w:t>, focando no tempo, custos e número de procedimentos necessários para se para começar e manter uma empresa</w:t>
      </w:r>
      <w:r w:rsidR="000848A5">
        <w:rPr>
          <w:rFonts w:ascii="Times New Roman" w:hAnsi="Times New Roman" w:cs="Times New Roman"/>
          <w:sz w:val="24"/>
          <w:szCs w:val="24"/>
        </w:rPr>
        <w:t xml:space="preserve">. </w:t>
      </w:r>
      <w:r w:rsidR="003520B1">
        <w:rPr>
          <w:rFonts w:ascii="Times New Roman" w:hAnsi="Times New Roman" w:cs="Times New Roman"/>
          <w:sz w:val="24"/>
          <w:szCs w:val="24"/>
        </w:rPr>
        <w:t xml:space="preserve">Há por fim, um indicador final </w:t>
      </w:r>
      <w:r w:rsidR="000848A5">
        <w:rPr>
          <w:rFonts w:ascii="Times New Roman" w:hAnsi="Times New Roman" w:cs="Times New Roman"/>
          <w:sz w:val="24"/>
          <w:szCs w:val="24"/>
        </w:rPr>
        <w:t>composto por</w:t>
      </w:r>
      <w:r w:rsidR="003520B1">
        <w:rPr>
          <w:rFonts w:ascii="Times New Roman" w:hAnsi="Times New Roman" w:cs="Times New Roman"/>
          <w:sz w:val="24"/>
          <w:szCs w:val="24"/>
        </w:rPr>
        <w:t xml:space="preserve"> estes diversos outros indicadores intermediários</w:t>
      </w:r>
      <w:r w:rsidR="00277481">
        <w:rPr>
          <w:rFonts w:ascii="Times New Roman" w:hAnsi="Times New Roman" w:cs="Times New Roman"/>
          <w:sz w:val="24"/>
          <w:szCs w:val="24"/>
        </w:rPr>
        <w:t xml:space="preserve"> denominado em facilidade em se fazer negócios (</w:t>
      </w:r>
      <w:r w:rsidR="00277481" w:rsidRPr="00277481">
        <w:rPr>
          <w:rFonts w:ascii="Times New Roman" w:hAnsi="Times New Roman" w:cs="Times New Roman"/>
          <w:i/>
          <w:sz w:val="24"/>
          <w:szCs w:val="24"/>
        </w:rPr>
        <w:t>Ease of doing business</w:t>
      </w:r>
      <w:r w:rsidR="00277481">
        <w:rPr>
          <w:rFonts w:ascii="Times New Roman" w:hAnsi="Times New Roman" w:cs="Times New Roman"/>
          <w:sz w:val="24"/>
          <w:szCs w:val="24"/>
        </w:rPr>
        <w:t>)</w:t>
      </w:r>
      <w:r w:rsidR="003520B1">
        <w:rPr>
          <w:rFonts w:ascii="Times New Roman" w:hAnsi="Times New Roman" w:cs="Times New Roman"/>
          <w:sz w:val="24"/>
          <w:szCs w:val="24"/>
        </w:rPr>
        <w:t xml:space="preserve">, </w:t>
      </w:r>
      <w:r w:rsidR="00277481">
        <w:rPr>
          <w:rFonts w:ascii="Times New Roman" w:hAnsi="Times New Roman" w:cs="Times New Roman"/>
          <w:sz w:val="24"/>
          <w:szCs w:val="24"/>
        </w:rPr>
        <w:t>o qual</w:t>
      </w:r>
      <w:r w:rsidR="000848A5">
        <w:rPr>
          <w:rFonts w:ascii="Times New Roman" w:hAnsi="Times New Roman" w:cs="Times New Roman"/>
          <w:sz w:val="24"/>
          <w:szCs w:val="24"/>
        </w:rPr>
        <w:t xml:space="preserve"> detalhados </w:t>
      </w:r>
      <w:r w:rsidR="009C2FF6">
        <w:rPr>
          <w:rFonts w:ascii="Times New Roman" w:hAnsi="Times New Roman" w:cs="Times New Roman"/>
          <w:sz w:val="24"/>
          <w:szCs w:val="24"/>
        </w:rPr>
        <w:t>posteriormente neste texto</w:t>
      </w:r>
    </w:p>
    <w:p w14:paraId="06088039" w14:textId="77777777" w:rsidR="000323A0" w:rsidRDefault="00D045E6" w:rsidP="00BC5ACA">
      <w:pPr>
        <w:ind w:firstLine="708"/>
        <w:jc w:val="both"/>
        <w:rPr>
          <w:rFonts w:ascii="Times New Roman" w:hAnsi="Times New Roman" w:cs="Times New Roman"/>
          <w:sz w:val="24"/>
          <w:szCs w:val="24"/>
        </w:rPr>
      </w:pPr>
      <w:r>
        <w:rPr>
          <w:rFonts w:ascii="Times New Roman" w:hAnsi="Times New Roman" w:cs="Times New Roman"/>
          <w:sz w:val="24"/>
          <w:szCs w:val="24"/>
        </w:rPr>
        <w:t>Este conjunto de indicadores</w:t>
      </w:r>
      <w:r w:rsidR="00FC3E34">
        <w:rPr>
          <w:rFonts w:ascii="Times New Roman" w:hAnsi="Times New Roman" w:cs="Times New Roman"/>
          <w:sz w:val="24"/>
          <w:szCs w:val="24"/>
        </w:rPr>
        <w:t xml:space="preserve"> </w:t>
      </w:r>
      <w:r>
        <w:rPr>
          <w:rFonts w:ascii="Times New Roman" w:hAnsi="Times New Roman" w:cs="Times New Roman"/>
          <w:sz w:val="24"/>
          <w:szCs w:val="24"/>
        </w:rPr>
        <w:t>possuem</w:t>
      </w:r>
      <w:r w:rsidR="00FC3E34">
        <w:rPr>
          <w:rFonts w:ascii="Times New Roman" w:hAnsi="Times New Roman" w:cs="Times New Roman"/>
          <w:sz w:val="24"/>
          <w:szCs w:val="24"/>
        </w:rPr>
        <w:t xml:space="preserve"> duas </w:t>
      </w:r>
      <w:r>
        <w:rPr>
          <w:rFonts w:ascii="Times New Roman" w:hAnsi="Times New Roman" w:cs="Times New Roman"/>
          <w:sz w:val="24"/>
          <w:szCs w:val="24"/>
        </w:rPr>
        <w:t>características que merecem destaque</w:t>
      </w:r>
      <w:r w:rsidR="00296AD9">
        <w:rPr>
          <w:rFonts w:ascii="Times New Roman" w:hAnsi="Times New Roman" w:cs="Times New Roman"/>
          <w:sz w:val="24"/>
          <w:szCs w:val="24"/>
        </w:rPr>
        <w:t>s</w:t>
      </w:r>
      <w:r w:rsidR="00FC3E34" w:rsidRPr="00FC3E34">
        <w:rPr>
          <w:rFonts w:ascii="Times New Roman" w:hAnsi="Times New Roman" w:cs="Times New Roman"/>
          <w:sz w:val="24"/>
          <w:szCs w:val="24"/>
        </w:rPr>
        <w:t xml:space="preserve">. Primeiro, </w:t>
      </w:r>
      <w:r w:rsidR="00296AD9">
        <w:rPr>
          <w:rFonts w:ascii="Times New Roman" w:hAnsi="Times New Roman" w:cs="Times New Roman"/>
          <w:sz w:val="24"/>
          <w:szCs w:val="24"/>
        </w:rPr>
        <w:t xml:space="preserve">eles </w:t>
      </w:r>
      <w:r w:rsidR="00FC3E34">
        <w:rPr>
          <w:rFonts w:ascii="Times New Roman" w:hAnsi="Times New Roman" w:cs="Times New Roman"/>
          <w:sz w:val="24"/>
          <w:szCs w:val="24"/>
        </w:rPr>
        <w:t>evidencia</w:t>
      </w:r>
      <w:r w:rsidR="00296AD9">
        <w:rPr>
          <w:rFonts w:ascii="Times New Roman" w:hAnsi="Times New Roman" w:cs="Times New Roman"/>
          <w:sz w:val="24"/>
          <w:szCs w:val="24"/>
        </w:rPr>
        <w:t>m</w:t>
      </w:r>
      <w:r w:rsidR="00FC3E34">
        <w:rPr>
          <w:rFonts w:ascii="Times New Roman" w:hAnsi="Times New Roman" w:cs="Times New Roman"/>
          <w:sz w:val="24"/>
          <w:szCs w:val="24"/>
        </w:rPr>
        <w:t xml:space="preserve"> a abordagem governamental em relação à sua política econômica em um conjunto amplo de áreas de atuação</w:t>
      </w:r>
      <w:r>
        <w:rPr>
          <w:rFonts w:ascii="Times New Roman" w:hAnsi="Times New Roman" w:cs="Times New Roman"/>
          <w:sz w:val="24"/>
          <w:szCs w:val="24"/>
        </w:rPr>
        <w:t>, uma vez que o questionário aborda o clico de vida de uma empresa desde a sua abertura, envolvendo diversos campos da legislação de cada país, desde questões relacionadas a infraestrutura e de segurança jurídica</w:t>
      </w:r>
      <w:r w:rsidR="00FC3E34" w:rsidRPr="00FC3E34">
        <w:rPr>
          <w:rFonts w:ascii="Times New Roman" w:hAnsi="Times New Roman" w:cs="Times New Roman"/>
          <w:sz w:val="24"/>
          <w:szCs w:val="24"/>
        </w:rPr>
        <w:t xml:space="preserve">. </w:t>
      </w:r>
      <w:r>
        <w:rPr>
          <w:rFonts w:ascii="Times New Roman" w:hAnsi="Times New Roman" w:cs="Times New Roman"/>
          <w:sz w:val="24"/>
          <w:szCs w:val="24"/>
        </w:rPr>
        <w:t>E em segundo lugar</w:t>
      </w:r>
      <w:r w:rsidR="00FC3E34">
        <w:rPr>
          <w:rFonts w:ascii="Times New Roman" w:hAnsi="Times New Roman" w:cs="Times New Roman"/>
          <w:sz w:val="24"/>
          <w:szCs w:val="24"/>
        </w:rPr>
        <w:t>,</w:t>
      </w:r>
      <w:r w:rsidR="00FC3E34" w:rsidRPr="00FC3E34">
        <w:rPr>
          <w:rFonts w:ascii="Times New Roman" w:hAnsi="Times New Roman" w:cs="Times New Roman"/>
          <w:sz w:val="24"/>
          <w:szCs w:val="24"/>
        </w:rPr>
        <w:t xml:space="preserve"> </w:t>
      </w:r>
      <w:r w:rsidR="00FC3E34">
        <w:rPr>
          <w:rFonts w:ascii="Times New Roman" w:hAnsi="Times New Roman" w:cs="Times New Roman"/>
          <w:sz w:val="24"/>
          <w:szCs w:val="24"/>
        </w:rPr>
        <w:t>presume-se que os dados sejam objetivos e factuais</w:t>
      </w:r>
      <w:r w:rsidR="00D37611">
        <w:rPr>
          <w:rStyle w:val="Refdenotaderodap"/>
          <w:rFonts w:ascii="Times New Roman" w:hAnsi="Times New Roman" w:cs="Times New Roman"/>
          <w:sz w:val="24"/>
          <w:szCs w:val="24"/>
        </w:rPr>
        <w:footnoteReference w:id="6"/>
      </w:r>
      <w:r>
        <w:rPr>
          <w:rFonts w:ascii="Times New Roman" w:hAnsi="Times New Roman" w:cs="Times New Roman"/>
          <w:sz w:val="24"/>
          <w:szCs w:val="24"/>
        </w:rPr>
        <w:t>, ou seja, que as resposta dos questionário enviado pelo Banco Mundial realmente reflita o panorama regulatório dos países.</w:t>
      </w:r>
      <w:r w:rsidR="00EC585F">
        <w:rPr>
          <w:rFonts w:ascii="Times New Roman" w:hAnsi="Times New Roman" w:cs="Times New Roman"/>
          <w:sz w:val="24"/>
          <w:szCs w:val="24"/>
        </w:rPr>
        <w:t xml:space="preserve"> A seção 2 deste texto trará mais especificamente sobre estes indicadores.</w:t>
      </w:r>
    </w:p>
    <w:p w14:paraId="0F2BBE1C" w14:textId="77777777" w:rsidR="000323A0" w:rsidRDefault="00EC585F" w:rsidP="000323A0">
      <w:pPr>
        <w:ind w:firstLine="708"/>
        <w:jc w:val="both"/>
        <w:rPr>
          <w:rFonts w:ascii="Times New Roman" w:hAnsi="Times New Roman" w:cs="Times New Roman"/>
          <w:sz w:val="24"/>
          <w:szCs w:val="24"/>
        </w:rPr>
      </w:pPr>
      <w:r>
        <w:rPr>
          <w:rFonts w:ascii="Times New Roman" w:hAnsi="Times New Roman" w:cs="Times New Roman"/>
          <w:sz w:val="24"/>
          <w:szCs w:val="24"/>
        </w:rPr>
        <w:t>Retomando aos aspectos econômicos, a</w:t>
      </w:r>
      <w:r w:rsidR="000323A0">
        <w:rPr>
          <w:rFonts w:ascii="Times New Roman" w:hAnsi="Times New Roman" w:cs="Times New Roman"/>
          <w:sz w:val="24"/>
          <w:szCs w:val="24"/>
        </w:rPr>
        <w:t xml:space="preserve">o longo do tempo essas preocupações com as instituições e ambiente de negócios tomaram parte da agenda de políticas econômicas e políticas públicas com preocupação especial em relação aos países em desenvolvimento. Nesse sentido, vários países em desenvolvimento, incluindo o Brasil, desde as décadas de 80/90, adotaram modificações econômicas e institucionais a fim de manter a estabilidade e o desenvolvimento econômico. </w:t>
      </w:r>
    </w:p>
    <w:p w14:paraId="1C2902E1" w14:textId="77777777" w:rsidR="00D045E6" w:rsidRDefault="00D045E6" w:rsidP="000323A0">
      <w:pPr>
        <w:ind w:firstLine="708"/>
        <w:jc w:val="both"/>
        <w:rPr>
          <w:rFonts w:ascii="Times New Roman" w:hAnsi="Times New Roman" w:cs="Times New Roman"/>
          <w:sz w:val="24"/>
          <w:szCs w:val="24"/>
        </w:rPr>
      </w:pPr>
      <w:r>
        <w:rPr>
          <w:rFonts w:ascii="Times New Roman" w:hAnsi="Times New Roman" w:cs="Times New Roman"/>
          <w:sz w:val="24"/>
          <w:szCs w:val="24"/>
        </w:rPr>
        <w:t>No Brasil temos como exemplos de mudanças importantes nesse sentido: a Reforma monetária de 94, com a criação do Plano Real; as privatizações e a criação das agências reguladoras; a Lei de responsabilidade fiscal</w:t>
      </w:r>
      <w:r w:rsidR="007F6657">
        <w:rPr>
          <w:rFonts w:ascii="Times New Roman" w:hAnsi="Times New Roman" w:cs="Times New Roman"/>
          <w:sz w:val="24"/>
          <w:szCs w:val="24"/>
        </w:rPr>
        <w:t>,</w:t>
      </w:r>
      <w:r>
        <w:rPr>
          <w:rFonts w:ascii="Times New Roman" w:hAnsi="Times New Roman" w:cs="Times New Roman"/>
          <w:sz w:val="24"/>
          <w:szCs w:val="24"/>
        </w:rPr>
        <w:t xml:space="preserve"> e diversas outras mudanças nas políticas microeconômicas</w:t>
      </w:r>
      <w:r w:rsidR="007F6657">
        <w:rPr>
          <w:rFonts w:ascii="Times New Roman" w:hAnsi="Times New Roman" w:cs="Times New Roman"/>
          <w:sz w:val="24"/>
          <w:szCs w:val="24"/>
        </w:rPr>
        <w:t>.</w:t>
      </w:r>
      <w:r w:rsidR="0077342A">
        <w:rPr>
          <w:rFonts w:ascii="Times New Roman" w:hAnsi="Times New Roman" w:cs="Times New Roman"/>
          <w:sz w:val="24"/>
          <w:szCs w:val="24"/>
        </w:rPr>
        <w:t xml:space="preserve"> Contudo, nem todas as reformas necessárias foram feitas, como, por exemplo a reforma tributária que ainda depende de legislação que foi recepcionada pela Constituição Federal.</w:t>
      </w:r>
    </w:p>
    <w:p w14:paraId="6C6028E2" w14:textId="77777777" w:rsidR="00C81B1A" w:rsidRDefault="0077342A" w:rsidP="00C81B1A">
      <w:pPr>
        <w:ind w:firstLine="708"/>
        <w:jc w:val="both"/>
        <w:rPr>
          <w:rFonts w:ascii="Times New Roman" w:hAnsi="Times New Roman" w:cs="Times New Roman"/>
          <w:sz w:val="24"/>
          <w:szCs w:val="24"/>
        </w:rPr>
      </w:pPr>
      <w:r>
        <w:rPr>
          <w:rFonts w:ascii="Times New Roman" w:hAnsi="Times New Roman" w:cs="Times New Roman"/>
          <w:sz w:val="24"/>
          <w:szCs w:val="24"/>
        </w:rPr>
        <w:t xml:space="preserve">A necessidade em se desburocratizar a economia para facilitar o empreendedorismo e atrair mais investimento ganhou ainda mais destaque. </w:t>
      </w:r>
      <w:r w:rsidR="00C81B1A">
        <w:rPr>
          <w:rFonts w:ascii="Times New Roman" w:hAnsi="Times New Roman" w:cs="Times New Roman"/>
          <w:sz w:val="24"/>
          <w:szCs w:val="24"/>
        </w:rPr>
        <w:t>De fato,</w:t>
      </w:r>
      <w:r w:rsidR="00CF7AEA">
        <w:rPr>
          <w:rFonts w:ascii="Times New Roman" w:hAnsi="Times New Roman" w:cs="Times New Roman"/>
          <w:sz w:val="24"/>
          <w:szCs w:val="24"/>
        </w:rPr>
        <w:t xml:space="preserve"> depois da recessão dos últimos anos,</w:t>
      </w:r>
      <w:r w:rsidR="00C81B1A">
        <w:rPr>
          <w:rFonts w:ascii="Times New Roman" w:hAnsi="Times New Roman" w:cs="Times New Roman"/>
          <w:sz w:val="24"/>
          <w:szCs w:val="24"/>
        </w:rPr>
        <w:t xml:space="preserve"> </w:t>
      </w:r>
      <w:r w:rsidR="00CF7AEA">
        <w:rPr>
          <w:rFonts w:ascii="Times New Roman" w:hAnsi="Times New Roman" w:cs="Times New Roman"/>
          <w:sz w:val="24"/>
          <w:szCs w:val="24"/>
        </w:rPr>
        <w:t xml:space="preserve">intensificou-se </w:t>
      </w:r>
      <w:r w:rsidR="00C81B1A">
        <w:rPr>
          <w:rFonts w:ascii="Times New Roman" w:hAnsi="Times New Roman" w:cs="Times New Roman"/>
          <w:sz w:val="24"/>
          <w:szCs w:val="24"/>
        </w:rPr>
        <w:t>no debate econômico e na agenda política do país a necessidade de o Estado brasileiro aperfeiçoar sistema legal, tributário e regulatório a fim de promover a liberdade econômica e diminuir os custos burocráticos e institucionais da atividade empresarial</w:t>
      </w:r>
      <w:r w:rsidR="00A40656">
        <w:rPr>
          <w:rFonts w:ascii="Times New Roman" w:hAnsi="Times New Roman" w:cs="Times New Roman"/>
          <w:sz w:val="24"/>
          <w:szCs w:val="24"/>
        </w:rPr>
        <w:t>, bem como aumentar a produtividade</w:t>
      </w:r>
      <w:r w:rsidR="00C81B1A">
        <w:rPr>
          <w:rFonts w:ascii="Times New Roman" w:hAnsi="Times New Roman" w:cs="Times New Roman"/>
          <w:sz w:val="24"/>
          <w:szCs w:val="24"/>
        </w:rPr>
        <w:t xml:space="preserve">. </w:t>
      </w:r>
    </w:p>
    <w:p w14:paraId="400D5A51" w14:textId="77777777" w:rsidR="00A13DCF" w:rsidRDefault="00A40656" w:rsidP="00A40656">
      <w:pPr>
        <w:ind w:firstLine="708"/>
        <w:jc w:val="both"/>
        <w:rPr>
          <w:rFonts w:ascii="Times New Roman" w:hAnsi="Times New Roman" w:cs="Times New Roman"/>
          <w:sz w:val="24"/>
          <w:szCs w:val="24"/>
        </w:rPr>
      </w:pPr>
      <w:r>
        <w:rPr>
          <w:rFonts w:ascii="Times New Roman" w:hAnsi="Times New Roman" w:cs="Times New Roman"/>
          <w:sz w:val="24"/>
          <w:szCs w:val="24"/>
        </w:rPr>
        <w:t>Em relação ao debate brasileiro sobre produtividade, há uma relação do aumento do ambiente de negócio ao aumento da produtividade. Um dos poucos estudos sobre o tema aplicado a</w:t>
      </w:r>
      <w:r w:rsidR="003D6805">
        <w:rPr>
          <w:rFonts w:ascii="Times New Roman" w:hAnsi="Times New Roman" w:cs="Times New Roman"/>
          <w:sz w:val="24"/>
          <w:szCs w:val="24"/>
        </w:rPr>
        <w:t xml:space="preserve">o </w:t>
      </w:r>
      <w:r w:rsidR="00097BAF">
        <w:rPr>
          <w:rFonts w:ascii="Times New Roman" w:hAnsi="Times New Roman" w:cs="Times New Roman"/>
          <w:sz w:val="24"/>
          <w:szCs w:val="24"/>
        </w:rPr>
        <w:t>Brasil</w:t>
      </w:r>
      <w:r w:rsidR="003D6805">
        <w:rPr>
          <w:rFonts w:ascii="Times New Roman" w:hAnsi="Times New Roman" w:cs="Times New Roman"/>
          <w:sz w:val="24"/>
          <w:szCs w:val="24"/>
        </w:rPr>
        <w:t xml:space="preserve"> estão os trabalhos de M</w:t>
      </w:r>
      <w:r>
        <w:rPr>
          <w:rFonts w:ascii="Times New Roman" w:hAnsi="Times New Roman" w:cs="Times New Roman"/>
          <w:sz w:val="24"/>
          <w:szCs w:val="24"/>
        </w:rPr>
        <w:t>attion</w:t>
      </w:r>
      <w:r w:rsidR="003D6805">
        <w:rPr>
          <w:rStyle w:val="Refdenotaderodap"/>
          <w:rFonts w:ascii="Times New Roman" w:hAnsi="Times New Roman" w:cs="Times New Roman"/>
          <w:sz w:val="24"/>
          <w:szCs w:val="24"/>
        </w:rPr>
        <w:footnoteReference w:id="7"/>
      </w:r>
      <w:r w:rsidR="001E5759">
        <w:rPr>
          <w:rFonts w:ascii="Times New Roman" w:hAnsi="Times New Roman" w:cs="Times New Roman"/>
          <w:sz w:val="24"/>
          <w:szCs w:val="24"/>
        </w:rPr>
        <w:t xml:space="preserve">  e Cavalcante</w:t>
      </w:r>
      <w:r w:rsidR="001E5759">
        <w:rPr>
          <w:rStyle w:val="Refdenotaderodap"/>
          <w:rFonts w:ascii="Times New Roman" w:hAnsi="Times New Roman" w:cs="Times New Roman"/>
          <w:sz w:val="24"/>
          <w:szCs w:val="24"/>
        </w:rPr>
        <w:footnoteReference w:id="8"/>
      </w:r>
      <w:r>
        <w:rPr>
          <w:rFonts w:ascii="Times New Roman" w:hAnsi="Times New Roman" w:cs="Times New Roman"/>
          <w:sz w:val="24"/>
          <w:szCs w:val="24"/>
        </w:rPr>
        <w:t xml:space="preserve">. </w:t>
      </w:r>
    </w:p>
    <w:p w14:paraId="5B4EA4C6" w14:textId="77777777" w:rsidR="00A40656" w:rsidRDefault="00A40656" w:rsidP="00A40656">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O primeiro trabalho apresenta comparações internacionais de produtividade e produziu estimativas sobre a relação entre o ambiente de negócios e produtividade</w:t>
      </w:r>
      <w:r w:rsidR="00A13DCF">
        <w:rPr>
          <w:rFonts w:ascii="Times New Roman" w:hAnsi="Times New Roman" w:cs="Times New Roman"/>
          <w:sz w:val="24"/>
          <w:szCs w:val="24"/>
        </w:rPr>
        <w:t xml:space="preserve">. O estudo avaliou que o </w:t>
      </w:r>
      <w:r w:rsidR="00097BAF">
        <w:rPr>
          <w:rFonts w:ascii="Times New Roman" w:hAnsi="Times New Roman" w:cs="Times New Roman"/>
          <w:sz w:val="24"/>
          <w:szCs w:val="24"/>
        </w:rPr>
        <w:t>Brasil</w:t>
      </w:r>
      <w:r w:rsidR="00A13DCF">
        <w:rPr>
          <w:rFonts w:ascii="Times New Roman" w:hAnsi="Times New Roman" w:cs="Times New Roman"/>
          <w:sz w:val="24"/>
          <w:szCs w:val="24"/>
        </w:rPr>
        <w:t xml:space="preserve"> atuou na contramão da maioria dos países, ou seja, enquanto a maior parte dos países apresentaram melhora no ambiente de trabalho, o </w:t>
      </w:r>
      <w:r w:rsidR="00097BAF">
        <w:rPr>
          <w:rFonts w:ascii="Times New Roman" w:hAnsi="Times New Roman" w:cs="Times New Roman"/>
          <w:sz w:val="24"/>
          <w:szCs w:val="24"/>
        </w:rPr>
        <w:t>Brasil</w:t>
      </w:r>
      <w:r w:rsidR="00A13DCF">
        <w:rPr>
          <w:rFonts w:ascii="Times New Roman" w:hAnsi="Times New Roman" w:cs="Times New Roman"/>
          <w:sz w:val="24"/>
          <w:szCs w:val="24"/>
        </w:rPr>
        <w:t xml:space="preserve"> permaneceu estagnado. Vale ressaltar que o estudo analisou os dados até 2014. As estimativas do autor “indicaram que que uma melhora de 1% do ambiente de negócios em direção à fronteira mundial traria ganhos de 0,0047 da PTF”</w:t>
      </w:r>
      <w:r w:rsidR="00CD2ACB">
        <w:rPr>
          <w:rFonts w:ascii="Times New Roman" w:hAnsi="Times New Roman" w:cs="Times New Roman"/>
          <w:sz w:val="24"/>
          <w:szCs w:val="24"/>
        </w:rPr>
        <w:t>.</w:t>
      </w:r>
    </w:p>
    <w:p w14:paraId="7314277A" w14:textId="59B8F944" w:rsidR="00CD2ACB" w:rsidRDefault="00CD2ACB" w:rsidP="00A40656">
      <w:pPr>
        <w:ind w:firstLine="708"/>
        <w:jc w:val="both"/>
        <w:rPr>
          <w:rFonts w:ascii="Times New Roman" w:hAnsi="Times New Roman" w:cs="Times New Roman"/>
          <w:sz w:val="24"/>
          <w:szCs w:val="24"/>
        </w:rPr>
      </w:pPr>
      <w:r>
        <w:rPr>
          <w:rFonts w:ascii="Times New Roman" w:hAnsi="Times New Roman" w:cs="Times New Roman"/>
          <w:sz w:val="24"/>
          <w:szCs w:val="24"/>
        </w:rPr>
        <w:t>Já o Trabalho de Cavalcante estima os “coeficientes que relacionam ambiente de negócios, investimentos e produtividade”</w:t>
      </w:r>
      <w:r w:rsidR="005F6C1F">
        <w:rPr>
          <w:rFonts w:ascii="Times New Roman" w:hAnsi="Times New Roman" w:cs="Times New Roman"/>
          <w:sz w:val="24"/>
          <w:szCs w:val="24"/>
        </w:rPr>
        <w:t>.  A r</w:t>
      </w:r>
      <w:r w:rsidR="00C72E1D">
        <w:rPr>
          <w:rFonts w:ascii="Times New Roman" w:hAnsi="Times New Roman" w:cs="Times New Roman"/>
          <w:sz w:val="24"/>
          <w:szCs w:val="24"/>
        </w:rPr>
        <w:t>egressão com</w:t>
      </w:r>
      <w:r w:rsidR="00754AB8">
        <w:rPr>
          <w:rFonts w:ascii="Times New Roman" w:hAnsi="Times New Roman" w:cs="Times New Roman"/>
          <w:sz w:val="24"/>
          <w:szCs w:val="24"/>
        </w:rPr>
        <w:t xml:space="preserve"> dados em painel com efeitos aleatórios e efeitos fixos permitiu a quantificar a relação positiva entre a melhoria do ambiente de negócios sobre os níveis de estoque de capital por trabalhador e sobre os investimentos.</w:t>
      </w:r>
    </w:p>
    <w:p w14:paraId="673B7492" w14:textId="77777777" w:rsidR="000848A5" w:rsidRDefault="00E5355C" w:rsidP="00EF60EE">
      <w:pPr>
        <w:ind w:firstLine="708"/>
        <w:jc w:val="both"/>
        <w:rPr>
          <w:rFonts w:ascii="Times New Roman" w:hAnsi="Times New Roman" w:cs="Times New Roman"/>
          <w:sz w:val="24"/>
          <w:szCs w:val="24"/>
        </w:rPr>
      </w:pPr>
      <w:r>
        <w:rPr>
          <w:rFonts w:ascii="Times New Roman" w:hAnsi="Times New Roman" w:cs="Times New Roman"/>
          <w:sz w:val="24"/>
          <w:szCs w:val="24"/>
        </w:rPr>
        <w:t>Tendo em vista</w:t>
      </w:r>
      <w:r w:rsidR="001F0BC9">
        <w:rPr>
          <w:rFonts w:ascii="Times New Roman" w:hAnsi="Times New Roman" w:cs="Times New Roman"/>
          <w:sz w:val="24"/>
          <w:szCs w:val="24"/>
        </w:rPr>
        <w:t xml:space="preserve"> as considerações acima, e</w:t>
      </w:r>
      <w:r w:rsidR="000848A5">
        <w:rPr>
          <w:rFonts w:ascii="Times New Roman" w:hAnsi="Times New Roman" w:cs="Times New Roman"/>
          <w:sz w:val="24"/>
          <w:szCs w:val="24"/>
        </w:rPr>
        <w:t xml:space="preserve">ste trabalho tem como objetivo, </w:t>
      </w:r>
      <w:r w:rsidR="0058351E">
        <w:rPr>
          <w:rFonts w:ascii="Times New Roman" w:hAnsi="Times New Roman" w:cs="Times New Roman"/>
          <w:sz w:val="24"/>
          <w:szCs w:val="24"/>
        </w:rPr>
        <w:t>pois, de</w:t>
      </w:r>
      <w:r w:rsidR="001F0BC9">
        <w:rPr>
          <w:rFonts w:ascii="Times New Roman" w:hAnsi="Times New Roman" w:cs="Times New Roman"/>
          <w:sz w:val="24"/>
          <w:szCs w:val="24"/>
        </w:rPr>
        <w:t xml:space="preserve"> </w:t>
      </w:r>
      <w:r w:rsidR="000848A5">
        <w:rPr>
          <w:rFonts w:ascii="Times New Roman" w:hAnsi="Times New Roman" w:cs="Times New Roman"/>
          <w:sz w:val="24"/>
          <w:szCs w:val="24"/>
        </w:rPr>
        <w:t xml:space="preserve">analisar o ambiente de negócios no Brasil por meio dos Indicadores do Relatório </w:t>
      </w:r>
      <w:r w:rsidR="000848A5" w:rsidRPr="009216FD">
        <w:rPr>
          <w:rFonts w:ascii="Times New Roman" w:hAnsi="Times New Roman" w:cs="Times New Roman"/>
          <w:i/>
          <w:sz w:val="24"/>
          <w:szCs w:val="24"/>
        </w:rPr>
        <w:t>Doing Business</w:t>
      </w:r>
      <w:r w:rsidR="000848A5">
        <w:rPr>
          <w:rFonts w:ascii="Times New Roman" w:hAnsi="Times New Roman" w:cs="Times New Roman"/>
          <w:sz w:val="24"/>
          <w:szCs w:val="24"/>
        </w:rPr>
        <w:t>.</w:t>
      </w:r>
      <w:r>
        <w:rPr>
          <w:rFonts w:ascii="Times New Roman" w:hAnsi="Times New Roman" w:cs="Times New Roman"/>
          <w:sz w:val="24"/>
          <w:szCs w:val="24"/>
        </w:rPr>
        <w:t xml:space="preserve"> Vale ressaltar que este trabalho é consequência </w:t>
      </w:r>
      <w:r w:rsidR="00EF60EE">
        <w:rPr>
          <w:rFonts w:ascii="Times New Roman" w:hAnsi="Times New Roman" w:cs="Times New Roman"/>
          <w:sz w:val="24"/>
          <w:szCs w:val="24"/>
        </w:rPr>
        <w:t>da participação desta autarquia em diversas contribuições nos debates sobre temas relacionados a concorrência e regulação</w:t>
      </w:r>
      <w:r w:rsidR="00FC3E34">
        <w:rPr>
          <w:rFonts w:ascii="Times New Roman" w:hAnsi="Times New Roman" w:cs="Times New Roman"/>
          <w:sz w:val="24"/>
          <w:szCs w:val="24"/>
        </w:rPr>
        <w:t>.</w:t>
      </w:r>
    </w:p>
    <w:p w14:paraId="6EF3EB9D" w14:textId="77777777" w:rsidR="00FC3E34" w:rsidRDefault="00FC3E34" w:rsidP="00EF60EE">
      <w:pPr>
        <w:ind w:firstLine="708"/>
        <w:jc w:val="both"/>
        <w:rPr>
          <w:rFonts w:ascii="Times New Roman" w:hAnsi="Times New Roman" w:cs="Times New Roman"/>
          <w:sz w:val="24"/>
          <w:szCs w:val="24"/>
        </w:rPr>
      </w:pPr>
      <w:r>
        <w:rPr>
          <w:rFonts w:ascii="Times New Roman" w:hAnsi="Times New Roman" w:cs="Times New Roman"/>
          <w:sz w:val="24"/>
          <w:szCs w:val="24"/>
        </w:rPr>
        <w:t xml:space="preserve">Além desta introdução, este </w:t>
      </w:r>
      <w:r w:rsidR="00CF7AEA">
        <w:rPr>
          <w:rFonts w:ascii="Times New Roman" w:hAnsi="Times New Roman" w:cs="Times New Roman"/>
          <w:sz w:val="24"/>
          <w:szCs w:val="24"/>
        </w:rPr>
        <w:t>relatório</w:t>
      </w:r>
      <w:r>
        <w:rPr>
          <w:rFonts w:ascii="Times New Roman" w:hAnsi="Times New Roman" w:cs="Times New Roman"/>
          <w:sz w:val="24"/>
          <w:szCs w:val="24"/>
        </w:rPr>
        <w:t xml:space="preserve"> conta no capítulo 2 informações mais detalhadas sobre os indicadores do banco mundial, além de uma comparação dos dados brasileiros com o resto do mundo e os países dos </w:t>
      </w:r>
      <w:r w:rsidR="00097BAF">
        <w:rPr>
          <w:rFonts w:ascii="Times New Roman" w:hAnsi="Times New Roman" w:cs="Times New Roman"/>
          <w:sz w:val="24"/>
          <w:szCs w:val="24"/>
        </w:rPr>
        <w:t>BRICS</w:t>
      </w:r>
      <w:r>
        <w:rPr>
          <w:rFonts w:ascii="Times New Roman" w:hAnsi="Times New Roman" w:cs="Times New Roman"/>
          <w:sz w:val="24"/>
          <w:szCs w:val="24"/>
        </w:rPr>
        <w:t xml:space="preserve"> e OCDE. O </w:t>
      </w:r>
      <w:r w:rsidR="00C81B1A">
        <w:rPr>
          <w:rFonts w:ascii="Times New Roman" w:hAnsi="Times New Roman" w:cs="Times New Roman"/>
          <w:sz w:val="24"/>
          <w:szCs w:val="24"/>
        </w:rPr>
        <w:t>Capítulo 3</w:t>
      </w:r>
      <w:r>
        <w:rPr>
          <w:rFonts w:ascii="Times New Roman" w:hAnsi="Times New Roman" w:cs="Times New Roman"/>
          <w:sz w:val="24"/>
          <w:szCs w:val="24"/>
        </w:rPr>
        <w:t>tratará das reformas que foram feit</w:t>
      </w:r>
      <w:r w:rsidR="00097BAF">
        <w:rPr>
          <w:rFonts w:ascii="Times New Roman" w:hAnsi="Times New Roman" w:cs="Times New Roman"/>
          <w:sz w:val="24"/>
          <w:szCs w:val="24"/>
        </w:rPr>
        <w:t>as a partir do mesmo relatório Doing B</w:t>
      </w:r>
      <w:r>
        <w:rPr>
          <w:rFonts w:ascii="Times New Roman" w:hAnsi="Times New Roman" w:cs="Times New Roman"/>
          <w:sz w:val="24"/>
          <w:szCs w:val="24"/>
        </w:rPr>
        <w:t>u</w:t>
      </w:r>
      <w:r w:rsidR="00C81B1A">
        <w:rPr>
          <w:rFonts w:ascii="Times New Roman" w:hAnsi="Times New Roman" w:cs="Times New Roman"/>
          <w:sz w:val="24"/>
          <w:szCs w:val="24"/>
        </w:rPr>
        <w:t>sines</w:t>
      </w:r>
      <w:r w:rsidR="00047ED6">
        <w:rPr>
          <w:rFonts w:ascii="Times New Roman" w:hAnsi="Times New Roman" w:cs="Times New Roman"/>
          <w:sz w:val="24"/>
          <w:szCs w:val="24"/>
        </w:rPr>
        <w:t>s, bem como uma do que o Brasil.</w:t>
      </w:r>
    </w:p>
    <w:p w14:paraId="1EA2D96D" w14:textId="77777777" w:rsidR="00D6656B" w:rsidRDefault="00D6656B" w:rsidP="00EF60EE">
      <w:pPr>
        <w:ind w:firstLine="708"/>
        <w:jc w:val="both"/>
        <w:rPr>
          <w:rFonts w:ascii="Times New Roman" w:hAnsi="Times New Roman" w:cs="Times New Roman"/>
          <w:sz w:val="24"/>
          <w:szCs w:val="24"/>
        </w:rPr>
      </w:pPr>
    </w:p>
    <w:p w14:paraId="687BF9F2" w14:textId="77777777" w:rsidR="0029076A" w:rsidRDefault="00800EF1" w:rsidP="00F17A0E">
      <w:pPr>
        <w:pStyle w:val="PargrafodaLista"/>
        <w:numPr>
          <w:ilvl w:val="0"/>
          <w:numId w:val="4"/>
        </w:numPr>
        <w:rPr>
          <w:rFonts w:ascii="Times New Roman" w:hAnsi="Times New Roman" w:cs="Times New Roman"/>
          <w:b/>
          <w:smallCaps/>
          <w:sz w:val="24"/>
          <w:szCs w:val="24"/>
        </w:rPr>
      </w:pPr>
      <w:r w:rsidRPr="00D6656B">
        <w:rPr>
          <w:rFonts w:ascii="Times New Roman" w:hAnsi="Times New Roman" w:cs="Times New Roman"/>
          <w:b/>
          <w:smallCaps/>
          <w:sz w:val="24"/>
          <w:szCs w:val="24"/>
        </w:rPr>
        <w:t>D</w:t>
      </w:r>
      <w:r w:rsidR="0029076A" w:rsidRPr="00D6656B">
        <w:rPr>
          <w:rFonts w:ascii="Times New Roman" w:hAnsi="Times New Roman" w:cs="Times New Roman"/>
          <w:b/>
          <w:smallCaps/>
          <w:sz w:val="24"/>
          <w:szCs w:val="24"/>
        </w:rPr>
        <w:t>oing Business</w:t>
      </w:r>
    </w:p>
    <w:p w14:paraId="7730A076" w14:textId="77777777" w:rsidR="00D6656B" w:rsidRPr="00D6656B" w:rsidRDefault="00D6656B" w:rsidP="00D6656B">
      <w:pPr>
        <w:rPr>
          <w:rFonts w:ascii="Times New Roman" w:hAnsi="Times New Roman" w:cs="Times New Roman"/>
          <w:b/>
          <w:smallCaps/>
          <w:sz w:val="24"/>
          <w:szCs w:val="24"/>
        </w:rPr>
      </w:pPr>
    </w:p>
    <w:p w14:paraId="1F88D01F" w14:textId="77777777" w:rsidR="00A037BA" w:rsidRPr="00A037BA" w:rsidRDefault="00A037BA" w:rsidP="00BC5ACA">
      <w:pPr>
        <w:ind w:firstLine="708"/>
        <w:jc w:val="both"/>
        <w:rPr>
          <w:rFonts w:ascii="Times New Roman" w:hAnsi="Times New Roman" w:cs="Times New Roman"/>
          <w:sz w:val="24"/>
          <w:szCs w:val="24"/>
        </w:rPr>
      </w:pPr>
      <w:r w:rsidRPr="00A037BA">
        <w:rPr>
          <w:rFonts w:ascii="Times New Roman" w:hAnsi="Times New Roman" w:cs="Times New Roman"/>
          <w:sz w:val="24"/>
          <w:szCs w:val="24"/>
        </w:rPr>
        <w:t xml:space="preserve">O </w:t>
      </w:r>
      <w:r w:rsidRPr="00BC5ACA">
        <w:rPr>
          <w:rFonts w:ascii="Times New Roman" w:hAnsi="Times New Roman" w:cs="Times New Roman"/>
          <w:sz w:val="24"/>
          <w:szCs w:val="24"/>
        </w:rPr>
        <w:t>Doing Business</w:t>
      </w:r>
      <w:r w:rsidR="00670D20" w:rsidRPr="00BC5ACA">
        <w:rPr>
          <w:rFonts w:ascii="Times New Roman" w:hAnsi="Times New Roman" w:cs="Times New Roman"/>
          <w:sz w:val="24"/>
          <w:szCs w:val="24"/>
        </w:rPr>
        <w:t xml:space="preserve"> </w:t>
      </w:r>
      <w:r w:rsidR="00670D20">
        <w:rPr>
          <w:rFonts w:ascii="Times New Roman" w:hAnsi="Times New Roman" w:cs="Times New Roman"/>
          <w:sz w:val="24"/>
          <w:szCs w:val="24"/>
        </w:rPr>
        <w:t>(DB)</w:t>
      </w:r>
      <w:r w:rsidRPr="00BC5ACA">
        <w:rPr>
          <w:rFonts w:ascii="Times New Roman" w:hAnsi="Times New Roman" w:cs="Times New Roman"/>
          <w:sz w:val="24"/>
          <w:szCs w:val="24"/>
        </w:rPr>
        <w:t xml:space="preserve"> </w:t>
      </w:r>
      <w:r>
        <w:rPr>
          <w:rFonts w:ascii="Times New Roman" w:hAnsi="Times New Roman" w:cs="Times New Roman"/>
          <w:sz w:val="24"/>
          <w:szCs w:val="24"/>
        </w:rPr>
        <w:t xml:space="preserve">é uma das </w:t>
      </w:r>
      <w:r w:rsidR="0058351E">
        <w:rPr>
          <w:rFonts w:ascii="Times New Roman" w:hAnsi="Times New Roman" w:cs="Times New Roman"/>
          <w:sz w:val="24"/>
          <w:szCs w:val="24"/>
        </w:rPr>
        <w:t>diversas</w:t>
      </w:r>
      <w:r w:rsidRPr="00A037BA">
        <w:rPr>
          <w:rFonts w:ascii="Times New Roman" w:hAnsi="Times New Roman" w:cs="Times New Roman"/>
          <w:sz w:val="24"/>
          <w:szCs w:val="24"/>
        </w:rPr>
        <w:t xml:space="preserve"> publicações</w:t>
      </w:r>
      <w:r w:rsidR="008364A0">
        <w:rPr>
          <w:rFonts w:ascii="Times New Roman" w:hAnsi="Times New Roman" w:cs="Times New Roman"/>
          <w:sz w:val="24"/>
          <w:szCs w:val="24"/>
        </w:rPr>
        <w:t xml:space="preserve"> do Grupo do Banco Mundial. A pesquisa </w:t>
      </w:r>
      <w:r w:rsidRPr="00A037BA">
        <w:rPr>
          <w:rFonts w:ascii="Times New Roman" w:hAnsi="Times New Roman" w:cs="Times New Roman"/>
          <w:sz w:val="24"/>
          <w:szCs w:val="24"/>
        </w:rPr>
        <w:t>analisa a cad</w:t>
      </w:r>
      <w:r>
        <w:rPr>
          <w:rFonts w:ascii="Times New Roman" w:hAnsi="Times New Roman" w:cs="Times New Roman"/>
          <w:sz w:val="24"/>
          <w:szCs w:val="24"/>
        </w:rPr>
        <w:t>a ano as leis e regulações que promovem</w:t>
      </w:r>
      <w:r w:rsidRPr="00A037BA">
        <w:rPr>
          <w:rFonts w:ascii="Times New Roman" w:hAnsi="Times New Roman" w:cs="Times New Roman"/>
          <w:sz w:val="24"/>
          <w:szCs w:val="24"/>
        </w:rPr>
        <w:t xml:space="preserve"> ou impedem as atividades das empresas </w:t>
      </w:r>
      <w:r>
        <w:rPr>
          <w:rFonts w:ascii="Times New Roman" w:hAnsi="Times New Roman" w:cs="Times New Roman"/>
          <w:sz w:val="24"/>
          <w:szCs w:val="24"/>
        </w:rPr>
        <w:t>em uma economia em determinado país</w:t>
      </w:r>
      <w:r w:rsidRPr="00A037BA">
        <w:rPr>
          <w:rFonts w:ascii="Times New Roman" w:hAnsi="Times New Roman" w:cs="Times New Roman"/>
          <w:sz w:val="24"/>
          <w:szCs w:val="24"/>
        </w:rPr>
        <w:t>.</w:t>
      </w:r>
      <w:r>
        <w:rPr>
          <w:rFonts w:ascii="Times New Roman" w:hAnsi="Times New Roman" w:cs="Times New Roman"/>
          <w:sz w:val="24"/>
          <w:szCs w:val="24"/>
        </w:rPr>
        <w:t xml:space="preserve"> </w:t>
      </w:r>
      <w:r w:rsidR="00670D20">
        <w:rPr>
          <w:rFonts w:ascii="Times New Roman" w:hAnsi="Times New Roman" w:cs="Times New Roman"/>
          <w:sz w:val="24"/>
          <w:szCs w:val="24"/>
        </w:rPr>
        <w:t>Sendo assim, o objetivo do índice DB é</w:t>
      </w:r>
      <w:r w:rsidR="00670D20" w:rsidRPr="001A21C3">
        <w:rPr>
          <w:rFonts w:ascii="Times New Roman" w:hAnsi="Times New Roman" w:cs="Times New Roman"/>
          <w:sz w:val="24"/>
          <w:szCs w:val="24"/>
        </w:rPr>
        <w:t xml:space="preserve"> medir, </w:t>
      </w:r>
      <w:r w:rsidR="00670D20">
        <w:rPr>
          <w:rFonts w:ascii="Times New Roman" w:hAnsi="Times New Roman" w:cs="Times New Roman"/>
          <w:sz w:val="24"/>
          <w:szCs w:val="24"/>
        </w:rPr>
        <w:t>em vários</w:t>
      </w:r>
      <w:r w:rsidR="00670D20" w:rsidRPr="001A21C3">
        <w:rPr>
          <w:rFonts w:ascii="Times New Roman" w:hAnsi="Times New Roman" w:cs="Times New Roman"/>
          <w:sz w:val="24"/>
          <w:szCs w:val="24"/>
        </w:rPr>
        <w:t xml:space="preserve"> países, a facilidade de iniciar um negócio, obter as licenças relevantes, ter acesso a infraestruturas essenciais e assim por diante</w:t>
      </w:r>
      <w:r w:rsidRPr="00A037BA">
        <w:rPr>
          <w:rFonts w:ascii="Times New Roman" w:hAnsi="Times New Roman" w:cs="Times New Roman"/>
          <w:sz w:val="24"/>
          <w:szCs w:val="24"/>
        </w:rPr>
        <w:t>.</w:t>
      </w:r>
    </w:p>
    <w:p w14:paraId="5EA4F579" w14:textId="77777777" w:rsidR="00A037BA" w:rsidRDefault="00670D20" w:rsidP="00BC5ACA">
      <w:pPr>
        <w:ind w:firstLine="708"/>
        <w:jc w:val="both"/>
        <w:rPr>
          <w:rFonts w:ascii="Times New Roman" w:hAnsi="Times New Roman" w:cs="Times New Roman"/>
          <w:sz w:val="24"/>
          <w:szCs w:val="24"/>
        </w:rPr>
      </w:pPr>
      <w:r>
        <w:rPr>
          <w:rFonts w:ascii="Times New Roman" w:hAnsi="Times New Roman" w:cs="Times New Roman"/>
          <w:sz w:val="24"/>
          <w:szCs w:val="24"/>
        </w:rPr>
        <w:t>Segundo informações do Banco, a</w:t>
      </w:r>
      <w:r w:rsidR="00FC25FF">
        <w:rPr>
          <w:rFonts w:ascii="Times New Roman" w:hAnsi="Times New Roman" w:cs="Times New Roman"/>
          <w:sz w:val="24"/>
          <w:szCs w:val="24"/>
        </w:rPr>
        <w:t xml:space="preserve"> pesquisa ab</w:t>
      </w:r>
      <w:r w:rsidR="00A037BA">
        <w:rPr>
          <w:rFonts w:ascii="Times New Roman" w:hAnsi="Times New Roman" w:cs="Times New Roman"/>
          <w:sz w:val="24"/>
          <w:szCs w:val="24"/>
        </w:rPr>
        <w:t>orda</w:t>
      </w:r>
      <w:r w:rsidR="00CF7AEA">
        <w:rPr>
          <w:rFonts w:ascii="Times New Roman" w:hAnsi="Times New Roman" w:cs="Times New Roman"/>
          <w:sz w:val="24"/>
          <w:szCs w:val="24"/>
        </w:rPr>
        <w:t xml:space="preserve"> 10</w:t>
      </w:r>
      <w:r w:rsidR="00A037BA" w:rsidRPr="00A037BA">
        <w:rPr>
          <w:rFonts w:ascii="Times New Roman" w:hAnsi="Times New Roman" w:cs="Times New Roman"/>
          <w:sz w:val="24"/>
          <w:szCs w:val="24"/>
        </w:rPr>
        <w:t xml:space="preserve"> áreas</w:t>
      </w:r>
      <w:r w:rsidR="00CF7AEA">
        <w:rPr>
          <w:rStyle w:val="Refdenotaderodap"/>
          <w:rFonts w:ascii="Times New Roman" w:hAnsi="Times New Roman" w:cs="Times New Roman"/>
          <w:sz w:val="24"/>
          <w:szCs w:val="24"/>
        </w:rPr>
        <w:footnoteReference w:id="9"/>
      </w:r>
      <w:r w:rsidR="00A037BA" w:rsidRPr="00A037BA">
        <w:rPr>
          <w:rFonts w:ascii="Times New Roman" w:hAnsi="Times New Roman" w:cs="Times New Roman"/>
          <w:sz w:val="24"/>
          <w:szCs w:val="24"/>
        </w:rPr>
        <w:t xml:space="preserve"> do ciclo de vida de uma empresa. Dez destas áreas estão incluídas na classificação das economias em termos da facilidade de se fazer negócios: abertura de empresas, obtenção de alvarás de construção, obtenção de eletricidade, registro de propriedades, obtenção de crédito, proteção dos investidores minoritários, pagamento de impostos, comércio internacional, execução de contratos e resolução de insolvência</w:t>
      </w:r>
      <w:r w:rsidR="00702D0A">
        <w:rPr>
          <w:rFonts w:ascii="Times New Roman" w:hAnsi="Times New Roman" w:cs="Times New Roman"/>
          <w:sz w:val="24"/>
          <w:szCs w:val="24"/>
        </w:rPr>
        <w:t>, conforme descrito na Tabela 1</w:t>
      </w:r>
      <w:r w:rsidR="00A037BA" w:rsidRPr="00A037BA">
        <w:rPr>
          <w:rFonts w:ascii="Times New Roman" w:hAnsi="Times New Roman" w:cs="Times New Roman"/>
          <w:sz w:val="24"/>
          <w:szCs w:val="24"/>
        </w:rPr>
        <w:t xml:space="preserve">. </w:t>
      </w:r>
    </w:p>
    <w:p w14:paraId="796A1658" w14:textId="77777777" w:rsidR="00702D0A" w:rsidRDefault="00702D0A" w:rsidP="00097BAF">
      <w:pPr>
        <w:rPr>
          <w:rFonts w:ascii="Times New Roman" w:hAnsi="Times New Roman" w:cs="Times New Roman"/>
          <w:sz w:val="24"/>
          <w:szCs w:val="24"/>
        </w:rPr>
      </w:pPr>
    </w:p>
    <w:p w14:paraId="75E823AE" w14:textId="77777777" w:rsidR="00C72E1D" w:rsidRDefault="00C72E1D" w:rsidP="00510253">
      <w:pPr>
        <w:rPr>
          <w:rFonts w:ascii="Times New Roman" w:hAnsi="Times New Roman" w:cs="Times New Roman"/>
          <w:b/>
          <w:smallCaps/>
          <w:sz w:val="24"/>
          <w:szCs w:val="24"/>
        </w:rPr>
      </w:pPr>
    </w:p>
    <w:p w14:paraId="65ADB1D6" w14:textId="77777777" w:rsidR="00702D0A" w:rsidRDefault="00702D0A" w:rsidP="00510253">
      <w:pPr>
        <w:rPr>
          <w:rFonts w:ascii="Times New Roman" w:hAnsi="Times New Roman" w:cs="Times New Roman"/>
          <w:smallCaps/>
          <w:sz w:val="24"/>
          <w:szCs w:val="24"/>
        </w:rPr>
      </w:pPr>
      <w:r w:rsidRPr="003703CD">
        <w:rPr>
          <w:rFonts w:ascii="Times New Roman" w:hAnsi="Times New Roman" w:cs="Times New Roman"/>
          <w:b/>
          <w:smallCaps/>
          <w:sz w:val="24"/>
          <w:szCs w:val="24"/>
        </w:rPr>
        <w:lastRenderedPageBreak/>
        <w:t>Tabela 1</w:t>
      </w:r>
      <w:r w:rsidR="003703CD">
        <w:rPr>
          <w:rFonts w:ascii="Times New Roman" w:hAnsi="Times New Roman" w:cs="Times New Roman"/>
          <w:smallCaps/>
          <w:sz w:val="24"/>
          <w:szCs w:val="24"/>
        </w:rPr>
        <w:t xml:space="preserve"> - </w:t>
      </w:r>
      <w:r w:rsidRPr="003703CD">
        <w:rPr>
          <w:rFonts w:ascii="Times New Roman" w:hAnsi="Times New Roman" w:cs="Times New Roman"/>
          <w:smallCaps/>
          <w:sz w:val="24"/>
          <w:szCs w:val="24"/>
        </w:rPr>
        <w:t xml:space="preserve"> Indicadores </w:t>
      </w:r>
      <w:r w:rsidRPr="003703CD">
        <w:rPr>
          <w:rFonts w:ascii="Times New Roman" w:hAnsi="Times New Roman" w:cs="Times New Roman"/>
          <w:i/>
          <w:smallCaps/>
          <w:sz w:val="24"/>
          <w:szCs w:val="24"/>
        </w:rPr>
        <w:t>Doing Business</w:t>
      </w:r>
      <w:r w:rsidRPr="003703CD">
        <w:rPr>
          <w:rFonts w:ascii="Times New Roman" w:hAnsi="Times New Roman" w:cs="Times New Roman"/>
          <w:smallCaps/>
          <w:sz w:val="24"/>
          <w:szCs w:val="24"/>
        </w:rPr>
        <w:t xml:space="preserve"> 2019</w:t>
      </w:r>
    </w:p>
    <w:p w14:paraId="538C40AC" w14:textId="77777777" w:rsidR="00510253" w:rsidRPr="003703CD" w:rsidRDefault="00510253" w:rsidP="00510253">
      <w:pPr>
        <w:rPr>
          <w:rFonts w:ascii="Times New Roman" w:hAnsi="Times New Roman" w:cs="Times New Roman"/>
          <w:smallCaps/>
          <w:sz w:val="24"/>
          <w:szCs w:val="24"/>
        </w:rPr>
      </w:pPr>
    </w:p>
    <w:tbl>
      <w:tblPr>
        <w:tblStyle w:val="Tabelacomgrade"/>
        <w:tblW w:w="11199" w:type="dxa"/>
        <w:tblInd w:w="-1281" w:type="dxa"/>
        <w:tblLook w:val="04A0" w:firstRow="1" w:lastRow="0" w:firstColumn="1" w:lastColumn="0" w:noHBand="0" w:noVBand="1"/>
      </w:tblPr>
      <w:tblGrid>
        <w:gridCol w:w="4956"/>
        <w:gridCol w:w="6243"/>
      </w:tblGrid>
      <w:tr w:rsidR="00702D0A" w14:paraId="618D4F31" w14:textId="77777777" w:rsidTr="00510253">
        <w:tc>
          <w:tcPr>
            <w:tcW w:w="4956" w:type="dxa"/>
          </w:tcPr>
          <w:p w14:paraId="4699EFD5" w14:textId="77777777" w:rsidR="003703CD" w:rsidRPr="00510253" w:rsidRDefault="00702D0A" w:rsidP="00702D0A">
            <w:pPr>
              <w:rPr>
                <w:rFonts w:ascii="Times New Roman" w:hAnsi="Times New Roman" w:cs="Times New Roman"/>
              </w:rPr>
            </w:pPr>
            <w:r w:rsidRPr="00510253">
              <w:rPr>
                <w:rFonts w:ascii="Times New Roman" w:hAnsi="Times New Roman" w:cs="Times New Roman"/>
              </w:rPr>
              <w:t xml:space="preserve">Abertura de empresa </w:t>
            </w:r>
          </w:p>
          <w:p w14:paraId="1A92A70E" w14:textId="77777777" w:rsidR="00702D0A" w:rsidRPr="00510253" w:rsidRDefault="003703CD" w:rsidP="00702D0A">
            <w:pPr>
              <w:rPr>
                <w:rFonts w:ascii="Times New Roman" w:hAnsi="Times New Roman" w:cs="Times New Roman"/>
              </w:rPr>
            </w:pPr>
            <w:r w:rsidRPr="00510253">
              <w:rPr>
                <w:rFonts w:ascii="Times New Roman" w:hAnsi="Times New Roman" w:cs="Times New Roman"/>
              </w:rPr>
              <w:t>(</w:t>
            </w:r>
            <w:r w:rsidR="00702D0A" w:rsidRPr="00510253">
              <w:rPr>
                <w:rFonts w:ascii="Times New Roman" w:hAnsi="Times New Roman" w:cs="Times New Roman"/>
                <w:i/>
              </w:rPr>
              <w:t>Starting a business</w:t>
            </w:r>
            <w:r w:rsidRPr="00510253">
              <w:rPr>
                <w:rFonts w:ascii="Times New Roman" w:hAnsi="Times New Roman" w:cs="Times New Roman"/>
                <w:i/>
              </w:rPr>
              <w:t>)</w:t>
            </w:r>
          </w:p>
        </w:tc>
        <w:tc>
          <w:tcPr>
            <w:tcW w:w="6243" w:type="dxa"/>
          </w:tcPr>
          <w:p w14:paraId="071F946A" w14:textId="77777777" w:rsidR="00702D0A" w:rsidRPr="00510253" w:rsidRDefault="003703CD" w:rsidP="00202F3F">
            <w:pPr>
              <w:jc w:val="both"/>
              <w:rPr>
                <w:rFonts w:ascii="Times New Roman" w:hAnsi="Times New Roman" w:cs="Times New Roman"/>
              </w:rPr>
            </w:pPr>
            <w:r w:rsidRPr="00510253">
              <w:rPr>
                <w:rFonts w:ascii="Times New Roman" w:hAnsi="Times New Roman" w:cs="Times New Roman"/>
              </w:rPr>
              <w:t>Procedimentos, tempo, custo e capital mínimo integralizado para se abrir e operar formalmente uma empresa industrial ou comercial</w:t>
            </w:r>
          </w:p>
        </w:tc>
      </w:tr>
      <w:tr w:rsidR="00702D0A" w14:paraId="4C03C053" w14:textId="77777777" w:rsidTr="00510253">
        <w:tc>
          <w:tcPr>
            <w:tcW w:w="4956" w:type="dxa"/>
          </w:tcPr>
          <w:p w14:paraId="0523FCD8" w14:textId="77777777" w:rsidR="00702D0A" w:rsidRPr="00510253" w:rsidRDefault="00702D0A" w:rsidP="00702D0A">
            <w:pPr>
              <w:rPr>
                <w:rFonts w:ascii="Times New Roman" w:hAnsi="Times New Roman" w:cs="Times New Roman"/>
              </w:rPr>
            </w:pPr>
            <w:r w:rsidRPr="00510253">
              <w:rPr>
                <w:rFonts w:ascii="Times New Roman" w:hAnsi="Times New Roman" w:cs="Times New Roman"/>
              </w:rPr>
              <w:t>Obtenção de alvarás de construção</w:t>
            </w:r>
            <w:r w:rsidR="003703CD" w:rsidRPr="00510253">
              <w:rPr>
                <w:rFonts w:ascii="Times New Roman" w:hAnsi="Times New Roman" w:cs="Times New Roman"/>
              </w:rPr>
              <w:t xml:space="preserve"> (</w:t>
            </w:r>
            <w:r w:rsidR="003703CD" w:rsidRPr="00510253">
              <w:rPr>
                <w:rFonts w:ascii="Times New Roman" w:hAnsi="Times New Roman" w:cs="Times New Roman"/>
                <w:i/>
              </w:rPr>
              <w:t>Dealing with construction permits)</w:t>
            </w:r>
          </w:p>
        </w:tc>
        <w:tc>
          <w:tcPr>
            <w:tcW w:w="6243" w:type="dxa"/>
          </w:tcPr>
          <w:p w14:paraId="50A7AF7A" w14:textId="77777777" w:rsidR="00702D0A" w:rsidRPr="00510253" w:rsidRDefault="00EE0393" w:rsidP="00EE0393">
            <w:pPr>
              <w:jc w:val="both"/>
              <w:rPr>
                <w:rFonts w:ascii="Times New Roman" w:hAnsi="Times New Roman" w:cs="Times New Roman"/>
              </w:rPr>
            </w:pPr>
            <w:r w:rsidRPr="00510253">
              <w:rPr>
                <w:rFonts w:ascii="Times New Roman" w:hAnsi="Times New Roman" w:cs="Times New Roman"/>
              </w:rPr>
              <w:t>Procedimentos, tempo e custos necessários para completar todas as formalidades a construção de depósitos e armazéns, assim como a qualidade e mecanismo de controle e segurança do sistemas de licenças de construção</w:t>
            </w:r>
          </w:p>
        </w:tc>
      </w:tr>
      <w:tr w:rsidR="00702D0A" w14:paraId="1A7C0E27" w14:textId="77777777" w:rsidTr="00510253">
        <w:tc>
          <w:tcPr>
            <w:tcW w:w="4956" w:type="dxa"/>
          </w:tcPr>
          <w:p w14:paraId="46F6044C" w14:textId="77777777" w:rsidR="00702D0A" w:rsidRPr="00510253" w:rsidRDefault="00702D0A" w:rsidP="00702D0A">
            <w:pPr>
              <w:tabs>
                <w:tab w:val="left" w:pos="413"/>
              </w:tabs>
              <w:rPr>
                <w:rFonts w:ascii="Times New Roman" w:hAnsi="Times New Roman" w:cs="Times New Roman"/>
              </w:rPr>
            </w:pPr>
            <w:r w:rsidRPr="00510253">
              <w:rPr>
                <w:rFonts w:ascii="Times New Roman" w:hAnsi="Times New Roman" w:cs="Times New Roman"/>
              </w:rPr>
              <w:t>Obtenção de eletricidade</w:t>
            </w:r>
          </w:p>
          <w:p w14:paraId="670FB0C6" w14:textId="77777777" w:rsidR="003703CD" w:rsidRPr="00510253" w:rsidRDefault="003703CD" w:rsidP="00702D0A">
            <w:pPr>
              <w:tabs>
                <w:tab w:val="left" w:pos="413"/>
              </w:tabs>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Getting electricity</w:t>
            </w:r>
            <w:r w:rsidRPr="00510253">
              <w:rPr>
                <w:rFonts w:ascii="Times New Roman" w:hAnsi="Times New Roman" w:cs="Times New Roman"/>
              </w:rPr>
              <w:t>)</w:t>
            </w:r>
          </w:p>
        </w:tc>
        <w:tc>
          <w:tcPr>
            <w:tcW w:w="6243" w:type="dxa"/>
          </w:tcPr>
          <w:p w14:paraId="5FFD7B9D" w14:textId="77777777" w:rsidR="00702D0A" w:rsidRPr="00510253" w:rsidRDefault="00FC3372" w:rsidP="00202F3F">
            <w:pPr>
              <w:jc w:val="both"/>
              <w:rPr>
                <w:rFonts w:ascii="Times New Roman" w:hAnsi="Times New Roman" w:cs="Times New Roman"/>
              </w:rPr>
            </w:pPr>
            <w:r w:rsidRPr="00510253">
              <w:rPr>
                <w:rFonts w:ascii="Times New Roman" w:hAnsi="Times New Roman" w:cs="Times New Roman"/>
              </w:rPr>
              <w:t>Procedimentos, tempo e custo para se conectar à rede elétrica e a confiabilidade do fornecimento de eletricidade e a transparência das tarifas</w:t>
            </w:r>
          </w:p>
        </w:tc>
      </w:tr>
      <w:tr w:rsidR="00702D0A" w14:paraId="7D8D0B15" w14:textId="77777777" w:rsidTr="00510253">
        <w:tc>
          <w:tcPr>
            <w:tcW w:w="4956" w:type="dxa"/>
          </w:tcPr>
          <w:p w14:paraId="2437B906" w14:textId="77777777" w:rsidR="00702D0A" w:rsidRPr="00510253" w:rsidRDefault="00702D0A" w:rsidP="00702D0A">
            <w:pPr>
              <w:rPr>
                <w:rFonts w:ascii="Times New Roman" w:hAnsi="Times New Roman" w:cs="Times New Roman"/>
              </w:rPr>
            </w:pPr>
            <w:r w:rsidRPr="00510253">
              <w:rPr>
                <w:rFonts w:ascii="Times New Roman" w:hAnsi="Times New Roman" w:cs="Times New Roman"/>
              </w:rPr>
              <w:t>Registro de propriedades</w:t>
            </w:r>
          </w:p>
          <w:p w14:paraId="08C1E044" w14:textId="77777777" w:rsidR="003703CD" w:rsidRPr="00510253" w:rsidRDefault="003703CD" w:rsidP="00702D0A">
            <w:pPr>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Registering property</w:t>
            </w:r>
            <w:r w:rsidRPr="00510253">
              <w:rPr>
                <w:rFonts w:ascii="Times New Roman" w:hAnsi="Times New Roman" w:cs="Times New Roman"/>
              </w:rPr>
              <w:t>)</w:t>
            </w:r>
          </w:p>
        </w:tc>
        <w:tc>
          <w:tcPr>
            <w:tcW w:w="6243" w:type="dxa"/>
          </w:tcPr>
          <w:p w14:paraId="10C55651" w14:textId="77777777" w:rsidR="00702D0A" w:rsidRPr="00510253" w:rsidRDefault="00D76E2D" w:rsidP="00E45788">
            <w:pPr>
              <w:jc w:val="both"/>
              <w:rPr>
                <w:rFonts w:ascii="Times New Roman" w:hAnsi="Times New Roman" w:cs="Times New Roman"/>
              </w:rPr>
            </w:pPr>
            <w:r w:rsidRPr="00510253">
              <w:rPr>
                <w:rFonts w:ascii="Times New Roman" w:hAnsi="Times New Roman" w:cs="Times New Roman"/>
              </w:rPr>
              <w:t xml:space="preserve">Procedimentos, tempo e custo para transferir uma propriedade e a qualidade do sistema de administração </w:t>
            </w:r>
            <w:r w:rsidR="00E45788" w:rsidRPr="00510253">
              <w:rPr>
                <w:rFonts w:ascii="Times New Roman" w:hAnsi="Times New Roman" w:cs="Times New Roman"/>
              </w:rPr>
              <w:t>fundiária</w:t>
            </w:r>
          </w:p>
        </w:tc>
      </w:tr>
      <w:tr w:rsidR="00702D0A" w14:paraId="264384D7" w14:textId="77777777" w:rsidTr="00510253">
        <w:tc>
          <w:tcPr>
            <w:tcW w:w="4956" w:type="dxa"/>
          </w:tcPr>
          <w:p w14:paraId="26EF2489" w14:textId="77777777" w:rsidR="00702D0A" w:rsidRPr="00510253" w:rsidRDefault="00702D0A" w:rsidP="00702D0A">
            <w:pPr>
              <w:tabs>
                <w:tab w:val="left" w:pos="428"/>
              </w:tabs>
              <w:rPr>
                <w:rFonts w:ascii="Times New Roman" w:hAnsi="Times New Roman" w:cs="Times New Roman"/>
              </w:rPr>
            </w:pPr>
            <w:r w:rsidRPr="00510253">
              <w:rPr>
                <w:rFonts w:ascii="Times New Roman" w:hAnsi="Times New Roman" w:cs="Times New Roman"/>
              </w:rPr>
              <w:t>Obtenção de crédito</w:t>
            </w:r>
          </w:p>
          <w:p w14:paraId="3F5951A5" w14:textId="77777777" w:rsidR="003703CD" w:rsidRPr="00510253" w:rsidRDefault="003703CD" w:rsidP="00702D0A">
            <w:pPr>
              <w:tabs>
                <w:tab w:val="left" w:pos="428"/>
              </w:tabs>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Getting credit</w:t>
            </w:r>
            <w:r w:rsidRPr="00510253">
              <w:rPr>
                <w:rFonts w:ascii="Times New Roman" w:hAnsi="Times New Roman" w:cs="Times New Roman"/>
              </w:rPr>
              <w:t>)</w:t>
            </w:r>
          </w:p>
        </w:tc>
        <w:tc>
          <w:tcPr>
            <w:tcW w:w="6243" w:type="dxa"/>
          </w:tcPr>
          <w:p w14:paraId="609DF16B" w14:textId="77777777" w:rsidR="00702D0A" w:rsidRPr="00510253" w:rsidRDefault="009E208D" w:rsidP="00397E03">
            <w:pPr>
              <w:tabs>
                <w:tab w:val="left" w:pos="1139"/>
              </w:tabs>
              <w:jc w:val="both"/>
              <w:rPr>
                <w:rFonts w:ascii="Times New Roman" w:hAnsi="Times New Roman" w:cs="Times New Roman"/>
              </w:rPr>
            </w:pPr>
            <w:r w:rsidRPr="00510253">
              <w:rPr>
                <w:rFonts w:ascii="Times New Roman" w:hAnsi="Times New Roman" w:cs="Times New Roman"/>
              </w:rPr>
              <w:t>Abrange os direitos legais dos mutuários e mutuantes no que diz respeito às transações e a disponibilidade de informações sobre crédito</w:t>
            </w:r>
          </w:p>
        </w:tc>
      </w:tr>
      <w:tr w:rsidR="00702D0A" w14:paraId="2E41FA58" w14:textId="77777777" w:rsidTr="00510253">
        <w:tc>
          <w:tcPr>
            <w:tcW w:w="4956" w:type="dxa"/>
          </w:tcPr>
          <w:p w14:paraId="074C0653"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Proteção dos investidores minoritários</w:t>
            </w:r>
          </w:p>
          <w:p w14:paraId="0A9B45F1"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Protecting minority investors</w:t>
            </w:r>
            <w:r w:rsidRPr="00510253">
              <w:rPr>
                <w:rFonts w:ascii="Times New Roman" w:hAnsi="Times New Roman" w:cs="Times New Roman"/>
              </w:rPr>
              <w:t>)</w:t>
            </w:r>
          </w:p>
        </w:tc>
        <w:tc>
          <w:tcPr>
            <w:tcW w:w="6243" w:type="dxa"/>
          </w:tcPr>
          <w:p w14:paraId="01D6F357" w14:textId="77777777" w:rsidR="00702D0A" w:rsidRPr="00510253" w:rsidRDefault="00510253" w:rsidP="00202F3F">
            <w:pPr>
              <w:jc w:val="both"/>
              <w:rPr>
                <w:rFonts w:ascii="Times New Roman" w:hAnsi="Times New Roman" w:cs="Times New Roman"/>
              </w:rPr>
            </w:pPr>
            <w:r w:rsidRPr="00510253">
              <w:rPr>
                <w:rFonts w:ascii="Times New Roman" w:hAnsi="Times New Roman" w:cs="Times New Roman"/>
              </w:rPr>
              <w:t>Mede o grau de proteção dos investidores minoritários em duas dimensões: conflito de interesses e governança corporativa</w:t>
            </w:r>
          </w:p>
        </w:tc>
      </w:tr>
      <w:tr w:rsidR="00702D0A" w14:paraId="59C1B54E" w14:textId="77777777" w:rsidTr="00510253">
        <w:tc>
          <w:tcPr>
            <w:tcW w:w="4956" w:type="dxa"/>
          </w:tcPr>
          <w:p w14:paraId="342DBC1E"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Pagamento de impostos</w:t>
            </w:r>
          </w:p>
          <w:p w14:paraId="59969394"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Paying taxes</w:t>
            </w:r>
            <w:r w:rsidRPr="00510253">
              <w:rPr>
                <w:rFonts w:ascii="Times New Roman" w:hAnsi="Times New Roman" w:cs="Times New Roman"/>
              </w:rPr>
              <w:t>)</w:t>
            </w:r>
          </w:p>
        </w:tc>
        <w:tc>
          <w:tcPr>
            <w:tcW w:w="6243" w:type="dxa"/>
          </w:tcPr>
          <w:p w14:paraId="00A875F4" w14:textId="77777777" w:rsidR="00702D0A" w:rsidRPr="00510253" w:rsidRDefault="00510253" w:rsidP="00510253">
            <w:pPr>
              <w:jc w:val="both"/>
              <w:rPr>
                <w:rFonts w:ascii="Times New Roman" w:hAnsi="Times New Roman" w:cs="Times New Roman"/>
              </w:rPr>
            </w:pPr>
            <w:r w:rsidRPr="00510253">
              <w:rPr>
                <w:rFonts w:ascii="Times New Roman" w:hAnsi="Times New Roman" w:cs="Times New Roman"/>
              </w:rPr>
              <w:t xml:space="preserve">Pagamentos, tempo, impostos totais e taxa de contribuição para uma empresa cumprir todos os regulamentos fiscais, bem como processos </w:t>
            </w:r>
            <w:r>
              <w:rPr>
                <w:rFonts w:ascii="Times New Roman" w:hAnsi="Times New Roman" w:cs="Times New Roman"/>
              </w:rPr>
              <w:t>pós-declaratórios</w:t>
            </w:r>
          </w:p>
        </w:tc>
      </w:tr>
      <w:tr w:rsidR="00702D0A" w14:paraId="521BF479" w14:textId="77777777" w:rsidTr="00510253">
        <w:tc>
          <w:tcPr>
            <w:tcW w:w="4956" w:type="dxa"/>
          </w:tcPr>
          <w:p w14:paraId="77555CDB"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Comércio entre fronteiras</w:t>
            </w:r>
          </w:p>
          <w:p w14:paraId="20D83BF7"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Trading across borders</w:t>
            </w:r>
            <w:r w:rsidRPr="00510253">
              <w:rPr>
                <w:rFonts w:ascii="Times New Roman" w:hAnsi="Times New Roman" w:cs="Times New Roman"/>
              </w:rPr>
              <w:t>)</w:t>
            </w:r>
          </w:p>
        </w:tc>
        <w:tc>
          <w:tcPr>
            <w:tcW w:w="6243" w:type="dxa"/>
          </w:tcPr>
          <w:p w14:paraId="228136B1" w14:textId="77777777" w:rsidR="00702D0A" w:rsidRPr="00510253" w:rsidRDefault="00510253" w:rsidP="002637C2">
            <w:pPr>
              <w:jc w:val="both"/>
              <w:rPr>
                <w:rFonts w:ascii="Times New Roman" w:hAnsi="Times New Roman" w:cs="Times New Roman"/>
              </w:rPr>
            </w:pPr>
            <w:r w:rsidRPr="00510253">
              <w:rPr>
                <w:rFonts w:ascii="Times New Roman" w:hAnsi="Times New Roman" w:cs="Times New Roman"/>
              </w:rPr>
              <w:t>Os custos e procedimentos envolvidos na importação e exportação de mercadorias</w:t>
            </w:r>
          </w:p>
        </w:tc>
      </w:tr>
      <w:tr w:rsidR="00702D0A" w14:paraId="4BE2BF7D" w14:textId="77777777" w:rsidTr="00510253">
        <w:tc>
          <w:tcPr>
            <w:tcW w:w="4956" w:type="dxa"/>
          </w:tcPr>
          <w:p w14:paraId="157EAD70"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Execução de contratos</w:t>
            </w:r>
          </w:p>
          <w:p w14:paraId="37D04F3F"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Enforcing contracts</w:t>
            </w:r>
            <w:r w:rsidRPr="00510253">
              <w:rPr>
                <w:rFonts w:ascii="Times New Roman" w:hAnsi="Times New Roman" w:cs="Times New Roman"/>
              </w:rPr>
              <w:t>)</w:t>
            </w:r>
          </w:p>
        </w:tc>
        <w:tc>
          <w:tcPr>
            <w:tcW w:w="6243" w:type="dxa"/>
          </w:tcPr>
          <w:p w14:paraId="4D7CE825" w14:textId="77777777" w:rsidR="00702D0A" w:rsidRPr="00510253" w:rsidRDefault="00596F0E" w:rsidP="00202F3F">
            <w:pPr>
              <w:jc w:val="both"/>
              <w:rPr>
                <w:rFonts w:ascii="Times New Roman" w:hAnsi="Times New Roman" w:cs="Times New Roman"/>
              </w:rPr>
            </w:pPr>
            <w:r>
              <w:rPr>
                <w:rFonts w:ascii="Times New Roman" w:hAnsi="Times New Roman" w:cs="Times New Roman"/>
              </w:rPr>
              <w:t>M</w:t>
            </w:r>
            <w:r w:rsidR="002637C2" w:rsidRPr="002637C2">
              <w:rPr>
                <w:rFonts w:ascii="Times New Roman" w:hAnsi="Times New Roman" w:cs="Times New Roman"/>
              </w:rPr>
              <w:t>ede o tempo e o custo para resolver uma disputa comercial num tribunal local de primeira instância e o índice de qualidade dos processos judiciais</w:t>
            </w:r>
          </w:p>
        </w:tc>
      </w:tr>
      <w:tr w:rsidR="00702D0A" w14:paraId="1FC82D26" w14:textId="77777777" w:rsidTr="00510253">
        <w:tc>
          <w:tcPr>
            <w:tcW w:w="4956" w:type="dxa"/>
          </w:tcPr>
          <w:p w14:paraId="54D8F567"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Resolução de insolvência</w:t>
            </w:r>
          </w:p>
          <w:p w14:paraId="224B45D7"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Resolving insolvency</w:t>
            </w:r>
            <w:r w:rsidRPr="00510253">
              <w:rPr>
                <w:rFonts w:ascii="Times New Roman" w:hAnsi="Times New Roman" w:cs="Times New Roman"/>
              </w:rPr>
              <w:t>)</w:t>
            </w:r>
          </w:p>
        </w:tc>
        <w:tc>
          <w:tcPr>
            <w:tcW w:w="6243" w:type="dxa"/>
          </w:tcPr>
          <w:p w14:paraId="3CC2FF47" w14:textId="77777777" w:rsidR="00702D0A" w:rsidRPr="00510253" w:rsidRDefault="00EB3A1E" w:rsidP="00EB3A1E">
            <w:pPr>
              <w:tabs>
                <w:tab w:val="left" w:pos="1483"/>
              </w:tabs>
              <w:jc w:val="both"/>
              <w:rPr>
                <w:rFonts w:ascii="Times New Roman" w:hAnsi="Times New Roman" w:cs="Times New Roman"/>
              </w:rPr>
            </w:pPr>
            <w:r>
              <w:rPr>
                <w:rFonts w:ascii="Times New Roman" w:hAnsi="Times New Roman" w:cs="Times New Roman"/>
              </w:rPr>
              <w:t>A</w:t>
            </w:r>
            <w:r w:rsidRPr="00EB3A1E">
              <w:rPr>
                <w:rFonts w:ascii="Times New Roman" w:hAnsi="Times New Roman" w:cs="Times New Roman"/>
              </w:rPr>
              <w:t>valia o tempo e os custos relacionados com um processo de falência</w:t>
            </w:r>
            <w:r>
              <w:rPr>
                <w:rFonts w:ascii="Times New Roman" w:hAnsi="Times New Roman" w:cs="Times New Roman"/>
              </w:rPr>
              <w:t>.</w:t>
            </w:r>
          </w:p>
        </w:tc>
      </w:tr>
      <w:tr w:rsidR="00702D0A" w14:paraId="00049FA8" w14:textId="77777777" w:rsidTr="00510253">
        <w:tc>
          <w:tcPr>
            <w:tcW w:w="4956" w:type="dxa"/>
          </w:tcPr>
          <w:p w14:paraId="5D78C2ED" w14:textId="77777777" w:rsidR="00702D0A" w:rsidRPr="00510253" w:rsidRDefault="00702D0A" w:rsidP="00202F3F">
            <w:pPr>
              <w:jc w:val="both"/>
              <w:rPr>
                <w:rFonts w:ascii="Times New Roman" w:hAnsi="Times New Roman" w:cs="Times New Roman"/>
              </w:rPr>
            </w:pPr>
            <w:r w:rsidRPr="00510253">
              <w:rPr>
                <w:rFonts w:ascii="Times New Roman" w:hAnsi="Times New Roman" w:cs="Times New Roman"/>
              </w:rPr>
              <w:t>Regulamentação do mercado de trabalho*</w:t>
            </w:r>
          </w:p>
          <w:p w14:paraId="7CDAD9CE" w14:textId="77777777" w:rsidR="003703CD" w:rsidRPr="00510253" w:rsidRDefault="003703CD" w:rsidP="00202F3F">
            <w:pPr>
              <w:jc w:val="both"/>
              <w:rPr>
                <w:rFonts w:ascii="Times New Roman" w:hAnsi="Times New Roman" w:cs="Times New Roman"/>
              </w:rPr>
            </w:pPr>
            <w:r w:rsidRPr="00510253">
              <w:rPr>
                <w:rFonts w:ascii="Times New Roman" w:hAnsi="Times New Roman" w:cs="Times New Roman"/>
              </w:rPr>
              <w:t>(</w:t>
            </w:r>
            <w:r w:rsidRPr="00510253">
              <w:rPr>
                <w:rFonts w:ascii="Times New Roman" w:hAnsi="Times New Roman" w:cs="Times New Roman"/>
                <w:i/>
              </w:rPr>
              <w:t>Labor market regulation</w:t>
            </w:r>
            <w:r w:rsidRPr="00510253">
              <w:rPr>
                <w:rFonts w:ascii="Times New Roman" w:hAnsi="Times New Roman" w:cs="Times New Roman"/>
              </w:rPr>
              <w:t>)</w:t>
            </w:r>
          </w:p>
        </w:tc>
        <w:tc>
          <w:tcPr>
            <w:tcW w:w="6243" w:type="dxa"/>
          </w:tcPr>
          <w:p w14:paraId="72E2C0A0" w14:textId="77777777" w:rsidR="00702D0A" w:rsidRPr="00510253" w:rsidRDefault="00EB3A1E" w:rsidP="00202F3F">
            <w:pPr>
              <w:jc w:val="both"/>
              <w:rPr>
                <w:rFonts w:ascii="Times New Roman" w:hAnsi="Times New Roman" w:cs="Times New Roman"/>
              </w:rPr>
            </w:pPr>
            <w:r>
              <w:rPr>
                <w:rFonts w:ascii="Times New Roman" w:hAnsi="Times New Roman" w:cs="Times New Roman"/>
              </w:rPr>
              <w:t>Mede a</w:t>
            </w:r>
            <w:r w:rsidRPr="00EB3A1E">
              <w:rPr>
                <w:rFonts w:ascii="Times New Roman" w:hAnsi="Times New Roman" w:cs="Times New Roman"/>
              </w:rPr>
              <w:t xml:space="preserve"> flexibilidade da regulamentação do mercado de trabalho, particularmente no que diz respeito às áreas de contratação, horário de trabalho e demissão de funcionários</w:t>
            </w:r>
          </w:p>
        </w:tc>
      </w:tr>
      <w:tr w:rsidR="00702D0A" w14:paraId="63396ECE" w14:textId="77777777" w:rsidTr="00510253">
        <w:tc>
          <w:tcPr>
            <w:tcW w:w="4956" w:type="dxa"/>
          </w:tcPr>
          <w:p w14:paraId="4C6DA84D" w14:textId="77777777" w:rsidR="00702D0A" w:rsidRPr="00510253" w:rsidRDefault="00702D0A" w:rsidP="00202F3F">
            <w:pPr>
              <w:jc w:val="both"/>
              <w:rPr>
                <w:rFonts w:ascii="Times New Roman" w:hAnsi="Times New Roman" w:cs="Times New Roman"/>
                <w:sz w:val="20"/>
                <w:szCs w:val="20"/>
              </w:rPr>
            </w:pPr>
          </w:p>
        </w:tc>
        <w:tc>
          <w:tcPr>
            <w:tcW w:w="6243" w:type="dxa"/>
          </w:tcPr>
          <w:p w14:paraId="25DE7BA0" w14:textId="77777777" w:rsidR="00702D0A" w:rsidRPr="00510253" w:rsidRDefault="00702D0A" w:rsidP="00202F3F">
            <w:pPr>
              <w:jc w:val="both"/>
              <w:rPr>
                <w:rFonts w:ascii="Times New Roman" w:hAnsi="Times New Roman" w:cs="Times New Roman"/>
                <w:sz w:val="20"/>
                <w:szCs w:val="20"/>
              </w:rPr>
            </w:pPr>
          </w:p>
        </w:tc>
      </w:tr>
    </w:tbl>
    <w:p w14:paraId="2D5CD231" w14:textId="77777777" w:rsidR="00702D0A" w:rsidRPr="00702D0A" w:rsidRDefault="00702D0A" w:rsidP="00EB3A1E">
      <w:pPr>
        <w:ind w:left="-1276"/>
        <w:jc w:val="both"/>
        <w:rPr>
          <w:rFonts w:ascii="Times New Roman" w:hAnsi="Times New Roman" w:cs="Times New Roman"/>
          <w:sz w:val="20"/>
          <w:szCs w:val="20"/>
        </w:rPr>
      </w:pPr>
      <w:r w:rsidRPr="00702D0A">
        <w:rPr>
          <w:rFonts w:ascii="Times New Roman" w:hAnsi="Times New Roman" w:cs="Times New Roman"/>
          <w:sz w:val="20"/>
          <w:szCs w:val="20"/>
        </w:rPr>
        <w:t>* Este indicador não está incluído na classificação</w:t>
      </w:r>
      <w:r w:rsidR="00CF7AEA">
        <w:rPr>
          <w:rFonts w:ascii="Times New Roman" w:hAnsi="Times New Roman" w:cs="Times New Roman"/>
          <w:sz w:val="20"/>
          <w:szCs w:val="20"/>
        </w:rPr>
        <w:t xml:space="preserve"> e no indicador final</w:t>
      </w:r>
      <w:r w:rsidRPr="00702D0A">
        <w:rPr>
          <w:rFonts w:ascii="Times New Roman" w:hAnsi="Times New Roman" w:cs="Times New Roman"/>
          <w:sz w:val="20"/>
          <w:szCs w:val="20"/>
        </w:rPr>
        <w:t xml:space="preserve"> do relatório Doing Business.</w:t>
      </w:r>
    </w:p>
    <w:p w14:paraId="5CF87738" w14:textId="77777777" w:rsidR="00DC35E2" w:rsidRDefault="00DC35E2" w:rsidP="00FC25FF">
      <w:pPr>
        <w:ind w:firstLine="708"/>
        <w:jc w:val="both"/>
        <w:rPr>
          <w:rFonts w:ascii="Times New Roman" w:hAnsi="Times New Roman" w:cs="Times New Roman"/>
          <w:sz w:val="24"/>
          <w:szCs w:val="24"/>
        </w:rPr>
      </w:pPr>
      <w:r>
        <w:rPr>
          <w:rFonts w:ascii="Times New Roman" w:hAnsi="Times New Roman" w:cs="Times New Roman"/>
          <w:sz w:val="24"/>
          <w:szCs w:val="24"/>
        </w:rPr>
        <w:t>O foco da mensuração da publicação é a regulação ao longo do ciclo</w:t>
      </w:r>
      <w:r w:rsidR="00E95BA3">
        <w:rPr>
          <w:rFonts w:ascii="Times New Roman" w:hAnsi="Times New Roman" w:cs="Times New Roman"/>
          <w:sz w:val="24"/>
          <w:szCs w:val="24"/>
        </w:rPr>
        <w:t xml:space="preserve"> da vida das empresas de médio-</w:t>
      </w:r>
      <w:r>
        <w:rPr>
          <w:rFonts w:ascii="Times New Roman" w:hAnsi="Times New Roman" w:cs="Times New Roman"/>
          <w:sz w:val="24"/>
          <w:szCs w:val="24"/>
        </w:rPr>
        <w:t>grande porte no mercado doméstico de cada país. A coleta de dados é feita tendo vista a análise do setor formal.</w:t>
      </w:r>
    </w:p>
    <w:p w14:paraId="43027BE1" w14:textId="77777777" w:rsidR="00670D20" w:rsidRDefault="00670D20" w:rsidP="00FC25FF">
      <w:pPr>
        <w:ind w:firstLine="708"/>
        <w:jc w:val="both"/>
        <w:rPr>
          <w:rFonts w:ascii="Times New Roman" w:hAnsi="Times New Roman" w:cs="Times New Roman"/>
          <w:sz w:val="24"/>
          <w:szCs w:val="24"/>
        </w:rPr>
      </w:pPr>
      <w:r>
        <w:rPr>
          <w:rFonts w:ascii="Times New Roman" w:hAnsi="Times New Roman" w:cs="Times New Roman"/>
          <w:sz w:val="24"/>
          <w:szCs w:val="24"/>
        </w:rPr>
        <w:t>Ainda sobre as questões metodológicas, o índice adota uma escala de zero a cem, sendo zero</w:t>
      </w:r>
      <w:r w:rsidR="00DC35E2">
        <w:rPr>
          <w:rFonts w:ascii="Times New Roman" w:hAnsi="Times New Roman" w:cs="Times New Roman"/>
          <w:sz w:val="24"/>
          <w:szCs w:val="24"/>
        </w:rPr>
        <w:t xml:space="preserve"> o pior desempenho e cem, o melhor</w:t>
      </w:r>
      <w:r>
        <w:rPr>
          <w:rFonts w:ascii="Times New Roman" w:hAnsi="Times New Roman" w:cs="Times New Roman"/>
          <w:sz w:val="24"/>
          <w:szCs w:val="24"/>
        </w:rPr>
        <w:t>.</w:t>
      </w:r>
      <w:r w:rsidR="00DC35E2">
        <w:rPr>
          <w:rFonts w:ascii="Times New Roman" w:hAnsi="Times New Roman" w:cs="Times New Roman"/>
          <w:sz w:val="24"/>
          <w:szCs w:val="24"/>
        </w:rPr>
        <w:t xml:space="preserve"> Os indicadores têm ponderações iguais tanto em relação aos países quanto aos próprios indicadores que compõem </w:t>
      </w:r>
      <w:r w:rsidR="004A28F2">
        <w:rPr>
          <w:rFonts w:ascii="Times New Roman" w:hAnsi="Times New Roman" w:cs="Times New Roman"/>
          <w:sz w:val="24"/>
          <w:szCs w:val="24"/>
        </w:rPr>
        <w:t>a pontuação</w:t>
      </w:r>
      <w:r w:rsidR="00DC35E2">
        <w:rPr>
          <w:rFonts w:ascii="Times New Roman" w:hAnsi="Times New Roman" w:cs="Times New Roman"/>
          <w:sz w:val="24"/>
          <w:szCs w:val="24"/>
        </w:rPr>
        <w:t xml:space="preserve"> final. Sendo assim, ao </w:t>
      </w:r>
      <w:r w:rsidR="004A28F2">
        <w:rPr>
          <w:rFonts w:ascii="Times New Roman" w:hAnsi="Times New Roman" w:cs="Times New Roman"/>
          <w:sz w:val="24"/>
          <w:szCs w:val="24"/>
        </w:rPr>
        <w:t>distribuir</w:t>
      </w:r>
      <w:r w:rsidR="00DC35E2">
        <w:rPr>
          <w:rFonts w:ascii="Times New Roman" w:hAnsi="Times New Roman" w:cs="Times New Roman"/>
          <w:sz w:val="24"/>
          <w:szCs w:val="24"/>
        </w:rPr>
        <w:t xml:space="preserve"> peso</w:t>
      </w:r>
      <w:r w:rsidR="004A28F2">
        <w:rPr>
          <w:rFonts w:ascii="Times New Roman" w:hAnsi="Times New Roman" w:cs="Times New Roman"/>
          <w:sz w:val="24"/>
          <w:szCs w:val="24"/>
        </w:rPr>
        <w:t>s</w:t>
      </w:r>
      <w:r w:rsidR="00DC35E2">
        <w:rPr>
          <w:rFonts w:ascii="Times New Roman" w:hAnsi="Times New Roman" w:cs="Times New Roman"/>
          <w:sz w:val="24"/>
          <w:szCs w:val="24"/>
        </w:rPr>
        <w:t xml:space="preserve"> equânime</w:t>
      </w:r>
      <w:r w:rsidR="004A28F2">
        <w:rPr>
          <w:rFonts w:ascii="Times New Roman" w:hAnsi="Times New Roman" w:cs="Times New Roman"/>
          <w:sz w:val="24"/>
          <w:szCs w:val="24"/>
        </w:rPr>
        <w:t>s</w:t>
      </w:r>
      <w:r w:rsidR="00DC35E2">
        <w:rPr>
          <w:rFonts w:ascii="Times New Roman" w:hAnsi="Times New Roman" w:cs="Times New Roman"/>
          <w:sz w:val="24"/>
          <w:szCs w:val="24"/>
        </w:rPr>
        <w:t xml:space="preserve"> </w:t>
      </w:r>
      <w:r w:rsidR="004A28F2">
        <w:rPr>
          <w:rFonts w:ascii="Times New Roman" w:hAnsi="Times New Roman" w:cs="Times New Roman"/>
          <w:sz w:val="24"/>
          <w:szCs w:val="24"/>
        </w:rPr>
        <w:t>a</w:t>
      </w:r>
      <w:r w:rsidR="00DC35E2">
        <w:rPr>
          <w:rFonts w:ascii="Times New Roman" w:hAnsi="Times New Roman" w:cs="Times New Roman"/>
          <w:sz w:val="24"/>
          <w:szCs w:val="24"/>
        </w:rPr>
        <w:t>os indicares, o índice distribui igualmente a importância das variáveis coletadas.</w:t>
      </w:r>
      <w:r w:rsidR="00EB3A1E">
        <w:rPr>
          <w:rFonts w:ascii="Times New Roman" w:hAnsi="Times New Roman" w:cs="Times New Roman"/>
          <w:sz w:val="24"/>
          <w:szCs w:val="24"/>
        </w:rPr>
        <w:t xml:space="preserve"> No ano de 2019 o Ranking possui 190 posições, o Brasil ocupa a posição 109</w:t>
      </w:r>
      <w:r w:rsidR="00FC25FF">
        <w:rPr>
          <w:rFonts w:ascii="Times New Roman" w:hAnsi="Times New Roman" w:cs="Times New Roman"/>
          <w:sz w:val="24"/>
          <w:szCs w:val="24"/>
        </w:rPr>
        <w:t>.</w:t>
      </w:r>
    </w:p>
    <w:p w14:paraId="51574D17" w14:textId="77777777" w:rsidR="006F4723" w:rsidRPr="00DC35E2" w:rsidRDefault="00DC35E2" w:rsidP="00FC25FF">
      <w:pPr>
        <w:ind w:firstLine="708"/>
        <w:jc w:val="both"/>
        <w:rPr>
          <w:rFonts w:ascii="Times New Roman" w:hAnsi="Times New Roman" w:cs="Times New Roman"/>
          <w:sz w:val="24"/>
          <w:szCs w:val="24"/>
        </w:rPr>
      </w:pPr>
      <w:r>
        <w:rPr>
          <w:rFonts w:ascii="Times New Roman" w:hAnsi="Times New Roman" w:cs="Times New Roman"/>
          <w:sz w:val="24"/>
          <w:szCs w:val="24"/>
        </w:rPr>
        <w:t>Há dois grandes grupos de interesse na formação dos indicadores, que são: “</w:t>
      </w:r>
      <w:r w:rsidR="00DF068C" w:rsidRPr="004A28F2">
        <w:rPr>
          <w:rFonts w:ascii="Times New Roman" w:hAnsi="Times New Roman" w:cs="Times New Roman"/>
          <w:i/>
          <w:sz w:val="24"/>
          <w:szCs w:val="24"/>
        </w:rPr>
        <w:t>T</w:t>
      </w:r>
      <w:r w:rsidRPr="004A28F2">
        <w:rPr>
          <w:rFonts w:ascii="Times New Roman" w:hAnsi="Times New Roman" w:cs="Times New Roman"/>
          <w:i/>
          <w:sz w:val="24"/>
          <w:szCs w:val="24"/>
        </w:rPr>
        <w:t>ime and motion</w:t>
      </w:r>
      <w:r>
        <w:rPr>
          <w:rFonts w:ascii="Times New Roman" w:hAnsi="Times New Roman" w:cs="Times New Roman"/>
          <w:sz w:val="24"/>
          <w:szCs w:val="24"/>
        </w:rPr>
        <w:t xml:space="preserve">” e </w:t>
      </w:r>
      <w:r w:rsidRPr="004A28F2">
        <w:rPr>
          <w:rFonts w:ascii="Times New Roman" w:hAnsi="Times New Roman" w:cs="Times New Roman"/>
          <w:i/>
          <w:sz w:val="24"/>
          <w:szCs w:val="24"/>
        </w:rPr>
        <w:t>Legal sources</w:t>
      </w:r>
      <w:r w:rsidR="00DF068C">
        <w:rPr>
          <w:rFonts w:ascii="Times New Roman" w:hAnsi="Times New Roman" w:cs="Times New Roman"/>
          <w:sz w:val="24"/>
          <w:szCs w:val="24"/>
        </w:rPr>
        <w:t>”</w:t>
      </w:r>
      <w:r>
        <w:rPr>
          <w:rFonts w:ascii="Times New Roman" w:hAnsi="Times New Roman" w:cs="Times New Roman"/>
          <w:sz w:val="24"/>
          <w:szCs w:val="24"/>
        </w:rPr>
        <w:t xml:space="preserve">. No primeiro grupo, o enfoque </w:t>
      </w:r>
      <w:r w:rsidR="00DF068C">
        <w:rPr>
          <w:rFonts w:ascii="Times New Roman" w:hAnsi="Times New Roman" w:cs="Times New Roman"/>
          <w:sz w:val="24"/>
          <w:szCs w:val="24"/>
        </w:rPr>
        <w:t>são</w:t>
      </w:r>
      <w:r>
        <w:rPr>
          <w:rFonts w:ascii="Times New Roman" w:hAnsi="Times New Roman" w:cs="Times New Roman"/>
          <w:sz w:val="24"/>
          <w:szCs w:val="24"/>
        </w:rPr>
        <w:t xml:space="preserve"> indicadores de processo</w:t>
      </w:r>
      <w:r w:rsidR="00DF068C">
        <w:rPr>
          <w:rFonts w:ascii="Times New Roman" w:hAnsi="Times New Roman" w:cs="Times New Roman"/>
          <w:sz w:val="24"/>
          <w:szCs w:val="24"/>
        </w:rPr>
        <w:t xml:space="preserve">, com intuito de medir a eficiência dos procedimentos que o empreendedor deverá fazer tanto para iniciar um negócio quanto para encerrá-lo. Quanto ao segundo grupo, </w:t>
      </w:r>
      <w:r w:rsidR="00CF7AEA">
        <w:rPr>
          <w:rFonts w:ascii="Times New Roman" w:hAnsi="Times New Roman" w:cs="Times New Roman"/>
          <w:sz w:val="24"/>
          <w:szCs w:val="24"/>
        </w:rPr>
        <w:t xml:space="preserve">dá-se ênfase nas </w:t>
      </w:r>
      <w:r w:rsidR="00DF068C">
        <w:rPr>
          <w:rFonts w:ascii="Times New Roman" w:hAnsi="Times New Roman" w:cs="Times New Roman"/>
          <w:sz w:val="24"/>
          <w:szCs w:val="24"/>
        </w:rPr>
        <w:t xml:space="preserve">questões legais, tais como direito de propriedade, obrigações contratuais, litígios e o </w:t>
      </w:r>
      <w:r w:rsidR="008C5FA5">
        <w:rPr>
          <w:rFonts w:ascii="Times New Roman" w:hAnsi="Times New Roman" w:cs="Times New Roman"/>
          <w:sz w:val="24"/>
          <w:szCs w:val="24"/>
        </w:rPr>
        <w:t>sistema</w:t>
      </w:r>
      <w:r w:rsidR="00DF068C">
        <w:rPr>
          <w:rFonts w:ascii="Times New Roman" w:hAnsi="Times New Roman" w:cs="Times New Roman"/>
          <w:sz w:val="24"/>
          <w:szCs w:val="24"/>
        </w:rPr>
        <w:t xml:space="preserve"> judicial. </w:t>
      </w:r>
    </w:p>
    <w:p w14:paraId="1D3549D8" w14:textId="77777777" w:rsidR="008C5FA5" w:rsidRDefault="004A28F2" w:rsidP="00047ED6">
      <w:pPr>
        <w:ind w:firstLine="708"/>
        <w:jc w:val="both"/>
        <w:rPr>
          <w:rFonts w:ascii="Times New Roman" w:hAnsi="Times New Roman" w:cs="Times New Roman"/>
          <w:color w:val="FF0000"/>
          <w:sz w:val="24"/>
          <w:szCs w:val="24"/>
        </w:rPr>
      </w:pPr>
      <w:r>
        <w:rPr>
          <w:rFonts w:ascii="Times New Roman" w:hAnsi="Times New Roman" w:cs="Times New Roman"/>
          <w:sz w:val="24"/>
          <w:szCs w:val="24"/>
        </w:rPr>
        <w:lastRenderedPageBreak/>
        <w:t>Com o passar nos anos, surgiu a necessidades de alguns países de terem mais de duas cidades com informações coletadas. N</w:t>
      </w:r>
      <w:r w:rsidR="00C72E1D">
        <w:rPr>
          <w:rFonts w:ascii="Times New Roman" w:hAnsi="Times New Roman" w:cs="Times New Roman"/>
          <w:sz w:val="24"/>
          <w:szCs w:val="24"/>
        </w:rPr>
        <w:t>o caso brasileiro, até o Ano 2013</w:t>
      </w:r>
      <w:r>
        <w:rPr>
          <w:rFonts w:ascii="Times New Roman" w:hAnsi="Times New Roman" w:cs="Times New Roman"/>
          <w:sz w:val="24"/>
          <w:szCs w:val="24"/>
        </w:rPr>
        <w:t xml:space="preserve"> a única cidade avaliada era São Paulo, posteriormente A cidade do Rio de Janeiro foi inserida na avaliação. Assim, c</w:t>
      </w:r>
      <w:r w:rsidR="00D00465">
        <w:rPr>
          <w:rFonts w:ascii="Times New Roman" w:hAnsi="Times New Roman" w:cs="Times New Roman"/>
          <w:sz w:val="24"/>
          <w:szCs w:val="24"/>
        </w:rPr>
        <w:t xml:space="preserve">omo a pesquisa no </w:t>
      </w:r>
      <w:r>
        <w:rPr>
          <w:rFonts w:ascii="Times New Roman" w:hAnsi="Times New Roman" w:cs="Times New Roman"/>
          <w:sz w:val="24"/>
          <w:szCs w:val="24"/>
        </w:rPr>
        <w:t>B</w:t>
      </w:r>
      <w:r w:rsidR="00D00465">
        <w:rPr>
          <w:rFonts w:ascii="Times New Roman" w:hAnsi="Times New Roman" w:cs="Times New Roman"/>
          <w:sz w:val="24"/>
          <w:szCs w:val="24"/>
        </w:rPr>
        <w:t>rasil é feita em São Paulo e Rio de Janeir</w:t>
      </w:r>
      <w:r w:rsidR="00942231">
        <w:rPr>
          <w:rFonts w:ascii="Times New Roman" w:hAnsi="Times New Roman" w:cs="Times New Roman"/>
          <w:sz w:val="24"/>
          <w:szCs w:val="24"/>
        </w:rPr>
        <w:t>o, a pontuação do indicador “nacional” é calculada</w:t>
      </w:r>
      <w:r w:rsidR="00D00465">
        <w:rPr>
          <w:rFonts w:ascii="Times New Roman" w:hAnsi="Times New Roman" w:cs="Times New Roman"/>
          <w:sz w:val="24"/>
          <w:szCs w:val="24"/>
        </w:rPr>
        <w:t xml:space="preserve"> com base </w:t>
      </w:r>
      <w:r w:rsidR="00CF7AEA">
        <w:rPr>
          <w:rFonts w:ascii="Times New Roman" w:hAnsi="Times New Roman" w:cs="Times New Roman"/>
          <w:sz w:val="24"/>
          <w:szCs w:val="24"/>
        </w:rPr>
        <w:t>na ponderação</w:t>
      </w:r>
      <w:r w:rsidR="00D00465">
        <w:rPr>
          <w:rFonts w:ascii="Times New Roman" w:hAnsi="Times New Roman" w:cs="Times New Roman"/>
          <w:sz w:val="24"/>
          <w:szCs w:val="24"/>
        </w:rPr>
        <w:t xml:space="preserve"> de cada ci</w:t>
      </w:r>
      <w:r w:rsidR="00A13396">
        <w:rPr>
          <w:rFonts w:ascii="Times New Roman" w:hAnsi="Times New Roman" w:cs="Times New Roman"/>
          <w:sz w:val="24"/>
          <w:szCs w:val="24"/>
        </w:rPr>
        <w:t>dade em termos populacionais, por meio de uma média ponderada pela população</w:t>
      </w:r>
      <w:r>
        <w:rPr>
          <w:rFonts w:ascii="Times New Roman" w:hAnsi="Times New Roman" w:cs="Times New Roman"/>
          <w:sz w:val="24"/>
          <w:szCs w:val="24"/>
        </w:rPr>
        <w:t xml:space="preserve">. Vale ressaltar que é claro que escolha de duas cidades não representa os problemas de grandes dimensões como no caso do Brasil, EUA, China e </w:t>
      </w:r>
      <w:r w:rsidR="00CF7AEA">
        <w:rPr>
          <w:rFonts w:ascii="Times New Roman" w:hAnsi="Times New Roman" w:cs="Times New Roman"/>
          <w:sz w:val="24"/>
          <w:szCs w:val="24"/>
        </w:rPr>
        <w:t>Rússia</w:t>
      </w:r>
      <w:r w:rsidR="00CF7AEA">
        <w:rPr>
          <w:rFonts w:ascii="Times New Roman" w:hAnsi="Times New Roman" w:cs="Times New Roman"/>
          <w:color w:val="FF0000"/>
          <w:sz w:val="24"/>
          <w:szCs w:val="24"/>
        </w:rPr>
        <w:t xml:space="preserve"> </w:t>
      </w:r>
      <w:r w:rsidR="00CF7AEA" w:rsidRPr="00CF7AEA">
        <w:rPr>
          <w:rFonts w:ascii="Times New Roman" w:hAnsi="Times New Roman" w:cs="Times New Roman"/>
          <w:sz w:val="24"/>
          <w:szCs w:val="24"/>
        </w:rPr>
        <w:t>etc</w:t>
      </w:r>
      <w:r w:rsidR="00CF7AEA">
        <w:rPr>
          <w:rFonts w:ascii="Times New Roman" w:hAnsi="Times New Roman" w:cs="Times New Roman"/>
          <w:sz w:val="24"/>
          <w:szCs w:val="24"/>
        </w:rPr>
        <w:t>.</w:t>
      </w:r>
      <w:r w:rsidRPr="004A28F2">
        <w:rPr>
          <w:rFonts w:ascii="Times New Roman" w:hAnsi="Times New Roman" w:cs="Times New Roman"/>
          <w:color w:val="FF0000"/>
          <w:sz w:val="24"/>
          <w:szCs w:val="24"/>
        </w:rPr>
        <w:t xml:space="preserve"> </w:t>
      </w:r>
    </w:p>
    <w:p w14:paraId="205E98D2" w14:textId="77777777" w:rsidR="00D6656B" w:rsidRDefault="00D6656B" w:rsidP="00047ED6">
      <w:pPr>
        <w:ind w:firstLine="708"/>
        <w:jc w:val="both"/>
        <w:rPr>
          <w:rFonts w:ascii="Times New Roman" w:hAnsi="Times New Roman" w:cs="Times New Roman"/>
          <w:sz w:val="24"/>
          <w:szCs w:val="24"/>
        </w:rPr>
      </w:pPr>
    </w:p>
    <w:p w14:paraId="6819705A" w14:textId="77777777" w:rsidR="008C2CAA" w:rsidRDefault="008C2CAA" w:rsidP="00F17A0E">
      <w:pPr>
        <w:pStyle w:val="PargrafodaLista"/>
        <w:numPr>
          <w:ilvl w:val="0"/>
          <w:numId w:val="4"/>
        </w:numPr>
        <w:jc w:val="both"/>
        <w:rPr>
          <w:rFonts w:ascii="Times New Roman" w:hAnsi="Times New Roman" w:cs="Times New Roman"/>
          <w:b/>
          <w:smallCaps/>
          <w:sz w:val="24"/>
          <w:szCs w:val="24"/>
        </w:rPr>
      </w:pPr>
      <w:r w:rsidRPr="00D6656B">
        <w:rPr>
          <w:rFonts w:ascii="Times New Roman" w:hAnsi="Times New Roman" w:cs="Times New Roman"/>
          <w:b/>
          <w:smallCaps/>
          <w:sz w:val="24"/>
          <w:szCs w:val="24"/>
        </w:rPr>
        <w:t>Análise dos Indicadores</w:t>
      </w:r>
    </w:p>
    <w:p w14:paraId="32F81226" w14:textId="77777777" w:rsidR="00D6656B" w:rsidRPr="00D6656B" w:rsidRDefault="00D6656B" w:rsidP="00D6656B">
      <w:pPr>
        <w:pStyle w:val="PargrafodaLista"/>
        <w:jc w:val="both"/>
        <w:rPr>
          <w:rFonts w:ascii="Times New Roman" w:hAnsi="Times New Roman" w:cs="Times New Roman"/>
          <w:b/>
          <w:smallCaps/>
          <w:sz w:val="24"/>
          <w:szCs w:val="24"/>
        </w:rPr>
      </w:pPr>
    </w:p>
    <w:p w14:paraId="71DD1365" w14:textId="77777777" w:rsidR="00E178A2" w:rsidRDefault="005E65BB" w:rsidP="001D1ED6">
      <w:pPr>
        <w:ind w:firstLine="708"/>
        <w:jc w:val="both"/>
        <w:rPr>
          <w:rFonts w:ascii="Times New Roman" w:hAnsi="Times New Roman" w:cs="Times New Roman"/>
          <w:sz w:val="24"/>
          <w:szCs w:val="24"/>
        </w:rPr>
      </w:pPr>
      <w:r>
        <w:rPr>
          <w:rFonts w:ascii="Times New Roman" w:hAnsi="Times New Roman" w:cs="Times New Roman"/>
          <w:sz w:val="24"/>
          <w:szCs w:val="24"/>
        </w:rPr>
        <w:t>A fim de abordar uma análise inicial, o gráfico a</w:t>
      </w:r>
      <w:r w:rsidR="00E178A2">
        <w:rPr>
          <w:rFonts w:ascii="Times New Roman" w:hAnsi="Times New Roman" w:cs="Times New Roman"/>
          <w:sz w:val="24"/>
          <w:szCs w:val="24"/>
        </w:rPr>
        <w:t xml:space="preserve"> seguir tem a </w:t>
      </w:r>
      <w:r>
        <w:rPr>
          <w:rFonts w:ascii="Times New Roman" w:hAnsi="Times New Roman" w:cs="Times New Roman"/>
          <w:sz w:val="24"/>
          <w:szCs w:val="24"/>
        </w:rPr>
        <w:t xml:space="preserve">finalidade </w:t>
      </w:r>
      <w:r w:rsidR="00E178A2">
        <w:rPr>
          <w:rFonts w:ascii="Times New Roman" w:hAnsi="Times New Roman" w:cs="Times New Roman"/>
          <w:sz w:val="24"/>
          <w:szCs w:val="24"/>
        </w:rPr>
        <w:t>de mostrar algumas características</w:t>
      </w:r>
      <w:r>
        <w:rPr>
          <w:rFonts w:ascii="Times New Roman" w:hAnsi="Times New Roman" w:cs="Times New Roman"/>
          <w:sz w:val="24"/>
          <w:szCs w:val="24"/>
        </w:rPr>
        <w:t xml:space="preserve"> básica das distribuições</w:t>
      </w:r>
      <w:r w:rsidR="00E178A2">
        <w:rPr>
          <w:rFonts w:ascii="Times New Roman" w:hAnsi="Times New Roman" w:cs="Times New Roman"/>
          <w:sz w:val="24"/>
          <w:szCs w:val="24"/>
        </w:rPr>
        <w:t xml:space="preserve"> dos dados. No eixo x estão representadas as categorias faixa </w:t>
      </w:r>
      <w:r w:rsidR="00E178A2" w:rsidRPr="005E65BB">
        <w:rPr>
          <w:rFonts w:ascii="Times New Roman" w:hAnsi="Times New Roman" w:cs="Times New Roman"/>
          <w:sz w:val="24"/>
          <w:szCs w:val="24"/>
        </w:rPr>
        <w:t>de renda</w:t>
      </w:r>
      <w:r>
        <w:rPr>
          <w:rStyle w:val="Refdenotaderodap"/>
          <w:rFonts w:ascii="Times New Roman" w:hAnsi="Times New Roman" w:cs="Times New Roman"/>
          <w:sz w:val="24"/>
          <w:szCs w:val="24"/>
        </w:rPr>
        <w:footnoteReference w:id="10"/>
      </w:r>
      <w:r w:rsidR="00E178A2" w:rsidRPr="005E65BB">
        <w:rPr>
          <w:rFonts w:ascii="Times New Roman" w:hAnsi="Times New Roman" w:cs="Times New Roman"/>
          <w:sz w:val="24"/>
          <w:szCs w:val="24"/>
        </w:rPr>
        <w:t xml:space="preserve"> e</w:t>
      </w:r>
      <w:r w:rsidR="00E178A2">
        <w:rPr>
          <w:rFonts w:ascii="Times New Roman" w:hAnsi="Times New Roman" w:cs="Times New Roman"/>
          <w:sz w:val="24"/>
          <w:szCs w:val="24"/>
        </w:rPr>
        <w:t xml:space="preserve"> no eixo y está a pontuação de facilidade em se fazer negócios (</w:t>
      </w:r>
      <w:r w:rsidR="00634204" w:rsidRPr="003076EB">
        <w:rPr>
          <w:rFonts w:ascii="Times New Roman" w:hAnsi="Times New Roman" w:cs="Times New Roman"/>
          <w:i/>
          <w:sz w:val="24"/>
          <w:szCs w:val="24"/>
        </w:rPr>
        <w:t>Ease of Doing Business – EoDB</w:t>
      </w:r>
      <w:r w:rsidR="00634204">
        <w:rPr>
          <w:rFonts w:ascii="Times New Roman" w:hAnsi="Times New Roman" w:cs="Times New Roman"/>
          <w:sz w:val="24"/>
          <w:szCs w:val="24"/>
        </w:rPr>
        <w:t>).</w:t>
      </w:r>
      <w:r w:rsidR="00092AFC">
        <w:rPr>
          <w:rFonts w:ascii="Times New Roman" w:hAnsi="Times New Roman" w:cs="Times New Roman"/>
          <w:sz w:val="24"/>
          <w:szCs w:val="24"/>
        </w:rPr>
        <w:t xml:space="preserve"> </w:t>
      </w:r>
      <w:r w:rsidR="00634204">
        <w:rPr>
          <w:rFonts w:ascii="Times New Roman" w:hAnsi="Times New Roman" w:cs="Times New Roman"/>
          <w:sz w:val="24"/>
          <w:szCs w:val="24"/>
        </w:rPr>
        <w:t xml:space="preserve">Com as observações no gráfico é fácil perceber algumas características que por vezes já são intuitivas. Os países de renda baixa (cor verde) apresentam uma mediana menor em relação aos outros países, por outro lado, os países de renda alta obtém uma pontuação maior em geral em relação aos outros países. </w:t>
      </w:r>
    </w:p>
    <w:p w14:paraId="493DF07E" w14:textId="77777777" w:rsidR="00976F50" w:rsidRDefault="001D1ED6" w:rsidP="001D1ED6">
      <w:pPr>
        <w:ind w:firstLine="708"/>
        <w:jc w:val="both"/>
        <w:rPr>
          <w:rFonts w:ascii="Times New Roman" w:hAnsi="Times New Roman" w:cs="Times New Roman"/>
          <w:sz w:val="24"/>
          <w:szCs w:val="24"/>
        </w:rPr>
      </w:pPr>
      <w:r>
        <w:rPr>
          <w:rFonts w:ascii="Times New Roman" w:hAnsi="Times New Roman" w:cs="Times New Roman"/>
          <w:sz w:val="24"/>
          <w:szCs w:val="24"/>
        </w:rPr>
        <w:t>O B</w:t>
      </w:r>
      <w:r w:rsidR="00634204">
        <w:rPr>
          <w:rFonts w:ascii="Times New Roman" w:hAnsi="Times New Roman" w:cs="Times New Roman"/>
          <w:sz w:val="24"/>
          <w:szCs w:val="24"/>
        </w:rPr>
        <w:t>rasil, apesar de ser um país de renda média-alta aparece abaixo da mediana dos países desenvolvidos</w:t>
      </w:r>
      <w:r>
        <w:rPr>
          <w:rFonts w:ascii="Times New Roman" w:hAnsi="Times New Roman" w:cs="Times New Roman"/>
          <w:sz w:val="24"/>
          <w:szCs w:val="24"/>
        </w:rPr>
        <w:t xml:space="preserve"> quase no mesmo nível dos países na categoria de renda média. Isto pode ser visto no gráfico no ponto vermelho indicado. O Brasil, em 2019, obteve posição no Ranking de 109 nos 190 países pesquisados.</w:t>
      </w:r>
    </w:p>
    <w:p w14:paraId="683FF3B4" w14:textId="77777777" w:rsidR="00976F50" w:rsidRDefault="00976F50" w:rsidP="001D1ED6">
      <w:pPr>
        <w:ind w:firstLine="708"/>
        <w:jc w:val="both"/>
        <w:rPr>
          <w:rFonts w:ascii="Times New Roman" w:hAnsi="Times New Roman" w:cs="Times New Roman"/>
          <w:sz w:val="24"/>
          <w:szCs w:val="24"/>
        </w:rPr>
      </w:pPr>
    </w:p>
    <w:p w14:paraId="787529BD" w14:textId="77777777" w:rsidR="00E95BA3" w:rsidRDefault="0013545C" w:rsidP="00202F3F">
      <w:pPr>
        <w:jc w:val="both"/>
        <w:rPr>
          <w:rFonts w:ascii="Times New Roman" w:hAnsi="Times New Roman" w:cs="Times New Roman"/>
          <w:smallCaps/>
          <w:sz w:val="24"/>
          <w:szCs w:val="24"/>
        </w:rPr>
      </w:pPr>
      <w:r w:rsidRPr="00976F50">
        <w:rPr>
          <w:rFonts w:ascii="Times New Roman" w:hAnsi="Times New Roman" w:cs="Times New Roman"/>
          <w:b/>
          <w:smallCaps/>
          <w:sz w:val="24"/>
          <w:szCs w:val="24"/>
        </w:rPr>
        <w:t>G</w:t>
      </w:r>
      <w:r w:rsidR="001D1ED6" w:rsidRPr="00976F50">
        <w:rPr>
          <w:rFonts w:ascii="Times New Roman" w:hAnsi="Times New Roman" w:cs="Times New Roman"/>
          <w:b/>
          <w:smallCaps/>
          <w:sz w:val="24"/>
          <w:szCs w:val="24"/>
        </w:rPr>
        <w:t>ráfico 1</w:t>
      </w:r>
      <w:r w:rsidR="00C840D1" w:rsidRPr="001D1ED6">
        <w:rPr>
          <w:rFonts w:ascii="Times New Roman" w:hAnsi="Times New Roman" w:cs="Times New Roman"/>
          <w:smallCaps/>
          <w:sz w:val="24"/>
          <w:szCs w:val="24"/>
        </w:rPr>
        <w:t xml:space="preserve"> – Pontuação por Faixa de Renda</w:t>
      </w:r>
      <w:r w:rsidR="008C2CAA" w:rsidRPr="001D1ED6">
        <w:rPr>
          <w:rFonts w:ascii="Times New Roman" w:hAnsi="Times New Roman" w:cs="Times New Roman"/>
          <w:smallCaps/>
          <w:sz w:val="24"/>
          <w:szCs w:val="24"/>
        </w:rPr>
        <w:t xml:space="preserve"> – 2019</w:t>
      </w:r>
    </w:p>
    <w:p w14:paraId="41CF2056" w14:textId="77777777" w:rsidR="008C2CAA" w:rsidRDefault="001D1ED6" w:rsidP="00202F3F">
      <w:pPr>
        <w:jc w:val="both"/>
        <w:rPr>
          <w:rFonts w:ascii="Times New Roman" w:hAnsi="Times New Roman" w:cs="Times New Roman"/>
          <w:sz w:val="24"/>
          <w:szCs w:val="24"/>
        </w:rPr>
      </w:pPr>
      <w:r w:rsidRPr="001D1ED6">
        <w:rPr>
          <w:rFonts w:ascii="Times New Roman" w:hAnsi="Times New Roman" w:cs="Times New Roman"/>
          <w:noProof/>
          <w:sz w:val="24"/>
          <w:szCs w:val="24"/>
          <w:lang w:eastAsia="pt-BR"/>
        </w:rPr>
        <w:drawing>
          <wp:inline distT="0" distB="0" distL="0" distR="0" wp14:anchorId="5A71F5C3" wp14:editId="60EE1554">
            <wp:extent cx="5149850" cy="2728436"/>
            <wp:effectExtent l="0" t="0" r="0" b="0"/>
            <wp:docPr id="33" name="Imagem 33" descr="C:\Users\diego.fernandes\Documents\novo - pontuação por faixa de r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fernandes\Documents\novo - pontuação por faixa de ren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972" cy="2730090"/>
                    </a:xfrm>
                    <a:prstGeom prst="rect">
                      <a:avLst/>
                    </a:prstGeom>
                    <a:noFill/>
                    <a:ln>
                      <a:noFill/>
                    </a:ln>
                  </pic:spPr>
                </pic:pic>
              </a:graphicData>
            </a:graphic>
          </wp:inline>
        </w:drawing>
      </w:r>
    </w:p>
    <w:p w14:paraId="421853A4" w14:textId="77777777" w:rsidR="007153B7" w:rsidRDefault="00001428" w:rsidP="001512EE">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Em relação à américa Latina, o Gráfico 2 evidencia que </w:t>
      </w:r>
      <w:r w:rsidR="00B21FBF">
        <w:rPr>
          <w:rFonts w:ascii="Times New Roman" w:hAnsi="Times New Roman" w:cs="Times New Roman"/>
          <w:sz w:val="24"/>
          <w:szCs w:val="24"/>
        </w:rPr>
        <w:t>as maiores pontuações são do México e do Chile</w:t>
      </w:r>
      <w:r>
        <w:rPr>
          <w:rFonts w:ascii="Times New Roman" w:hAnsi="Times New Roman" w:cs="Times New Roman"/>
          <w:sz w:val="24"/>
          <w:szCs w:val="24"/>
        </w:rPr>
        <w:t xml:space="preserve"> </w:t>
      </w:r>
      <w:r w:rsidR="00B21FBF">
        <w:rPr>
          <w:rFonts w:ascii="Times New Roman" w:hAnsi="Times New Roman" w:cs="Times New Roman"/>
          <w:sz w:val="24"/>
          <w:szCs w:val="24"/>
        </w:rPr>
        <w:t>e são inferiores a</w:t>
      </w:r>
      <w:r>
        <w:rPr>
          <w:rFonts w:ascii="Times New Roman" w:hAnsi="Times New Roman" w:cs="Times New Roman"/>
          <w:sz w:val="24"/>
          <w:szCs w:val="24"/>
        </w:rPr>
        <w:t xml:space="preserve"> inferior a 80 pontos de 100</w:t>
      </w:r>
      <w:r w:rsidR="008C7B2F">
        <w:rPr>
          <w:rFonts w:ascii="Times New Roman" w:hAnsi="Times New Roman" w:cs="Times New Roman"/>
          <w:sz w:val="24"/>
          <w:szCs w:val="24"/>
        </w:rPr>
        <w:t>. A linha trastejada em azul é a médias desta pontuação para os países da américa latina. Percebe-se que o Brasil está somente um pouco acima da média dos países da américa latina</w:t>
      </w:r>
      <w:r w:rsidR="001512EE">
        <w:rPr>
          <w:rFonts w:ascii="Times New Roman" w:hAnsi="Times New Roman" w:cs="Times New Roman"/>
          <w:sz w:val="24"/>
          <w:szCs w:val="24"/>
        </w:rPr>
        <w:t>.</w:t>
      </w:r>
      <w:r w:rsidR="00195015">
        <w:rPr>
          <w:rFonts w:ascii="Times New Roman" w:hAnsi="Times New Roman" w:cs="Times New Roman"/>
          <w:sz w:val="24"/>
          <w:szCs w:val="24"/>
        </w:rPr>
        <w:t xml:space="preserve"> </w:t>
      </w:r>
      <w:r w:rsidR="007153B7">
        <w:rPr>
          <w:rFonts w:ascii="Times New Roman" w:hAnsi="Times New Roman" w:cs="Times New Roman"/>
          <w:sz w:val="24"/>
          <w:szCs w:val="24"/>
        </w:rPr>
        <w:t xml:space="preserve">Já em comparação </w:t>
      </w:r>
      <w:r w:rsidR="00195015">
        <w:rPr>
          <w:rFonts w:ascii="Times New Roman" w:hAnsi="Times New Roman" w:cs="Times New Roman"/>
          <w:sz w:val="24"/>
          <w:szCs w:val="24"/>
        </w:rPr>
        <w:t>aos países</w:t>
      </w:r>
      <w:r w:rsidR="007153B7">
        <w:rPr>
          <w:rFonts w:ascii="Times New Roman" w:hAnsi="Times New Roman" w:cs="Times New Roman"/>
          <w:sz w:val="24"/>
          <w:szCs w:val="24"/>
        </w:rPr>
        <w:t xml:space="preserve"> da OCDE, </w:t>
      </w:r>
      <w:r w:rsidR="00195015">
        <w:rPr>
          <w:rFonts w:ascii="Times New Roman" w:hAnsi="Times New Roman" w:cs="Times New Roman"/>
          <w:sz w:val="24"/>
          <w:szCs w:val="24"/>
        </w:rPr>
        <w:t xml:space="preserve">o gráfico é similar. Caso </w:t>
      </w:r>
      <w:r w:rsidR="007153B7">
        <w:rPr>
          <w:rFonts w:ascii="Times New Roman" w:hAnsi="Times New Roman" w:cs="Times New Roman"/>
          <w:sz w:val="24"/>
          <w:szCs w:val="24"/>
        </w:rPr>
        <w:t>o Brasil</w:t>
      </w:r>
      <w:r w:rsidR="00195015">
        <w:rPr>
          <w:rFonts w:ascii="Times New Roman" w:hAnsi="Times New Roman" w:cs="Times New Roman"/>
          <w:sz w:val="24"/>
          <w:szCs w:val="24"/>
        </w:rPr>
        <w:t xml:space="preserve"> fosse um país da OCDE, ele teria </w:t>
      </w:r>
      <w:r w:rsidR="007153B7">
        <w:rPr>
          <w:rFonts w:ascii="Times New Roman" w:hAnsi="Times New Roman" w:cs="Times New Roman"/>
          <w:sz w:val="24"/>
          <w:szCs w:val="24"/>
        </w:rPr>
        <w:t>a menor pontuação no Ano de</w:t>
      </w:r>
      <w:r w:rsidR="00195015">
        <w:rPr>
          <w:rFonts w:ascii="Times New Roman" w:hAnsi="Times New Roman" w:cs="Times New Roman"/>
          <w:sz w:val="24"/>
          <w:szCs w:val="24"/>
        </w:rPr>
        <w:t xml:space="preserve"> 2019 como demonstra o Gráfico 3</w:t>
      </w:r>
      <w:r w:rsidR="00A5399B">
        <w:rPr>
          <w:rFonts w:ascii="Times New Roman" w:hAnsi="Times New Roman" w:cs="Times New Roman"/>
          <w:sz w:val="24"/>
          <w:szCs w:val="24"/>
        </w:rPr>
        <w:t>.</w:t>
      </w:r>
    </w:p>
    <w:p w14:paraId="3A4D9099" w14:textId="77777777" w:rsidR="00001428" w:rsidRPr="00976F50" w:rsidRDefault="00001428" w:rsidP="00976F50">
      <w:pPr>
        <w:jc w:val="both"/>
        <w:rPr>
          <w:rFonts w:ascii="Times New Roman" w:hAnsi="Times New Roman" w:cs="Times New Roman"/>
          <w:smallCaps/>
          <w:sz w:val="24"/>
          <w:szCs w:val="24"/>
        </w:rPr>
      </w:pPr>
      <w:r w:rsidRPr="00976F50">
        <w:rPr>
          <w:rFonts w:ascii="Times New Roman" w:hAnsi="Times New Roman" w:cs="Times New Roman"/>
          <w:b/>
          <w:smallCaps/>
          <w:sz w:val="24"/>
          <w:szCs w:val="24"/>
        </w:rPr>
        <w:t xml:space="preserve">Gráfico 2 – </w:t>
      </w:r>
      <w:r w:rsidRPr="00976F50">
        <w:rPr>
          <w:rFonts w:ascii="Times New Roman" w:hAnsi="Times New Roman" w:cs="Times New Roman"/>
          <w:smallCaps/>
          <w:sz w:val="24"/>
          <w:szCs w:val="24"/>
        </w:rPr>
        <w:t>Pontuação</w:t>
      </w:r>
      <w:r w:rsidR="00DC3854" w:rsidRPr="00976F50">
        <w:rPr>
          <w:rFonts w:ascii="Times New Roman" w:hAnsi="Times New Roman" w:cs="Times New Roman"/>
          <w:smallCaps/>
          <w:sz w:val="24"/>
          <w:szCs w:val="24"/>
        </w:rPr>
        <w:t xml:space="preserve"> Facilidade em se Fazer negócios</w:t>
      </w:r>
      <w:r w:rsidRPr="00976F50">
        <w:rPr>
          <w:rFonts w:ascii="Times New Roman" w:hAnsi="Times New Roman" w:cs="Times New Roman"/>
          <w:smallCaps/>
          <w:sz w:val="24"/>
          <w:szCs w:val="24"/>
        </w:rPr>
        <w:t xml:space="preserve"> América Latina - 2019</w:t>
      </w:r>
    </w:p>
    <w:p w14:paraId="4CB10523" w14:textId="77777777" w:rsidR="005640A4" w:rsidRDefault="00B21FBF" w:rsidP="00DC3854">
      <w:pPr>
        <w:ind w:left="-993"/>
        <w:jc w:val="center"/>
        <w:rPr>
          <w:rFonts w:ascii="Times New Roman" w:hAnsi="Times New Roman" w:cs="Times New Roman"/>
          <w:sz w:val="24"/>
          <w:szCs w:val="24"/>
        </w:rPr>
      </w:pPr>
      <w:r w:rsidRPr="00B21FBF">
        <w:rPr>
          <w:rFonts w:ascii="Times New Roman" w:hAnsi="Times New Roman" w:cs="Times New Roman"/>
          <w:noProof/>
          <w:sz w:val="24"/>
          <w:szCs w:val="24"/>
          <w:lang w:eastAsia="pt-BR"/>
        </w:rPr>
        <w:drawing>
          <wp:inline distT="0" distB="0" distL="0" distR="0" wp14:anchorId="28B5200B" wp14:editId="479B0862">
            <wp:extent cx="6044456" cy="3388291"/>
            <wp:effectExtent l="0" t="0" r="0" b="3175"/>
            <wp:docPr id="36" name="Imagem 36" descr="C:\Users\diego.fernandes\Documents\Rplo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ego.fernandes\Documents\Rplot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6613" cy="3389500"/>
                    </a:xfrm>
                    <a:prstGeom prst="rect">
                      <a:avLst/>
                    </a:prstGeom>
                    <a:noFill/>
                    <a:ln>
                      <a:noFill/>
                    </a:ln>
                  </pic:spPr>
                </pic:pic>
              </a:graphicData>
            </a:graphic>
          </wp:inline>
        </w:drawing>
      </w:r>
    </w:p>
    <w:p w14:paraId="3E1EFB76" w14:textId="77777777" w:rsidR="00E95BA3" w:rsidRDefault="00195015" w:rsidP="00195015">
      <w:pPr>
        <w:tabs>
          <w:tab w:val="left" w:pos="972"/>
        </w:tabs>
        <w:rPr>
          <w:rFonts w:ascii="Times New Roman" w:hAnsi="Times New Roman" w:cs="Times New Roman"/>
          <w:sz w:val="24"/>
          <w:szCs w:val="24"/>
        </w:rPr>
      </w:pPr>
      <w:r w:rsidRPr="00976F50">
        <w:rPr>
          <w:rFonts w:ascii="Times New Roman" w:hAnsi="Times New Roman" w:cs="Times New Roman"/>
          <w:b/>
          <w:smallCaps/>
          <w:sz w:val="24"/>
          <w:szCs w:val="24"/>
        </w:rPr>
        <w:t>Gráfico 3</w:t>
      </w:r>
      <w:r w:rsidR="007153B7" w:rsidRPr="00001428">
        <w:rPr>
          <w:rFonts w:ascii="Times New Roman" w:hAnsi="Times New Roman" w:cs="Times New Roman"/>
          <w:smallCaps/>
          <w:sz w:val="24"/>
          <w:szCs w:val="24"/>
        </w:rPr>
        <w:t xml:space="preserve"> – Pontuação</w:t>
      </w:r>
      <w:r w:rsidR="00DC3854">
        <w:rPr>
          <w:rFonts w:ascii="Times New Roman" w:hAnsi="Times New Roman" w:cs="Times New Roman"/>
          <w:smallCaps/>
          <w:sz w:val="24"/>
          <w:szCs w:val="24"/>
        </w:rPr>
        <w:t xml:space="preserve"> facilidade em se fazer negócios - </w:t>
      </w:r>
      <w:r w:rsidR="007153B7" w:rsidRPr="00001428">
        <w:rPr>
          <w:rFonts w:ascii="Times New Roman" w:hAnsi="Times New Roman" w:cs="Times New Roman"/>
          <w:smallCaps/>
          <w:sz w:val="24"/>
          <w:szCs w:val="24"/>
        </w:rPr>
        <w:t xml:space="preserve"> </w:t>
      </w:r>
      <w:r w:rsidR="007153B7">
        <w:rPr>
          <w:rFonts w:ascii="Times New Roman" w:hAnsi="Times New Roman" w:cs="Times New Roman"/>
          <w:smallCaps/>
          <w:sz w:val="24"/>
          <w:szCs w:val="24"/>
        </w:rPr>
        <w:t>Brasil/OCDE</w:t>
      </w:r>
      <w:r w:rsidR="007153B7" w:rsidRPr="00001428">
        <w:rPr>
          <w:rFonts w:ascii="Times New Roman" w:hAnsi="Times New Roman" w:cs="Times New Roman"/>
          <w:smallCaps/>
          <w:sz w:val="24"/>
          <w:szCs w:val="24"/>
        </w:rPr>
        <w:t xml:space="preserve"> - 2019</w:t>
      </w:r>
    </w:p>
    <w:p w14:paraId="45A1BF59" w14:textId="77777777" w:rsidR="00E95BA3" w:rsidRDefault="007153B7" w:rsidP="006A7C27">
      <w:pPr>
        <w:ind w:hanging="993"/>
        <w:jc w:val="center"/>
        <w:rPr>
          <w:rFonts w:ascii="Times New Roman" w:hAnsi="Times New Roman" w:cs="Times New Roman"/>
          <w:sz w:val="24"/>
          <w:szCs w:val="24"/>
        </w:rPr>
      </w:pPr>
      <w:r w:rsidRPr="007153B7">
        <w:rPr>
          <w:rFonts w:ascii="Times New Roman" w:hAnsi="Times New Roman" w:cs="Times New Roman"/>
          <w:noProof/>
          <w:sz w:val="24"/>
          <w:szCs w:val="24"/>
          <w:lang w:eastAsia="pt-BR"/>
        </w:rPr>
        <w:drawing>
          <wp:inline distT="0" distB="0" distL="0" distR="0" wp14:anchorId="219D6EE5" wp14:editId="2FB4121F">
            <wp:extent cx="6081386" cy="3500038"/>
            <wp:effectExtent l="0" t="0" r="0" b="5715"/>
            <wp:docPr id="38" name="Imagem 38" descr="C:\Users\diego.fernandes\Documents\Facilidade em se Fazer negócios OC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ego.fernandes\Documents\Facilidade em se Fazer negócios OC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045" cy="3540129"/>
                    </a:xfrm>
                    <a:prstGeom prst="rect">
                      <a:avLst/>
                    </a:prstGeom>
                    <a:noFill/>
                    <a:ln>
                      <a:noFill/>
                    </a:ln>
                  </pic:spPr>
                </pic:pic>
              </a:graphicData>
            </a:graphic>
          </wp:inline>
        </w:drawing>
      </w:r>
    </w:p>
    <w:p w14:paraId="69369F3B" w14:textId="77777777" w:rsidR="00195015" w:rsidRDefault="00195015" w:rsidP="00486E53">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A Análise comparativa com os países da OCDE se tona ainda mais relevante na medida em que o Brasil está se candidatando a uma permanente neste grupo</w:t>
      </w:r>
      <w:r w:rsidR="002470F9">
        <w:rPr>
          <w:rFonts w:ascii="Times New Roman" w:hAnsi="Times New Roman" w:cs="Times New Roman"/>
          <w:sz w:val="24"/>
          <w:szCs w:val="24"/>
        </w:rPr>
        <w:t>. Especificamente no âmbito da Defesa da concorrência, a</w:t>
      </w:r>
      <w:r w:rsidR="002470F9" w:rsidRPr="002470F9">
        <w:rPr>
          <w:rFonts w:ascii="Times New Roman" w:hAnsi="Times New Roman" w:cs="Times New Roman"/>
          <w:sz w:val="24"/>
          <w:szCs w:val="24"/>
        </w:rPr>
        <w:t xml:space="preserve"> Organização para Cooperação e Desenvolvimento Econômico (OCDE) aceitou o pedido de adesão do Brasil como membro permanente do Comitê de Concorrência da entidade.</w:t>
      </w:r>
    </w:p>
    <w:p w14:paraId="6F879BD5" w14:textId="77777777" w:rsidR="00215297" w:rsidRDefault="003661DB" w:rsidP="00486E53">
      <w:pPr>
        <w:ind w:firstLine="851"/>
        <w:jc w:val="both"/>
        <w:rPr>
          <w:rFonts w:ascii="Times New Roman" w:hAnsi="Times New Roman" w:cs="Times New Roman"/>
          <w:sz w:val="24"/>
          <w:szCs w:val="24"/>
        </w:rPr>
      </w:pPr>
      <w:r>
        <w:rPr>
          <w:rFonts w:ascii="Times New Roman" w:hAnsi="Times New Roman" w:cs="Times New Roman"/>
          <w:sz w:val="24"/>
          <w:szCs w:val="24"/>
        </w:rPr>
        <w:t>Com relação aos Ranking, o Brasil ainda apresenta distância em relação tanto ao Grupo BRICS quanto o grupo da OCDE. O Gráfico</w:t>
      </w:r>
      <w:r w:rsidR="002C0193">
        <w:rPr>
          <w:rFonts w:ascii="Times New Roman" w:hAnsi="Times New Roman" w:cs="Times New Roman"/>
          <w:sz w:val="24"/>
          <w:szCs w:val="24"/>
        </w:rPr>
        <w:t xml:space="preserve"> 4</w:t>
      </w:r>
      <w:r>
        <w:rPr>
          <w:rFonts w:ascii="Times New Roman" w:hAnsi="Times New Roman" w:cs="Times New Roman"/>
          <w:sz w:val="24"/>
          <w:szCs w:val="24"/>
        </w:rPr>
        <w:t xml:space="preserve"> aponta a posição do ranking da pontuação em facilidade em se fazer negócios. O Brasil é representado pela barra vermelha a apresenta a posição 109° em 2019, a China está na 46 °, a Rússia em 31°, Índia 77 em ° e a África do Sul em 82°</w:t>
      </w:r>
      <w:r w:rsidR="00215297">
        <w:rPr>
          <w:rFonts w:ascii="Times New Roman" w:hAnsi="Times New Roman" w:cs="Times New Roman"/>
          <w:sz w:val="24"/>
          <w:szCs w:val="24"/>
        </w:rPr>
        <w:t xml:space="preserve">. Este país vem ao longo dos anos melhorando o ambiente de negócios. </w:t>
      </w:r>
    </w:p>
    <w:p w14:paraId="40722ED1" w14:textId="77777777" w:rsidR="003661DB" w:rsidRDefault="00215297" w:rsidP="00486E53">
      <w:pPr>
        <w:ind w:firstLine="851"/>
        <w:jc w:val="both"/>
        <w:rPr>
          <w:rFonts w:ascii="Times New Roman" w:hAnsi="Times New Roman" w:cs="Times New Roman"/>
          <w:sz w:val="24"/>
          <w:szCs w:val="24"/>
        </w:rPr>
      </w:pPr>
      <w:r>
        <w:rPr>
          <w:rFonts w:ascii="Times New Roman" w:hAnsi="Times New Roman" w:cs="Times New Roman"/>
          <w:sz w:val="24"/>
          <w:szCs w:val="24"/>
        </w:rPr>
        <w:t>A mais bem colocada no ano de 2019 dos BRICS – a Rússia – vem implementando reforma na área de infraestrutura, afetando os indicadores Obtenção de Permissão de Alvarás de funcionamento e Obtenção de Eletricidade, além das reformas de no Comércio exterior e tributário, afetando positivamente os indicadores Comércio entre fronteiras e Pagamento de Impostos. O Brasil também implementou reformas que serão discutidas no último tópico deste texto, melhora essa que pode ter contribuído para melhora da posição de 125 para 109, mas, ainda assim, muito aquém da colocação dos países integrantes dos BRICS</w:t>
      </w:r>
      <w:r w:rsidR="002C0193">
        <w:rPr>
          <w:rFonts w:ascii="Times New Roman" w:hAnsi="Times New Roman" w:cs="Times New Roman"/>
          <w:sz w:val="24"/>
          <w:szCs w:val="24"/>
        </w:rPr>
        <w:t>.</w:t>
      </w:r>
    </w:p>
    <w:p w14:paraId="777AEC40" w14:textId="77777777" w:rsidR="002C0193" w:rsidRDefault="002C0193" w:rsidP="00486E53">
      <w:pPr>
        <w:ind w:firstLine="851"/>
        <w:jc w:val="both"/>
        <w:rPr>
          <w:rFonts w:ascii="Times New Roman" w:hAnsi="Times New Roman" w:cs="Times New Roman"/>
          <w:sz w:val="24"/>
          <w:szCs w:val="24"/>
        </w:rPr>
      </w:pPr>
      <w:r>
        <w:rPr>
          <w:rFonts w:ascii="Times New Roman" w:hAnsi="Times New Roman" w:cs="Times New Roman"/>
          <w:sz w:val="24"/>
          <w:szCs w:val="24"/>
        </w:rPr>
        <w:t>Ainda em numa análise comparativa entre países, O Brasil se mantém mais distante quando se comparado aos países da OCDE. O Gráfico 5 coloca em perspectiva os países da OCDE em relação ao Brasil. Supondo-se que o Brasil integrasse a OCDE, o país ocuparia o último lugar (109°) com a Grécia como penúltima colocada ocupando a posição 72° no ranking global.</w:t>
      </w:r>
    </w:p>
    <w:p w14:paraId="41C65BC5" w14:textId="77777777" w:rsidR="00195015" w:rsidRDefault="00195015" w:rsidP="00EF669C">
      <w:pPr>
        <w:jc w:val="both"/>
        <w:rPr>
          <w:rFonts w:ascii="Times New Roman" w:hAnsi="Times New Roman" w:cs="Times New Roman"/>
          <w:b/>
          <w:smallCaps/>
          <w:sz w:val="24"/>
          <w:szCs w:val="24"/>
        </w:rPr>
      </w:pPr>
    </w:p>
    <w:p w14:paraId="71BB6C9B" w14:textId="77777777" w:rsidR="00EF669C" w:rsidRDefault="003661DB" w:rsidP="00EF669C">
      <w:pPr>
        <w:jc w:val="both"/>
        <w:rPr>
          <w:rFonts w:ascii="Times New Roman" w:hAnsi="Times New Roman" w:cs="Times New Roman"/>
          <w:smallCaps/>
          <w:sz w:val="24"/>
          <w:szCs w:val="24"/>
        </w:rPr>
      </w:pPr>
      <w:r>
        <w:rPr>
          <w:rFonts w:ascii="Times New Roman" w:hAnsi="Times New Roman" w:cs="Times New Roman"/>
          <w:b/>
          <w:smallCaps/>
          <w:sz w:val="24"/>
          <w:szCs w:val="24"/>
        </w:rPr>
        <w:t>Gráfico 4</w:t>
      </w:r>
      <w:r w:rsidR="00EF669C" w:rsidRPr="00486E53">
        <w:rPr>
          <w:rFonts w:ascii="Times New Roman" w:hAnsi="Times New Roman" w:cs="Times New Roman"/>
          <w:smallCaps/>
          <w:sz w:val="24"/>
          <w:szCs w:val="24"/>
        </w:rPr>
        <w:t xml:space="preserve"> –ranking do Brasil</w:t>
      </w:r>
      <w:r w:rsidR="00EF669C">
        <w:rPr>
          <w:rFonts w:ascii="Times New Roman" w:hAnsi="Times New Roman" w:cs="Times New Roman"/>
          <w:smallCaps/>
          <w:sz w:val="24"/>
          <w:szCs w:val="24"/>
        </w:rPr>
        <w:t xml:space="preserve"> em </w:t>
      </w:r>
      <w:r w:rsidR="00EF669C" w:rsidRPr="00885855">
        <w:rPr>
          <w:rFonts w:ascii="Times New Roman" w:hAnsi="Times New Roman" w:cs="Times New Roman"/>
          <w:smallCaps/>
          <w:sz w:val="24"/>
          <w:szCs w:val="24"/>
        </w:rPr>
        <w:t>Facilidade de se fazer negócios</w:t>
      </w:r>
      <w:r w:rsidR="00EF669C">
        <w:rPr>
          <w:rFonts w:ascii="Times New Roman" w:hAnsi="Times New Roman" w:cs="Times New Roman"/>
          <w:smallCaps/>
          <w:sz w:val="24"/>
          <w:szCs w:val="24"/>
        </w:rPr>
        <w:t xml:space="preserve"> </w:t>
      </w:r>
      <w:r w:rsidR="00097BAF">
        <w:rPr>
          <w:rFonts w:ascii="Times New Roman" w:hAnsi="Times New Roman" w:cs="Times New Roman"/>
          <w:smallCaps/>
          <w:sz w:val="24"/>
          <w:szCs w:val="24"/>
        </w:rPr>
        <w:t>BRICS</w:t>
      </w:r>
      <w:r w:rsidR="00EF669C">
        <w:rPr>
          <w:rFonts w:ascii="Times New Roman" w:hAnsi="Times New Roman" w:cs="Times New Roman"/>
          <w:smallCaps/>
          <w:sz w:val="24"/>
          <w:szCs w:val="24"/>
        </w:rPr>
        <w:t xml:space="preserve"> </w:t>
      </w:r>
      <w:r w:rsidR="00AA4149">
        <w:rPr>
          <w:rFonts w:ascii="Times New Roman" w:hAnsi="Times New Roman" w:cs="Times New Roman"/>
          <w:smallCaps/>
          <w:sz w:val="24"/>
          <w:szCs w:val="24"/>
        </w:rPr>
        <w:t>–</w:t>
      </w:r>
      <w:r w:rsidR="00EF669C">
        <w:rPr>
          <w:rFonts w:ascii="Times New Roman" w:hAnsi="Times New Roman" w:cs="Times New Roman"/>
          <w:smallCaps/>
          <w:sz w:val="24"/>
          <w:szCs w:val="24"/>
        </w:rPr>
        <w:t xml:space="preserve"> </w:t>
      </w:r>
      <w:r w:rsidR="00EF669C" w:rsidRPr="00486E53">
        <w:rPr>
          <w:rFonts w:ascii="Times New Roman" w:hAnsi="Times New Roman" w:cs="Times New Roman"/>
          <w:smallCaps/>
          <w:sz w:val="24"/>
          <w:szCs w:val="24"/>
        </w:rPr>
        <w:t>2019</w:t>
      </w:r>
    </w:p>
    <w:p w14:paraId="3E42608F" w14:textId="77777777" w:rsidR="00AA4149" w:rsidRDefault="00DC3854" w:rsidP="00DC3854">
      <w:pPr>
        <w:jc w:val="center"/>
        <w:rPr>
          <w:rFonts w:ascii="Times New Roman" w:hAnsi="Times New Roman" w:cs="Times New Roman"/>
          <w:sz w:val="24"/>
          <w:szCs w:val="24"/>
        </w:rPr>
      </w:pPr>
      <w:r w:rsidRPr="00DC3854">
        <w:rPr>
          <w:rFonts w:ascii="Times New Roman" w:hAnsi="Times New Roman" w:cs="Times New Roman"/>
          <w:noProof/>
          <w:sz w:val="24"/>
          <w:szCs w:val="24"/>
          <w:lang w:eastAsia="pt-BR"/>
        </w:rPr>
        <w:drawing>
          <wp:inline distT="0" distB="0" distL="0" distR="0" wp14:anchorId="2A27FB51" wp14:editId="5AE113E9">
            <wp:extent cx="3625850" cy="3031648"/>
            <wp:effectExtent l="0" t="0" r="0" b="0"/>
            <wp:docPr id="41" name="Imagem 41" descr="C:\Users\diego.fernandes\Documents\Rplo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ego.fernandes\Documents\Rplot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0" cy="3031648"/>
                    </a:xfrm>
                    <a:prstGeom prst="rect">
                      <a:avLst/>
                    </a:prstGeom>
                    <a:noFill/>
                    <a:ln>
                      <a:noFill/>
                    </a:ln>
                  </pic:spPr>
                </pic:pic>
              </a:graphicData>
            </a:graphic>
          </wp:inline>
        </w:drawing>
      </w:r>
    </w:p>
    <w:p w14:paraId="137F174F" w14:textId="77777777" w:rsidR="009B021D" w:rsidRDefault="009B021D" w:rsidP="00DC3854">
      <w:pPr>
        <w:jc w:val="both"/>
        <w:rPr>
          <w:rFonts w:ascii="Times New Roman" w:hAnsi="Times New Roman" w:cs="Times New Roman"/>
          <w:b/>
          <w:smallCaps/>
          <w:sz w:val="24"/>
          <w:szCs w:val="24"/>
        </w:rPr>
      </w:pPr>
    </w:p>
    <w:p w14:paraId="0DADDE82" w14:textId="77777777" w:rsidR="009B021D" w:rsidRDefault="009B021D" w:rsidP="00DC3854">
      <w:pPr>
        <w:jc w:val="both"/>
        <w:rPr>
          <w:rFonts w:ascii="Times New Roman" w:hAnsi="Times New Roman" w:cs="Times New Roman"/>
          <w:b/>
          <w:smallCaps/>
          <w:sz w:val="24"/>
          <w:szCs w:val="24"/>
        </w:rPr>
      </w:pPr>
    </w:p>
    <w:p w14:paraId="623DEC87" w14:textId="77777777" w:rsidR="00DC3854" w:rsidRPr="00976F50" w:rsidRDefault="002C0193" w:rsidP="00DC3854">
      <w:pPr>
        <w:jc w:val="both"/>
        <w:rPr>
          <w:rFonts w:ascii="Times New Roman" w:hAnsi="Times New Roman" w:cs="Times New Roman"/>
          <w:smallCaps/>
          <w:sz w:val="24"/>
          <w:szCs w:val="24"/>
        </w:rPr>
      </w:pPr>
      <w:r>
        <w:rPr>
          <w:rFonts w:ascii="Times New Roman" w:hAnsi="Times New Roman" w:cs="Times New Roman"/>
          <w:b/>
          <w:smallCaps/>
          <w:sz w:val="24"/>
          <w:szCs w:val="24"/>
        </w:rPr>
        <w:t>Gráfico 5</w:t>
      </w:r>
      <w:r w:rsidR="00DC3854" w:rsidRPr="00976F50">
        <w:rPr>
          <w:rFonts w:ascii="Times New Roman" w:hAnsi="Times New Roman" w:cs="Times New Roman"/>
          <w:b/>
          <w:smallCaps/>
          <w:sz w:val="24"/>
          <w:szCs w:val="24"/>
        </w:rPr>
        <w:t xml:space="preserve"> –</w:t>
      </w:r>
      <w:r w:rsidR="00DC3854" w:rsidRPr="00976F50">
        <w:rPr>
          <w:rFonts w:ascii="Times New Roman" w:hAnsi="Times New Roman" w:cs="Times New Roman"/>
          <w:smallCaps/>
          <w:sz w:val="24"/>
          <w:szCs w:val="24"/>
        </w:rPr>
        <w:t>ranking do Brasil em Facilidade de se fazer negócios nos países da OCDE – 2019</w:t>
      </w:r>
    </w:p>
    <w:p w14:paraId="7CA7E5EF" w14:textId="77777777" w:rsidR="00DC3854" w:rsidRDefault="006947CD" w:rsidP="005D17C8">
      <w:pPr>
        <w:ind w:hanging="1418"/>
        <w:jc w:val="center"/>
        <w:rPr>
          <w:rFonts w:ascii="Times New Roman" w:hAnsi="Times New Roman" w:cs="Times New Roman"/>
          <w:b/>
          <w:smallCaps/>
          <w:sz w:val="24"/>
          <w:szCs w:val="24"/>
        </w:rPr>
      </w:pPr>
      <w:r>
        <w:rPr>
          <w:rFonts w:ascii="Times New Roman" w:hAnsi="Times New Roman" w:cs="Times New Roman"/>
          <w:b/>
          <w:smallCaps/>
          <w:noProof/>
          <w:sz w:val="24"/>
          <w:szCs w:val="24"/>
          <w:lang w:eastAsia="pt-BR"/>
        </w:rPr>
        <w:drawing>
          <wp:inline distT="0" distB="0" distL="0" distR="0" wp14:anchorId="07C5C869" wp14:editId="49A613CC">
            <wp:extent cx="7212349" cy="3633703"/>
            <wp:effectExtent l="0" t="0" r="7620" b="5080"/>
            <wp:docPr id="4" name="Imagem 4" descr="C:\Users\Samsung\Desktop\Trabalho\diretorio\Diretório_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Trabalho\diretorio\Diretório_R\Rplot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3670" cy="3639407"/>
                    </a:xfrm>
                    <a:prstGeom prst="rect">
                      <a:avLst/>
                    </a:prstGeom>
                    <a:noFill/>
                    <a:ln>
                      <a:noFill/>
                    </a:ln>
                  </pic:spPr>
                </pic:pic>
              </a:graphicData>
            </a:graphic>
          </wp:inline>
        </w:drawing>
      </w:r>
    </w:p>
    <w:p w14:paraId="502CFB6F" w14:textId="77777777" w:rsidR="003076EB" w:rsidRDefault="00DB072E" w:rsidP="009B021D">
      <w:pPr>
        <w:jc w:val="both"/>
        <w:rPr>
          <w:rFonts w:ascii="Times New Roman" w:hAnsi="Times New Roman" w:cs="Times New Roman"/>
          <w:sz w:val="24"/>
          <w:szCs w:val="24"/>
        </w:rPr>
      </w:pPr>
      <w:r>
        <w:rPr>
          <w:rFonts w:ascii="Times New Roman" w:hAnsi="Times New Roman" w:cs="Times New Roman"/>
          <w:b/>
          <w:smallCaps/>
          <w:sz w:val="24"/>
          <w:szCs w:val="24"/>
        </w:rPr>
        <w:tab/>
      </w:r>
      <w:r w:rsidR="002C0193">
        <w:rPr>
          <w:rFonts w:ascii="Times New Roman" w:hAnsi="Times New Roman" w:cs="Times New Roman"/>
          <w:sz w:val="24"/>
          <w:szCs w:val="24"/>
        </w:rPr>
        <w:t>É</w:t>
      </w:r>
      <w:r w:rsidR="002C0193" w:rsidRPr="002C0193">
        <w:rPr>
          <w:rFonts w:ascii="Times New Roman" w:hAnsi="Times New Roman" w:cs="Times New Roman"/>
          <w:sz w:val="24"/>
          <w:szCs w:val="24"/>
        </w:rPr>
        <w:t xml:space="preserve"> possível perceber também a evolução do </w:t>
      </w:r>
      <w:r w:rsidR="002C0193">
        <w:rPr>
          <w:rFonts w:ascii="Times New Roman" w:hAnsi="Times New Roman" w:cs="Times New Roman"/>
          <w:sz w:val="24"/>
          <w:szCs w:val="24"/>
        </w:rPr>
        <w:t>B</w:t>
      </w:r>
      <w:r w:rsidR="002C0193" w:rsidRPr="002C0193">
        <w:rPr>
          <w:rFonts w:ascii="Times New Roman" w:hAnsi="Times New Roman" w:cs="Times New Roman"/>
          <w:sz w:val="24"/>
          <w:szCs w:val="24"/>
        </w:rPr>
        <w:t>rasil em relação sua posição no ranking</w:t>
      </w:r>
      <w:r w:rsidR="002C0A87">
        <w:rPr>
          <w:rFonts w:ascii="Times New Roman" w:hAnsi="Times New Roman" w:cs="Times New Roman"/>
          <w:sz w:val="24"/>
          <w:szCs w:val="24"/>
        </w:rPr>
        <w:t>. O Gráfico 6 mostras aposição do ranking no Brasil na facilidade em se fazer negócios. No eixo Y apresentam-se os anos de forma decrescente e no eixo x, a posição do Brasil no ranking no respectivo ano. Nesse intervalo de 2010 a 2019 da publicação do documento a pior posição do Brasil foi em 2010 e a melhor em 2019. No triênio 2016, 2017, 2018 o Brasil piorou no ranking.</w:t>
      </w:r>
    </w:p>
    <w:p w14:paraId="68B6A3AB" w14:textId="77777777" w:rsidR="009B021D" w:rsidRDefault="002C0A87" w:rsidP="009B021D">
      <w:pPr>
        <w:ind w:firstLine="851"/>
        <w:jc w:val="both"/>
        <w:rPr>
          <w:rFonts w:ascii="Times New Roman" w:hAnsi="Times New Roman" w:cs="Times New Roman"/>
          <w:sz w:val="24"/>
          <w:szCs w:val="24"/>
        </w:rPr>
      </w:pPr>
      <w:r>
        <w:rPr>
          <w:rFonts w:ascii="Times New Roman" w:hAnsi="Times New Roman" w:cs="Times New Roman"/>
          <w:sz w:val="24"/>
          <w:szCs w:val="24"/>
        </w:rPr>
        <w:t xml:space="preserve"> Contudo, há   que se analisar </w:t>
      </w:r>
      <w:r w:rsidR="007804C1">
        <w:rPr>
          <w:rFonts w:ascii="Times New Roman" w:hAnsi="Times New Roman" w:cs="Times New Roman"/>
          <w:sz w:val="24"/>
          <w:szCs w:val="24"/>
        </w:rPr>
        <w:t>o histórico desses rankings</w:t>
      </w:r>
      <w:r>
        <w:rPr>
          <w:rFonts w:ascii="Times New Roman" w:hAnsi="Times New Roman" w:cs="Times New Roman"/>
          <w:sz w:val="24"/>
          <w:szCs w:val="24"/>
        </w:rPr>
        <w:t xml:space="preserve"> com certa prudência uma vez que variações no ranking podem advir de outras fontes tais como mudanças metodológicas e inclusão de países no relatório</w:t>
      </w:r>
      <w:r w:rsidR="007804C1">
        <w:rPr>
          <w:rFonts w:ascii="Times New Roman" w:hAnsi="Times New Roman" w:cs="Times New Roman"/>
          <w:sz w:val="24"/>
          <w:szCs w:val="24"/>
        </w:rPr>
        <w:t>. Em vista disso, será tratado posteriormente da pontuação de cada indicador em particular e a comparação dos BRICS, OCDE e Brasil.</w:t>
      </w:r>
    </w:p>
    <w:p w14:paraId="41B1C8DD" w14:textId="77777777" w:rsidR="009B021D" w:rsidRDefault="009B021D" w:rsidP="009B021D">
      <w:pPr>
        <w:ind w:firstLine="851"/>
        <w:jc w:val="both"/>
        <w:rPr>
          <w:rFonts w:ascii="Times New Roman" w:hAnsi="Times New Roman" w:cs="Times New Roman"/>
          <w:sz w:val="24"/>
          <w:szCs w:val="24"/>
        </w:rPr>
      </w:pPr>
    </w:p>
    <w:p w14:paraId="5C7395C8" w14:textId="77777777" w:rsidR="009B021D" w:rsidRDefault="009B021D" w:rsidP="009B021D">
      <w:pPr>
        <w:ind w:firstLine="851"/>
        <w:jc w:val="both"/>
        <w:rPr>
          <w:rFonts w:ascii="Times New Roman" w:hAnsi="Times New Roman" w:cs="Times New Roman"/>
          <w:sz w:val="24"/>
          <w:szCs w:val="24"/>
        </w:rPr>
      </w:pPr>
    </w:p>
    <w:p w14:paraId="59460F25" w14:textId="77777777" w:rsidR="009B021D" w:rsidRDefault="009B021D" w:rsidP="009B021D">
      <w:pPr>
        <w:ind w:firstLine="851"/>
        <w:jc w:val="both"/>
        <w:rPr>
          <w:rFonts w:ascii="Times New Roman" w:hAnsi="Times New Roman" w:cs="Times New Roman"/>
          <w:sz w:val="24"/>
          <w:szCs w:val="24"/>
        </w:rPr>
      </w:pPr>
    </w:p>
    <w:p w14:paraId="6FBFD116" w14:textId="77777777" w:rsidR="009B021D" w:rsidRDefault="009B021D" w:rsidP="009B021D">
      <w:pPr>
        <w:ind w:firstLine="851"/>
        <w:jc w:val="both"/>
        <w:rPr>
          <w:rFonts w:ascii="Times New Roman" w:hAnsi="Times New Roman" w:cs="Times New Roman"/>
          <w:sz w:val="24"/>
          <w:szCs w:val="24"/>
        </w:rPr>
      </w:pPr>
    </w:p>
    <w:p w14:paraId="2CC5203F" w14:textId="77777777" w:rsidR="009B021D" w:rsidRDefault="009B021D" w:rsidP="009B021D">
      <w:pPr>
        <w:ind w:firstLine="851"/>
        <w:jc w:val="both"/>
        <w:rPr>
          <w:rFonts w:ascii="Times New Roman" w:hAnsi="Times New Roman" w:cs="Times New Roman"/>
          <w:b/>
          <w:smallCaps/>
          <w:sz w:val="24"/>
          <w:szCs w:val="24"/>
        </w:rPr>
      </w:pPr>
    </w:p>
    <w:p w14:paraId="2172D00E" w14:textId="77777777" w:rsidR="00082BE1" w:rsidRDefault="00082BE1" w:rsidP="00DB072E">
      <w:pPr>
        <w:jc w:val="both"/>
        <w:rPr>
          <w:rFonts w:ascii="Times New Roman" w:hAnsi="Times New Roman" w:cs="Times New Roman"/>
          <w:b/>
          <w:smallCaps/>
          <w:sz w:val="24"/>
          <w:szCs w:val="24"/>
        </w:rPr>
      </w:pPr>
    </w:p>
    <w:p w14:paraId="4CA46148" w14:textId="77777777" w:rsidR="00DC3854" w:rsidRDefault="00D757AA" w:rsidP="00082BE1">
      <w:pPr>
        <w:jc w:val="both"/>
        <w:rPr>
          <w:rFonts w:ascii="Times New Roman" w:hAnsi="Times New Roman" w:cs="Times New Roman"/>
          <w:b/>
          <w:smallCaps/>
          <w:sz w:val="24"/>
          <w:szCs w:val="24"/>
        </w:rPr>
      </w:pPr>
      <w:r>
        <w:rPr>
          <w:rFonts w:ascii="Times New Roman" w:hAnsi="Times New Roman" w:cs="Times New Roman"/>
          <w:b/>
          <w:smallCaps/>
          <w:sz w:val="24"/>
          <w:szCs w:val="24"/>
        </w:rPr>
        <w:lastRenderedPageBreak/>
        <w:t>Gráfico 6</w:t>
      </w:r>
      <w:r w:rsidR="00DB072E" w:rsidRPr="00486E53">
        <w:rPr>
          <w:rFonts w:ascii="Times New Roman" w:hAnsi="Times New Roman" w:cs="Times New Roman"/>
          <w:smallCaps/>
          <w:sz w:val="24"/>
          <w:szCs w:val="24"/>
        </w:rPr>
        <w:t xml:space="preserve"> –</w:t>
      </w:r>
      <w:r w:rsidR="00DB072E">
        <w:rPr>
          <w:rFonts w:ascii="Times New Roman" w:hAnsi="Times New Roman" w:cs="Times New Roman"/>
          <w:smallCaps/>
          <w:sz w:val="24"/>
          <w:szCs w:val="24"/>
        </w:rPr>
        <w:t xml:space="preserve"> Posição no Ranking do Brasil ao longo dos anos</w:t>
      </w:r>
      <w:r w:rsidR="00DB072E" w:rsidRPr="00486E53">
        <w:rPr>
          <w:rFonts w:ascii="Times New Roman" w:hAnsi="Times New Roman" w:cs="Times New Roman"/>
          <w:smallCaps/>
          <w:sz w:val="24"/>
          <w:szCs w:val="24"/>
        </w:rPr>
        <w:t xml:space="preserve">o </w:t>
      </w:r>
      <w:r w:rsidR="002C0A87">
        <w:rPr>
          <w:rFonts w:ascii="Times New Roman" w:hAnsi="Times New Roman" w:cs="Times New Roman"/>
          <w:smallCaps/>
          <w:sz w:val="24"/>
          <w:szCs w:val="24"/>
        </w:rPr>
        <w:t>Brasil em</w:t>
      </w:r>
      <w:r w:rsidR="00DB072E">
        <w:rPr>
          <w:rFonts w:ascii="Times New Roman" w:hAnsi="Times New Roman" w:cs="Times New Roman"/>
          <w:smallCaps/>
          <w:sz w:val="24"/>
          <w:szCs w:val="24"/>
        </w:rPr>
        <w:t xml:space="preserve"> facilidade em se fazer negócios</w:t>
      </w:r>
    </w:p>
    <w:p w14:paraId="5934E9D6" w14:textId="77777777" w:rsidR="00DC3854" w:rsidRDefault="00AF0468" w:rsidP="003E745A">
      <w:pPr>
        <w:ind w:hanging="1134"/>
        <w:jc w:val="center"/>
        <w:rPr>
          <w:rFonts w:ascii="Times New Roman" w:hAnsi="Times New Roman" w:cs="Times New Roman"/>
          <w:b/>
          <w:smallCaps/>
          <w:sz w:val="24"/>
          <w:szCs w:val="24"/>
        </w:rPr>
      </w:pPr>
      <w:r w:rsidRPr="00AF0468">
        <w:rPr>
          <w:rFonts w:ascii="Times New Roman" w:hAnsi="Times New Roman" w:cs="Times New Roman"/>
          <w:b/>
          <w:smallCaps/>
          <w:noProof/>
          <w:sz w:val="24"/>
          <w:szCs w:val="24"/>
          <w:lang w:eastAsia="pt-BR"/>
        </w:rPr>
        <w:drawing>
          <wp:inline distT="0" distB="0" distL="0" distR="0" wp14:anchorId="03526709" wp14:editId="0B47634B">
            <wp:extent cx="6678930" cy="3434007"/>
            <wp:effectExtent l="0" t="0" r="7620" b="0"/>
            <wp:docPr id="3" name="Imagem 3" descr="C:\Users\diego.fernandes\Documents\Rplot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fernandes\Documents\Rplot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3698" cy="3436458"/>
                    </a:xfrm>
                    <a:prstGeom prst="rect">
                      <a:avLst/>
                    </a:prstGeom>
                    <a:noFill/>
                    <a:ln>
                      <a:noFill/>
                    </a:ln>
                  </pic:spPr>
                </pic:pic>
              </a:graphicData>
            </a:graphic>
          </wp:inline>
        </w:drawing>
      </w:r>
    </w:p>
    <w:p w14:paraId="5DFB990C" w14:textId="77777777" w:rsidR="003076EB" w:rsidRDefault="003661DB" w:rsidP="003661DB">
      <w:pPr>
        <w:ind w:firstLine="851"/>
        <w:jc w:val="both"/>
        <w:rPr>
          <w:rFonts w:ascii="Times New Roman" w:hAnsi="Times New Roman" w:cs="Times New Roman"/>
          <w:sz w:val="24"/>
          <w:szCs w:val="24"/>
        </w:rPr>
      </w:pPr>
      <w:r>
        <w:rPr>
          <w:rFonts w:ascii="Times New Roman" w:hAnsi="Times New Roman" w:cs="Times New Roman"/>
          <w:sz w:val="24"/>
          <w:szCs w:val="24"/>
        </w:rPr>
        <w:t>Além da pontuação e do Ranking da pontuação final da facilidade em se fazer negócios, há também a pontuação e ordenação em relação aos 10 indicadores que compõe o resultado final, conforme registra o gráfico a seguir. Assim, tal como na pontuação geral, os indicadores intermediários também são tomados de zero a cem.</w:t>
      </w:r>
    </w:p>
    <w:p w14:paraId="182B4731" w14:textId="77777777" w:rsidR="003661DB" w:rsidRDefault="003661DB" w:rsidP="003661DB">
      <w:pPr>
        <w:ind w:firstLine="851"/>
        <w:jc w:val="both"/>
        <w:rPr>
          <w:rFonts w:ascii="Times New Roman" w:hAnsi="Times New Roman" w:cs="Times New Roman"/>
          <w:b/>
          <w:smallCaps/>
          <w:sz w:val="24"/>
          <w:szCs w:val="24"/>
        </w:rPr>
      </w:pPr>
      <w:r>
        <w:rPr>
          <w:rFonts w:ascii="Times New Roman" w:hAnsi="Times New Roman" w:cs="Times New Roman"/>
          <w:sz w:val="24"/>
          <w:szCs w:val="24"/>
        </w:rPr>
        <w:t xml:space="preserve">No relatório de 2019, apesar de na pontuação geral o Brasil aparecer na posição 109, nos indicadores intermediários é possível ver o que mais pesa nessas classificações. Em 5 indicadores intermediários o </w:t>
      </w:r>
      <w:r w:rsidR="00097BAF">
        <w:rPr>
          <w:rFonts w:ascii="Times New Roman" w:hAnsi="Times New Roman" w:cs="Times New Roman"/>
          <w:sz w:val="24"/>
          <w:szCs w:val="24"/>
        </w:rPr>
        <w:t>Brasil</w:t>
      </w:r>
      <w:r>
        <w:rPr>
          <w:rFonts w:ascii="Times New Roman" w:hAnsi="Times New Roman" w:cs="Times New Roman"/>
          <w:sz w:val="24"/>
          <w:szCs w:val="24"/>
        </w:rPr>
        <w:t xml:space="preserve"> apresenta posição acima de cem: </w:t>
      </w:r>
      <w:r w:rsidRPr="00486E53">
        <w:rPr>
          <w:rFonts w:ascii="Times New Roman" w:hAnsi="Times New Roman" w:cs="Times New Roman"/>
          <w:sz w:val="24"/>
          <w:szCs w:val="24"/>
        </w:rPr>
        <w:t>Abertura de empresa (140); Registro de propriedades (137); Obtenção de alvarás de construção (175); Pagamento de impostos (184) e Comércio entre fronteiras (106).</w:t>
      </w:r>
    </w:p>
    <w:p w14:paraId="4F56D082" w14:textId="77777777" w:rsidR="003661DB" w:rsidRDefault="00D757AA" w:rsidP="003661DB">
      <w:pPr>
        <w:jc w:val="both"/>
        <w:rPr>
          <w:rFonts w:ascii="Times New Roman" w:hAnsi="Times New Roman" w:cs="Times New Roman"/>
          <w:sz w:val="24"/>
          <w:szCs w:val="24"/>
        </w:rPr>
      </w:pPr>
      <w:r>
        <w:rPr>
          <w:rFonts w:ascii="Times New Roman" w:hAnsi="Times New Roman" w:cs="Times New Roman"/>
          <w:b/>
          <w:smallCaps/>
          <w:sz w:val="24"/>
          <w:szCs w:val="24"/>
        </w:rPr>
        <w:t>Gráfico 7</w:t>
      </w:r>
      <w:r w:rsidR="003661DB" w:rsidRPr="00486E53">
        <w:rPr>
          <w:rFonts w:ascii="Times New Roman" w:hAnsi="Times New Roman" w:cs="Times New Roman"/>
          <w:smallCaps/>
          <w:sz w:val="24"/>
          <w:szCs w:val="24"/>
        </w:rPr>
        <w:t xml:space="preserve"> – Posição do ranking do Brasil em cada indicador – 2019</w:t>
      </w:r>
    </w:p>
    <w:p w14:paraId="5089DD6C" w14:textId="77777777" w:rsidR="003661DB" w:rsidRDefault="003661DB" w:rsidP="003661DB">
      <w:pPr>
        <w:jc w:val="center"/>
        <w:rPr>
          <w:rFonts w:ascii="Times New Roman" w:hAnsi="Times New Roman" w:cs="Times New Roman"/>
          <w:b/>
          <w:smallCaps/>
          <w:sz w:val="24"/>
          <w:szCs w:val="24"/>
        </w:rPr>
      </w:pPr>
      <w:r w:rsidRPr="00EF669C">
        <w:rPr>
          <w:rFonts w:ascii="Times New Roman" w:hAnsi="Times New Roman" w:cs="Times New Roman"/>
          <w:b/>
          <w:smallCaps/>
          <w:noProof/>
          <w:sz w:val="24"/>
          <w:szCs w:val="24"/>
          <w:lang w:eastAsia="pt-BR"/>
        </w:rPr>
        <w:drawing>
          <wp:inline distT="0" distB="0" distL="0" distR="0" wp14:anchorId="4CB8EF5E" wp14:editId="6DC3BFAE">
            <wp:extent cx="4062213" cy="2423786"/>
            <wp:effectExtent l="0" t="0" r="0" b="0"/>
            <wp:docPr id="39" name="Imagem 39" descr="C:\Users\diego.fernandes\Documents\Rplot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ego.fernandes\Documents\Rplot47.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6622" cy="2438350"/>
                    </a:xfrm>
                    <a:prstGeom prst="rect">
                      <a:avLst/>
                    </a:prstGeom>
                    <a:noFill/>
                    <a:ln>
                      <a:noFill/>
                    </a:ln>
                  </pic:spPr>
                </pic:pic>
              </a:graphicData>
            </a:graphic>
          </wp:inline>
        </w:drawing>
      </w:r>
    </w:p>
    <w:p w14:paraId="54005C0A" w14:textId="77777777" w:rsidR="00195015" w:rsidRDefault="00195015" w:rsidP="00195015">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Para as análises ao longo do tempo dos indicadores é preciso ter algumas explicações metodológicas. Estes indicadores obtiveram ao longo do tempo grupos de modificações que explicação mais detalhada.</w:t>
      </w:r>
    </w:p>
    <w:p w14:paraId="2CD7C360" w14:textId="77777777" w:rsidR="00195015" w:rsidRDefault="00195015" w:rsidP="00195015">
      <w:pPr>
        <w:ind w:firstLine="708"/>
        <w:jc w:val="both"/>
        <w:rPr>
          <w:rFonts w:ascii="Times New Roman" w:hAnsi="Times New Roman" w:cs="Times New Roman"/>
          <w:sz w:val="24"/>
          <w:szCs w:val="24"/>
        </w:rPr>
      </w:pPr>
      <w:r>
        <w:rPr>
          <w:rFonts w:ascii="Times New Roman" w:hAnsi="Times New Roman" w:cs="Times New Roman"/>
          <w:sz w:val="24"/>
          <w:szCs w:val="24"/>
        </w:rPr>
        <w:t xml:space="preserve">A primeira delas é em relação aos países. 11 países a partir de 2014 tiveram duas cidades como objeto da pesquisa. A solução encontrada para uma melhor apresentação dos dados foi de 2010 a 2013 apropriar a informação do país e posteriormente a 2013 adotar como observação o resultado ponderado. </w:t>
      </w:r>
    </w:p>
    <w:p w14:paraId="6C6F083F" w14:textId="77777777" w:rsidR="00195015" w:rsidRDefault="00195015" w:rsidP="00195015">
      <w:pPr>
        <w:ind w:firstLine="708"/>
        <w:jc w:val="both"/>
        <w:rPr>
          <w:rFonts w:ascii="Times New Roman" w:hAnsi="Times New Roman" w:cs="Times New Roman"/>
          <w:sz w:val="24"/>
          <w:szCs w:val="24"/>
        </w:rPr>
      </w:pPr>
      <w:r>
        <w:rPr>
          <w:rFonts w:ascii="Times New Roman" w:hAnsi="Times New Roman" w:cs="Times New Roman"/>
          <w:sz w:val="24"/>
          <w:szCs w:val="24"/>
        </w:rPr>
        <w:t xml:space="preserve">A título de exemplo: no Brasil, até 2013, somente são Paulo era objeto da pesquisa, posteriormente o Rio de janeiro passou a integrar a pesquisa. Assim, de 2010 a 2013 considera-se Brasil os dados coletados em São Paulo, porém de 2014 em diante a apropriação dos resultados dos indicadores se dará a ponderação pela população e cada estado. </w:t>
      </w:r>
    </w:p>
    <w:p w14:paraId="7A9C58F0" w14:textId="77777777" w:rsidR="00195015" w:rsidRDefault="00195015" w:rsidP="00195015">
      <w:pPr>
        <w:ind w:firstLine="708"/>
        <w:jc w:val="both"/>
        <w:rPr>
          <w:rFonts w:ascii="Times New Roman" w:hAnsi="Times New Roman" w:cs="Times New Roman"/>
          <w:sz w:val="24"/>
          <w:szCs w:val="24"/>
        </w:rPr>
      </w:pPr>
      <w:r>
        <w:rPr>
          <w:rFonts w:ascii="Times New Roman" w:hAnsi="Times New Roman" w:cs="Times New Roman"/>
          <w:sz w:val="24"/>
          <w:szCs w:val="24"/>
        </w:rPr>
        <w:t>O Gráfico 3 explica isso com mais clareza. O gráfico de barras mostra a pontuação de facilidade em se fazer negócio ao longo dos anos desde 2010. Entre 2010-2013, as barras azuis mostram que somente a cidade de São Paulo foi pesquisada. Então, a partir de, com as barras vermelhas, o resultado da pontuação já é o resultado das duas cidades ponderadas por sua população. Este procedimento foi adotado em todas os países em que há duas cidades objeto de pesquisa.</w:t>
      </w:r>
    </w:p>
    <w:p w14:paraId="5B0CD95C" w14:textId="77777777" w:rsidR="00195015" w:rsidRDefault="00195015" w:rsidP="00195015">
      <w:pPr>
        <w:ind w:firstLine="708"/>
        <w:jc w:val="both"/>
        <w:rPr>
          <w:rFonts w:ascii="Times New Roman" w:hAnsi="Times New Roman" w:cs="Times New Roman"/>
          <w:b/>
          <w:smallCaps/>
          <w:sz w:val="24"/>
          <w:szCs w:val="24"/>
        </w:rPr>
      </w:pPr>
      <w:r>
        <w:rPr>
          <w:rFonts w:ascii="Times New Roman" w:hAnsi="Times New Roman" w:cs="Times New Roman"/>
          <w:sz w:val="24"/>
          <w:szCs w:val="24"/>
        </w:rPr>
        <w:t>O segundo grupo de mudanças metodológicas se refere à própria coleta de dados e apropriação dos resultados. Ao longo dos anos, variáveis dos índices e indicadores intermediários foram inseridas, modificadas ou retiradas. Isto posto, como os sempre tem uma relação de distância a fronteira e variam de 0 a 100. Colocaremos esse histórico mesmo com essa mudança, contudo a cada indicador, mostraremos o mudou e como isso poderá afetar as conclusões das análises.</w:t>
      </w:r>
    </w:p>
    <w:p w14:paraId="16FB8719" w14:textId="77777777" w:rsidR="00195015" w:rsidRPr="00885855" w:rsidRDefault="00D757AA" w:rsidP="00195015">
      <w:pPr>
        <w:jc w:val="both"/>
        <w:rPr>
          <w:rFonts w:ascii="Times New Roman" w:hAnsi="Times New Roman" w:cs="Times New Roman"/>
          <w:smallCaps/>
          <w:sz w:val="24"/>
          <w:szCs w:val="24"/>
        </w:rPr>
      </w:pPr>
      <w:r>
        <w:rPr>
          <w:rFonts w:ascii="Times New Roman" w:hAnsi="Times New Roman" w:cs="Times New Roman"/>
          <w:b/>
          <w:smallCaps/>
          <w:sz w:val="24"/>
          <w:szCs w:val="24"/>
        </w:rPr>
        <w:t>Gráfico 8</w:t>
      </w:r>
      <w:r w:rsidR="00195015" w:rsidRPr="00885855">
        <w:rPr>
          <w:rFonts w:ascii="Times New Roman" w:hAnsi="Times New Roman" w:cs="Times New Roman"/>
          <w:smallCaps/>
          <w:sz w:val="24"/>
          <w:szCs w:val="24"/>
        </w:rPr>
        <w:t xml:space="preserve"> - Pontuação Facilidade em fazer negócios</w:t>
      </w:r>
      <w:r w:rsidR="00195015">
        <w:rPr>
          <w:rFonts w:ascii="Times New Roman" w:hAnsi="Times New Roman" w:cs="Times New Roman"/>
          <w:smallCaps/>
          <w:sz w:val="24"/>
          <w:szCs w:val="24"/>
        </w:rPr>
        <w:t xml:space="preserve"> -  BRASIL (2010-2019)</w:t>
      </w:r>
    </w:p>
    <w:p w14:paraId="4A7A9A68" w14:textId="77777777" w:rsidR="00195015" w:rsidRDefault="00195015" w:rsidP="00195015">
      <w:pPr>
        <w:jc w:val="both"/>
        <w:rPr>
          <w:rFonts w:ascii="Times New Roman" w:hAnsi="Times New Roman" w:cs="Times New Roman"/>
          <w:sz w:val="24"/>
          <w:szCs w:val="24"/>
        </w:rPr>
      </w:pPr>
    </w:p>
    <w:p w14:paraId="5C8256D4" w14:textId="77777777" w:rsidR="00195015" w:rsidRDefault="00195015" w:rsidP="00195015">
      <w:pPr>
        <w:jc w:val="center"/>
        <w:rPr>
          <w:rFonts w:ascii="Times New Roman" w:hAnsi="Times New Roman" w:cs="Times New Roman"/>
          <w:sz w:val="24"/>
          <w:szCs w:val="24"/>
        </w:rPr>
      </w:pPr>
      <w:r w:rsidRPr="001F6862">
        <w:rPr>
          <w:rFonts w:ascii="Times New Roman" w:hAnsi="Times New Roman" w:cs="Times New Roman"/>
          <w:noProof/>
          <w:sz w:val="24"/>
          <w:szCs w:val="24"/>
          <w:lang w:eastAsia="pt-BR"/>
        </w:rPr>
        <w:drawing>
          <wp:inline distT="0" distB="0" distL="0" distR="0" wp14:anchorId="099D5F44" wp14:editId="755C5A4A">
            <wp:extent cx="4204668" cy="3040380"/>
            <wp:effectExtent l="0" t="0" r="5715" b="7620"/>
            <wp:docPr id="15" name="Imagem 15" descr="C:\Users\diego.fernandes\Desktop\CADE TRABALHO\Diretório R\DB\3. output\imagens\score brasil por 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fernandes\Desktop\CADE TRABALHO\Diretório R\DB\3. output\imagens\score brasil por an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5081" cy="3040679"/>
                    </a:xfrm>
                    <a:prstGeom prst="rect">
                      <a:avLst/>
                    </a:prstGeom>
                    <a:noFill/>
                    <a:ln>
                      <a:noFill/>
                    </a:ln>
                  </pic:spPr>
                </pic:pic>
              </a:graphicData>
            </a:graphic>
          </wp:inline>
        </w:drawing>
      </w:r>
    </w:p>
    <w:p w14:paraId="0F49F50F" w14:textId="77777777" w:rsidR="001F6862" w:rsidRDefault="00BA3F65" w:rsidP="00202F3F">
      <w:pPr>
        <w:jc w:val="both"/>
        <w:rPr>
          <w:rFonts w:ascii="Times New Roman" w:hAnsi="Times New Roman" w:cs="Times New Roman"/>
          <w:smallCaps/>
          <w:sz w:val="24"/>
          <w:szCs w:val="24"/>
        </w:rPr>
      </w:pPr>
      <w:r>
        <w:rPr>
          <w:rFonts w:ascii="Times New Roman" w:hAnsi="Times New Roman" w:cs="Times New Roman"/>
          <w:b/>
          <w:smallCaps/>
          <w:sz w:val="24"/>
          <w:szCs w:val="24"/>
        </w:rPr>
        <w:lastRenderedPageBreak/>
        <w:t>G</w:t>
      </w:r>
      <w:r w:rsidR="00D757AA">
        <w:rPr>
          <w:rFonts w:ascii="Times New Roman" w:hAnsi="Times New Roman" w:cs="Times New Roman"/>
          <w:b/>
          <w:smallCaps/>
          <w:sz w:val="24"/>
          <w:szCs w:val="24"/>
        </w:rPr>
        <w:t>ráfico 9</w:t>
      </w:r>
      <w:r w:rsidR="008B503F" w:rsidRPr="00885855">
        <w:rPr>
          <w:rFonts w:ascii="Times New Roman" w:hAnsi="Times New Roman" w:cs="Times New Roman"/>
          <w:smallCaps/>
          <w:sz w:val="24"/>
          <w:szCs w:val="24"/>
        </w:rPr>
        <w:t xml:space="preserve"> – </w:t>
      </w:r>
      <w:r w:rsidR="008B503F" w:rsidRPr="00976F50">
        <w:rPr>
          <w:rFonts w:ascii="Times New Roman" w:hAnsi="Times New Roman" w:cs="Times New Roman"/>
          <w:smallCaps/>
          <w:sz w:val="24"/>
          <w:szCs w:val="24"/>
        </w:rPr>
        <w:t>Facilidade</w:t>
      </w:r>
      <w:r w:rsidR="00EF669C" w:rsidRPr="00976F50">
        <w:rPr>
          <w:rFonts w:ascii="Times New Roman" w:hAnsi="Times New Roman" w:cs="Times New Roman"/>
          <w:smallCaps/>
          <w:sz w:val="24"/>
          <w:szCs w:val="24"/>
        </w:rPr>
        <w:t xml:space="preserve"> de se fazer negócios OCDE/</w:t>
      </w:r>
      <w:r w:rsidR="00097BAF" w:rsidRPr="00976F50">
        <w:rPr>
          <w:rFonts w:ascii="Times New Roman" w:hAnsi="Times New Roman" w:cs="Times New Roman"/>
          <w:smallCaps/>
          <w:sz w:val="24"/>
          <w:szCs w:val="24"/>
        </w:rPr>
        <w:t>BRICS</w:t>
      </w:r>
      <w:r w:rsidR="008B503F" w:rsidRPr="00976F50">
        <w:rPr>
          <w:rFonts w:ascii="Times New Roman" w:hAnsi="Times New Roman" w:cs="Times New Roman"/>
          <w:smallCaps/>
          <w:sz w:val="24"/>
          <w:szCs w:val="24"/>
        </w:rPr>
        <w:t>/BRASIL</w:t>
      </w:r>
    </w:p>
    <w:p w14:paraId="234B0576" w14:textId="77777777" w:rsidR="001F6862" w:rsidRDefault="00687B69" w:rsidP="00687B69">
      <w:pPr>
        <w:ind w:left="-284" w:right="-1" w:hanging="1134"/>
        <w:jc w:val="center"/>
        <w:rPr>
          <w:rFonts w:ascii="Times New Roman" w:hAnsi="Times New Roman" w:cs="Times New Roman"/>
          <w:sz w:val="24"/>
          <w:szCs w:val="24"/>
        </w:rPr>
      </w:pPr>
      <w:r w:rsidRPr="00687B69">
        <w:rPr>
          <w:rFonts w:ascii="Times New Roman" w:hAnsi="Times New Roman" w:cs="Times New Roman"/>
          <w:noProof/>
          <w:sz w:val="24"/>
          <w:szCs w:val="24"/>
          <w:lang w:eastAsia="pt-BR"/>
        </w:rPr>
        <w:drawing>
          <wp:inline distT="0" distB="0" distL="0" distR="0" wp14:anchorId="7300B7A0" wp14:editId="7D9160F2">
            <wp:extent cx="7312438" cy="3776869"/>
            <wp:effectExtent l="0" t="0" r="3175" b="0"/>
            <wp:docPr id="24" name="Imagem 24" descr="C:\Users\diego.fernandes\Documents\Rplot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fernandes\Documents\Rplot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45281" cy="3793832"/>
                    </a:xfrm>
                    <a:prstGeom prst="rect">
                      <a:avLst/>
                    </a:prstGeom>
                    <a:noFill/>
                    <a:ln>
                      <a:noFill/>
                    </a:ln>
                  </pic:spPr>
                </pic:pic>
              </a:graphicData>
            </a:graphic>
          </wp:inline>
        </w:drawing>
      </w:r>
    </w:p>
    <w:p w14:paraId="101D3E83" w14:textId="77777777" w:rsidR="001F6862" w:rsidRDefault="001F6862" w:rsidP="00202F3F">
      <w:pPr>
        <w:jc w:val="both"/>
        <w:rPr>
          <w:rFonts w:ascii="Times New Roman" w:hAnsi="Times New Roman" w:cs="Times New Roman"/>
          <w:b/>
          <w:i/>
          <w:smallCaps/>
          <w:sz w:val="24"/>
          <w:szCs w:val="24"/>
        </w:rPr>
      </w:pPr>
    </w:p>
    <w:p w14:paraId="4CF3D55F" w14:textId="77777777" w:rsidR="00B6710A" w:rsidRDefault="00B6710A" w:rsidP="00202F3F">
      <w:pPr>
        <w:jc w:val="both"/>
        <w:rPr>
          <w:rFonts w:ascii="Times New Roman" w:hAnsi="Times New Roman" w:cs="Times New Roman"/>
          <w:b/>
          <w:i/>
          <w:smallCaps/>
          <w:sz w:val="24"/>
          <w:szCs w:val="24"/>
        </w:rPr>
      </w:pPr>
    </w:p>
    <w:p w14:paraId="414D76AD" w14:textId="77777777" w:rsidR="00687B69" w:rsidRDefault="00687B69" w:rsidP="00202F3F">
      <w:pPr>
        <w:jc w:val="both"/>
        <w:rPr>
          <w:rFonts w:ascii="Times New Roman" w:hAnsi="Times New Roman" w:cs="Times New Roman"/>
          <w:b/>
          <w:i/>
          <w:smallCaps/>
          <w:sz w:val="24"/>
          <w:szCs w:val="24"/>
        </w:rPr>
      </w:pPr>
    </w:p>
    <w:p w14:paraId="53CEAA88" w14:textId="77777777" w:rsidR="00B33F04" w:rsidRPr="00F17A0E" w:rsidRDefault="00F17A0E" w:rsidP="00F17A0E">
      <w:pPr>
        <w:pStyle w:val="PargrafodaLista"/>
        <w:numPr>
          <w:ilvl w:val="1"/>
          <w:numId w:val="4"/>
        </w:numPr>
        <w:jc w:val="both"/>
        <w:rPr>
          <w:rFonts w:ascii="Times New Roman" w:hAnsi="Times New Roman" w:cs="Times New Roman"/>
          <w:b/>
          <w:smallCaps/>
          <w:sz w:val="28"/>
          <w:szCs w:val="28"/>
        </w:rPr>
      </w:pPr>
      <w:r w:rsidRPr="00F17A0E">
        <w:rPr>
          <w:rFonts w:ascii="Times New Roman" w:hAnsi="Times New Roman" w:cs="Times New Roman"/>
          <w:b/>
          <w:smallCaps/>
          <w:sz w:val="28"/>
          <w:szCs w:val="28"/>
        </w:rPr>
        <w:t xml:space="preserve">  </w:t>
      </w:r>
      <w:r w:rsidR="00B33F04" w:rsidRPr="00976F50">
        <w:rPr>
          <w:rFonts w:ascii="Times New Roman" w:hAnsi="Times New Roman" w:cs="Times New Roman"/>
          <w:b/>
          <w:i/>
          <w:smallCaps/>
          <w:sz w:val="28"/>
          <w:szCs w:val="28"/>
        </w:rPr>
        <w:t>Abertura de empresa</w:t>
      </w:r>
    </w:p>
    <w:p w14:paraId="3A70FB86" w14:textId="77777777" w:rsidR="00B33F04" w:rsidRDefault="00B33F04" w:rsidP="00202F3F">
      <w:pPr>
        <w:jc w:val="both"/>
        <w:rPr>
          <w:rFonts w:ascii="Times New Roman" w:hAnsi="Times New Roman" w:cs="Times New Roman"/>
          <w:b/>
          <w:i/>
          <w:sz w:val="24"/>
          <w:szCs w:val="24"/>
        </w:rPr>
      </w:pPr>
    </w:p>
    <w:p w14:paraId="1B6E0E89" w14:textId="77777777" w:rsidR="00D91B0A" w:rsidRDefault="006F1C63" w:rsidP="006F1C63">
      <w:pPr>
        <w:ind w:firstLine="851"/>
        <w:jc w:val="both"/>
        <w:rPr>
          <w:rFonts w:ascii="Times New Roman" w:hAnsi="Times New Roman" w:cs="Times New Roman"/>
          <w:sz w:val="24"/>
          <w:szCs w:val="24"/>
        </w:rPr>
      </w:pPr>
      <w:r>
        <w:rPr>
          <w:rFonts w:ascii="Times New Roman" w:hAnsi="Times New Roman" w:cs="Times New Roman"/>
          <w:sz w:val="24"/>
          <w:szCs w:val="24"/>
        </w:rPr>
        <w:t xml:space="preserve">Este indicador </w:t>
      </w:r>
      <w:r w:rsidR="00D91B0A">
        <w:rPr>
          <w:rFonts w:ascii="Times New Roman" w:hAnsi="Times New Roman" w:cs="Times New Roman"/>
          <w:sz w:val="24"/>
          <w:szCs w:val="24"/>
        </w:rPr>
        <w:t>aponta</w:t>
      </w:r>
      <w:r>
        <w:rPr>
          <w:rFonts w:ascii="Times New Roman" w:hAnsi="Times New Roman" w:cs="Times New Roman"/>
          <w:sz w:val="24"/>
          <w:szCs w:val="24"/>
        </w:rPr>
        <w:t xml:space="preserve"> os procedimentos que são oficialmente necessários, ou normalmente realizados para se abrir e operar uma empresa</w:t>
      </w:r>
      <w:r w:rsidR="00C50B86">
        <w:rPr>
          <w:rStyle w:val="Refdenotaderodap"/>
          <w:rFonts w:ascii="Times New Roman" w:hAnsi="Times New Roman" w:cs="Times New Roman"/>
          <w:sz w:val="24"/>
          <w:szCs w:val="24"/>
        </w:rPr>
        <w:footnoteReference w:id="11"/>
      </w:r>
      <w:r>
        <w:rPr>
          <w:rFonts w:ascii="Times New Roman" w:hAnsi="Times New Roman" w:cs="Times New Roman"/>
          <w:sz w:val="24"/>
          <w:szCs w:val="24"/>
        </w:rPr>
        <w:t>.</w:t>
      </w:r>
      <w:r w:rsidR="00D91B0A">
        <w:rPr>
          <w:rFonts w:ascii="Times New Roman" w:hAnsi="Times New Roman" w:cs="Times New Roman"/>
          <w:sz w:val="24"/>
          <w:szCs w:val="24"/>
        </w:rPr>
        <w:t xml:space="preserve"> R</w:t>
      </w:r>
      <w:r>
        <w:rPr>
          <w:rFonts w:ascii="Times New Roman" w:hAnsi="Times New Roman" w:cs="Times New Roman"/>
          <w:sz w:val="24"/>
          <w:szCs w:val="24"/>
        </w:rPr>
        <w:t>egistra-se</w:t>
      </w:r>
      <w:r w:rsidR="00D91B0A">
        <w:rPr>
          <w:rFonts w:ascii="Times New Roman" w:hAnsi="Times New Roman" w:cs="Times New Roman"/>
          <w:sz w:val="24"/>
          <w:szCs w:val="24"/>
        </w:rPr>
        <w:t>, assim,</w:t>
      </w:r>
      <w:r>
        <w:rPr>
          <w:rFonts w:ascii="Times New Roman" w:hAnsi="Times New Roman" w:cs="Times New Roman"/>
          <w:sz w:val="24"/>
          <w:szCs w:val="24"/>
        </w:rPr>
        <w:t xml:space="preserve"> o tempo e o custo necessários para realizar cada procedimento e a exigência de capital mínimo a ser depositado para registrar a empresa</w:t>
      </w:r>
      <w:r w:rsidR="00704C8C">
        <w:rPr>
          <w:rFonts w:ascii="Times New Roman" w:hAnsi="Times New Roman" w:cs="Times New Roman"/>
          <w:sz w:val="24"/>
          <w:szCs w:val="24"/>
        </w:rPr>
        <w:t xml:space="preserve">. </w:t>
      </w:r>
      <w:r w:rsidR="00B31644">
        <w:rPr>
          <w:rFonts w:ascii="Times New Roman" w:hAnsi="Times New Roman" w:cs="Times New Roman"/>
          <w:sz w:val="24"/>
          <w:szCs w:val="24"/>
        </w:rPr>
        <w:t>Outro ponto em destaque é a constância metodológica deste indicador, uma vez que este mantém a mesma metodologia de pontuação deste o primeiro ano de divulgação, o que permite uma comparação ao longo dos anos com um maior rigor.</w:t>
      </w:r>
    </w:p>
    <w:p w14:paraId="683062DA" w14:textId="77777777" w:rsidR="00704C8C" w:rsidRDefault="00D91B0A" w:rsidP="006F1C63">
      <w:pPr>
        <w:ind w:firstLine="851"/>
        <w:jc w:val="both"/>
        <w:rPr>
          <w:rFonts w:ascii="Times New Roman" w:hAnsi="Times New Roman" w:cs="Times New Roman"/>
          <w:sz w:val="24"/>
          <w:szCs w:val="24"/>
        </w:rPr>
      </w:pPr>
      <w:r>
        <w:rPr>
          <w:rFonts w:ascii="Times New Roman" w:hAnsi="Times New Roman" w:cs="Times New Roman"/>
          <w:sz w:val="24"/>
          <w:szCs w:val="24"/>
        </w:rPr>
        <w:t>O</w:t>
      </w:r>
      <w:r w:rsidR="00704C8C">
        <w:rPr>
          <w:rFonts w:ascii="Times New Roman" w:hAnsi="Times New Roman" w:cs="Times New Roman"/>
          <w:sz w:val="24"/>
          <w:szCs w:val="24"/>
        </w:rPr>
        <w:t>s indicadores são divididos em 4 aspectos</w:t>
      </w:r>
      <w:r w:rsidR="00785BA7">
        <w:rPr>
          <w:rStyle w:val="Refdenotaderodap"/>
          <w:rFonts w:ascii="Times New Roman" w:hAnsi="Times New Roman" w:cs="Times New Roman"/>
          <w:sz w:val="24"/>
          <w:szCs w:val="24"/>
        </w:rPr>
        <w:footnoteReference w:id="12"/>
      </w:r>
      <w:r w:rsidR="00285AA7">
        <w:rPr>
          <w:rFonts w:ascii="Times New Roman" w:hAnsi="Times New Roman" w:cs="Times New Roman"/>
          <w:sz w:val="24"/>
          <w:szCs w:val="24"/>
        </w:rPr>
        <w:t xml:space="preserve"> e </w:t>
      </w:r>
      <w:r>
        <w:rPr>
          <w:rFonts w:ascii="Times New Roman" w:hAnsi="Times New Roman" w:cs="Times New Roman"/>
          <w:sz w:val="24"/>
          <w:szCs w:val="24"/>
        </w:rPr>
        <w:t xml:space="preserve">a pontuação final deste indicador é </w:t>
      </w:r>
      <w:r w:rsidR="00285AA7" w:rsidRPr="00285AA7">
        <w:rPr>
          <w:rFonts w:ascii="Times New Roman" w:hAnsi="Times New Roman" w:cs="Times New Roman"/>
          <w:sz w:val="24"/>
          <w:szCs w:val="24"/>
        </w:rPr>
        <w:t xml:space="preserve">calculada com base na média simples das pontuações de cada componente deste tópico </w:t>
      </w:r>
      <w:r>
        <w:rPr>
          <w:rFonts w:ascii="Times New Roman" w:hAnsi="Times New Roman" w:cs="Times New Roman"/>
          <w:sz w:val="24"/>
          <w:szCs w:val="24"/>
        </w:rPr>
        <w:t>abaixo relacionados:</w:t>
      </w:r>
    </w:p>
    <w:p w14:paraId="234D312B" w14:textId="77777777" w:rsidR="00B33F04" w:rsidRDefault="00704C8C" w:rsidP="006F1C63">
      <w:pPr>
        <w:ind w:firstLine="851"/>
        <w:jc w:val="both"/>
        <w:rPr>
          <w:rFonts w:ascii="Times New Roman" w:hAnsi="Times New Roman" w:cs="Times New Roman"/>
          <w:sz w:val="24"/>
          <w:szCs w:val="24"/>
        </w:rPr>
      </w:pPr>
      <w:r w:rsidRPr="00704C8C">
        <w:rPr>
          <w:rFonts w:ascii="Times New Roman" w:hAnsi="Times New Roman" w:cs="Times New Roman"/>
          <w:b/>
          <w:sz w:val="24"/>
          <w:szCs w:val="24"/>
        </w:rPr>
        <w:t>Número de procedimentos</w:t>
      </w:r>
      <w:r>
        <w:rPr>
          <w:rFonts w:ascii="Times New Roman" w:hAnsi="Times New Roman" w:cs="Times New Roman"/>
          <w:sz w:val="24"/>
          <w:szCs w:val="24"/>
        </w:rPr>
        <w:t xml:space="preserve"> - </w:t>
      </w:r>
      <w:r w:rsidR="006F1C63">
        <w:rPr>
          <w:rFonts w:ascii="Times New Roman" w:hAnsi="Times New Roman" w:cs="Times New Roman"/>
          <w:sz w:val="24"/>
          <w:szCs w:val="24"/>
        </w:rPr>
        <w:t xml:space="preserve"> </w:t>
      </w:r>
      <w:r>
        <w:rPr>
          <w:rFonts w:ascii="Times New Roman" w:hAnsi="Times New Roman" w:cs="Times New Roman"/>
          <w:sz w:val="24"/>
          <w:szCs w:val="24"/>
        </w:rPr>
        <w:t>número de procedimentos para uma mulher ou homem</w:t>
      </w:r>
      <w:r>
        <w:rPr>
          <w:rStyle w:val="Refdenotaderodap"/>
          <w:rFonts w:ascii="Times New Roman" w:hAnsi="Times New Roman" w:cs="Times New Roman"/>
          <w:sz w:val="24"/>
          <w:szCs w:val="24"/>
        </w:rPr>
        <w:footnoteReference w:id="13"/>
      </w:r>
      <w:r>
        <w:rPr>
          <w:rFonts w:ascii="Times New Roman" w:hAnsi="Times New Roman" w:cs="Times New Roman"/>
          <w:sz w:val="24"/>
          <w:szCs w:val="24"/>
        </w:rPr>
        <w:t xml:space="preserve"> registrar e operacionalizar uma empresa. Entende-se como procedimento </w:t>
      </w:r>
      <w:r>
        <w:rPr>
          <w:rFonts w:ascii="Times New Roman" w:hAnsi="Times New Roman" w:cs="Times New Roman"/>
          <w:sz w:val="24"/>
          <w:szCs w:val="24"/>
        </w:rPr>
        <w:lastRenderedPageBreak/>
        <w:t>qualquer interação entre os fundadores da empresa com terceiros, incluindo entidades públicas e privadas.</w:t>
      </w:r>
    </w:p>
    <w:p w14:paraId="63640EA5" w14:textId="77777777" w:rsidR="00704C8C" w:rsidRDefault="00704C8C" w:rsidP="006F1C63">
      <w:pPr>
        <w:ind w:firstLine="851"/>
        <w:jc w:val="both"/>
        <w:rPr>
          <w:rFonts w:ascii="Times New Roman" w:hAnsi="Times New Roman" w:cs="Times New Roman"/>
          <w:sz w:val="24"/>
          <w:szCs w:val="24"/>
        </w:rPr>
      </w:pPr>
      <w:r w:rsidRPr="00704C8C">
        <w:rPr>
          <w:rFonts w:ascii="Times New Roman" w:hAnsi="Times New Roman" w:cs="Times New Roman"/>
          <w:b/>
          <w:sz w:val="24"/>
          <w:szCs w:val="24"/>
        </w:rPr>
        <w:t xml:space="preserve">Duração </w:t>
      </w:r>
      <w:r>
        <w:rPr>
          <w:rFonts w:ascii="Times New Roman" w:hAnsi="Times New Roman" w:cs="Times New Roman"/>
          <w:sz w:val="24"/>
          <w:szCs w:val="24"/>
        </w:rPr>
        <w:t xml:space="preserve">- </w:t>
      </w:r>
      <w:r w:rsidRPr="00704C8C">
        <w:rPr>
          <w:rFonts w:ascii="Times New Roman" w:hAnsi="Times New Roman" w:cs="Times New Roman"/>
          <w:sz w:val="24"/>
          <w:szCs w:val="24"/>
        </w:rPr>
        <w:t xml:space="preserve">Número total de dias necessários para um homem </w:t>
      </w:r>
      <w:r>
        <w:rPr>
          <w:rFonts w:ascii="Times New Roman" w:hAnsi="Times New Roman" w:cs="Times New Roman"/>
          <w:sz w:val="24"/>
          <w:szCs w:val="24"/>
        </w:rPr>
        <w:t>ou mulher</w:t>
      </w:r>
      <w:r w:rsidRPr="00704C8C">
        <w:rPr>
          <w:rFonts w:ascii="Times New Roman" w:hAnsi="Times New Roman" w:cs="Times New Roman"/>
          <w:sz w:val="24"/>
          <w:szCs w:val="24"/>
        </w:rPr>
        <w:t xml:space="preserve"> registrar uma empresa</w:t>
      </w:r>
      <w:r>
        <w:rPr>
          <w:rFonts w:ascii="Times New Roman" w:hAnsi="Times New Roman" w:cs="Times New Roman"/>
          <w:sz w:val="24"/>
          <w:szCs w:val="24"/>
        </w:rPr>
        <w:t>.</w:t>
      </w:r>
    </w:p>
    <w:p w14:paraId="1092A97C" w14:textId="77777777" w:rsidR="00D12D28" w:rsidRDefault="00D12D28" w:rsidP="006F1C63">
      <w:pPr>
        <w:ind w:firstLine="851"/>
        <w:jc w:val="both"/>
        <w:rPr>
          <w:rFonts w:ascii="Times New Roman" w:hAnsi="Times New Roman" w:cs="Times New Roman"/>
          <w:sz w:val="24"/>
          <w:szCs w:val="24"/>
        </w:rPr>
      </w:pPr>
      <w:r w:rsidRPr="00D12D28">
        <w:rPr>
          <w:rFonts w:ascii="Times New Roman" w:hAnsi="Times New Roman" w:cs="Times New Roman"/>
          <w:b/>
          <w:sz w:val="24"/>
          <w:szCs w:val="24"/>
        </w:rPr>
        <w:t>Custo</w:t>
      </w:r>
      <w:r>
        <w:rPr>
          <w:rFonts w:ascii="Times New Roman" w:hAnsi="Times New Roman" w:cs="Times New Roman"/>
          <w:sz w:val="24"/>
          <w:szCs w:val="24"/>
        </w:rPr>
        <w:t xml:space="preserve"> - </w:t>
      </w:r>
      <w:r w:rsidRPr="00D12D28">
        <w:rPr>
          <w:rFonts w:ascii="Times New Roman" w:hAnsi="Times New Roman" w:cs="Times New Roman"/>
          <w:sz w:val="24"/>
          <w:szCs w:val="24"/>
        </w:rPr>
        <w:t>O custo é registrado como um percentual da renda per capita da economia. Inclui todas as taxas oficiais e as taxas dos serviços jurídicos ou profissionais, se esses serviços forem exigidos por lei, para um homem casado registrar uma empresa.</w:t>
      </w:r>
    </w:p>
    <w:p w14:paraId="657CAFD8" w14:textId="77777777" w:rsidR="00285AA7" w:rsidRPr="00B33F04" w:rsidRDefault="00285AA7" w:rsidP="006F1C63">
      <w:pPr>
        <w:ind w:firstLine="851"/>
        <w:jc w:val="both"/>
        <w:rPr>
          <w:rFonts w:ascii="Times New Roman" w:hAnsi="Times New Roman" w:cs="Times New Roman"/>
          <w:sz w:val="24"/>
          <w:szCs w:val="24"/>
        </w:rPr>
      </w:pPr>
      <w:r w:rsidRPr="00285AA7">
        <w:rPr>
          <w:rFonts w:ascii="Times New Roman" w:hAnsi="Times New Roman" w:cs="Times New Roman"/>
          <w:b/>
          <w:sz w:val="24"/>
          <w:szCs w:val="24"/>
        </w:rPr>
        <w:t>Capital mínimo integralizado</w:t>
      </w:r>
      <w:r>
        <w:rPr>
          <w:rFonts w:ascii="Times New Roman" w:hAnsi="Times New Roman" w:cs="Times New Roman"/>
          <w:sz w:val="24"/>
          <w:szCs w:val="24"/>
        </w:rPr>
        <w:t xml:space="preserve"> - </w:t>
      </w:r>
      <w:r w:rsidRPr="00285AA7">
        <w:rPr>
          <w:rFonts w:ascii="Times New Roman" w:hAnsi="Times New Roman" w:cs="Times New Roman"/>
          <w:sz w:val="24"/>
          <w:szCs w:val="24"/>
        </w:rPr>
        <w:t>O valor é o que o empresário precisa depositar em um banco ou com um tabelião antes do registro e até três meses após a incorporação. O valor é registrado como um percentual da renda per capita da economia</w:t>
      </w:r>
    </w:p>
    <w:p w14:paraId="7B72DB57" w14:textId="77777777" w:rsidR="00B33F04" w:rsidRDefault="00B33F04" w:rsidP="00202F3F">
      <w:pPr>
        <w:jc w:val="both"/>
        <w:rPr>
          <w:rFonts w:ascii="Times New Roman" w:hAnsi="Times New Roman" w:cs="Times New Roman"/>
          <w:b/>
          <w:i/>
          <w:sz w:val="24"/>
          <w:szCs w:val="24"/>
        </w:rPr>
      </w:pPr>
    </w:p>
    <w:p w14:paraId="00558BB3" w14:textId="77777777" w:rsidR="00C10F97" w:rsidRPr="00646188" w:rsidRDefault="006F2255" w:rsidP="00C52841">
      <w:pPr>
        <w:ind w:firstLine="851"/>
        <w:jc w:val="both"/>
        <w:rPr>
          <w:rFonts w:ascii="Times New Roman" w:hAnsi="Times New Roman" w:cs="Times New Roman"/>
          <w:sz w:val="24"/>
          <w:szCs w:val="24"/>
        </w:rPr>
      </w:pPr>
      <w:r>
        <w:rPr>
          <w:rFonts w:ascii="Times New Roman" w:hAnsi="Times New Roman" w:cs="Times New Roman"/>
          <w:sz w:val="24"/>
          <w:szCs w:val="24"/>
        </w:rPr>
        <w:t>O B</w:t>
      </w:r>
      <w:r w:rsidR="00D0645E">
        <w:rPr>
          <w:rFonts w:ascii="Times New Roman" w:hAnsi="Times New Roman" w:cs="Times New Roman"/>
          <w:sz w:val="24"/>
          <w:szCs w:val="24"/>
        </w:rPr>
        <w:t>rasil apresentou uma certa pequena tendência positiva, com algumas variações deste que este indicador passou a ser contabilizado no Brasil. Entretanto, o país</w:t>
      </w:r>
      <w:r w:rsidR="00D91B0A">
        <w:rPr>
          <w:rFonts w:ascii="Times New Roman" w:hAnsi="Times New Roman" w:cs="Times New Roman"/>
          <w:sz w:val="24"/>
          <w:szCs w:val="24"/>
        </w:rPr>
        <w:t xml:space="preserve"> apresentou</w:t>
      </w:r>
      <w:r w:rsidR="00285AA7">
        <w:rPr>
          <w:rFonts w:ascii="Times New Roman" w:hAnsi="Times New Roman" w:cs="Times New Roman"/>
          <w:sz w:val="24"/>
          <w:szCs w:val="24"/>
        </w:rPr>
        <w:t xml:space="preserve"> melhoras </w:t>
      </w:r>
      <w:r w:rsidR="00D0645E">
        <w:rPr>
          <w:rFonts w:ascii="Times New Roman" w:hAnsi="Times New Roman" w:cs="Times New Roman"/>
          <w:sz w:val="24"/>
          <w:szCs w:val="24"/>
        </w:rPr>
        <w:t>no</w:t>
      </w:r>
      <w:r w:rsidR="00285AA7">
        <w:rPr>
          <w:rFonts w:ascii="Times New Roman" w:hAnsi="Times New Roman" w:cs="Times New Roman"/>
          <w:sz w:val="24"/>
          <w:szCs w:val="24"/>
        </w:rPr>
        <w:t xml:space="preserve"> indicador </w:t>
      </w:r>
      <w:r w:rsidR="00D0645E">
        <w:rPr>
          <w:rFonts w:ascii="Times New Roman" w:hAnsi="Times New Roman" w:cs="Times New Roman"/>
          <w:sz w:val="24"/>
          <w:szCs w:val="24"/>
        </w:rPr>
        <w:t>do penúltimo ao último relatório</w:t>
      </w:r>
      <w:r w:rsidR="00285AA7">
        <w:rPr>
          <w:rFonts w:ascii="Times New Roman" w:hAnsi="Times New Roman" w:cs="Times New Roman"/>
          <w:sz w:val="24"/>
          <w:szCs w:val="24"/>
        </w:rPr>
        <w:t xml:space="preserve">. Destaca-se, </w:t>
      </w:r>
      <w:r w:rsidR="00D0645E">
        <w:rPr>
          <w:rFonts w:ascii="Times New Roman" w:hAnsi="Times New Roman" w:cs="Times New Roman"/>
          <w:sz w:val="24"/>
          <w:szCs w:val="24"/>
        </w:rPr>
        <w:t>portanto</w:t>
      </w:r>
      <w:r w:rsidR="00285AA7">
        <w:rPr>
          <w:rFonts w:ascii="Times New Roman" w:hAnsi="Times New Roman" w:cs="Times New Roman"/>
          <w:sz w:val="24"/>
          <w:szCs w:val="24"/>
        </w:rPr>
        <w:t xml:space="preserve">, que do relatório de 2018 para o relatório de 2019 a pontuação </w:t>
      </w:r>
      <w:r w:rsidR="00097BAF">
        <w:rPr>
          <w:rFonts w:ascii="Times New Roman" w:hAnsi="Times New Roman" w:cs="Times New Roman"/>
          <w:sz w:val="24"/>
          <w:szCs w:val="24"/>
        </w:rPr>
        <w:t>Brasil</w:t>
      </w:r>
      <w:r w:rsidR="00285AA7">
        <w:rPr>
          <w:rFonts w:ascii="Times New Roman" w:hAnsi="Times New Roman" w:cs="Times New Roman"/>
          <w:sz w:val="24"/>
          <w:szCs w:val="24"/>
        </w:rPr>
        <w:t xml:space="preserve">eira aumentou de 64.76 pontos para 80.23, um </w:t>
      </w:r>
      <w:r w:rsidR="00285AA7" w:rsidRPr="00285AA7">
        <w:rPr>
          <w:rFonts w:ascii="Times New Roman" w:hAnsi="Times New Roman" w:cs="Times New Roman"/>
          <w:sz w:val="24"/>
          <w:szCs w:val="24"/>
        </w:rPr>
        <w:t xml:space="preserve">aumento de </w:t>
      </w:r>
      <w:r w:rsidR="00285AA7" w:rsidRPr="00C52841">
        <w:rPr>
          <w:rFonts w:ascii="Times New Roman" w:hAnsi="Times New Roman" w:cs="Times New Roman"/>
          <w:sz w:val="24"/>
          <w:szCs w:val="24"/>
        </w:rPr>
        <w:t>15.47 pontos em relação à distância da fronteira</w:t>
      </w:r>
      <w:r w:rsidR="006B0F80" w:rsidRPr="00C52841">
        <w:rPr>
          <w:rFonts w:ascii="Times New Roman" w:hAnsi="Times New Roman" w:cs="Times New Roman"/>
          <w:sz w:val="24"/>
          <w:szCs w:val="24"/>
        </w:rPr>
        <w:t xml:space="preserve">, como demonstra o </w:t>
      </w:r>
      <w:r w:rsidR="00646188" w:rsidRPr="00E3149B">
        <w:rPr>
          <w:rFonts w:ascii="Times New Roman" w:hAnsi="Times New Roman" w:cs="Times New Roman"/>
          <w:sz w:val="24"/>
          <w:szCs w:val="24"/>
        </w:rPr>
        <w:t>Gráfico 10</w:t>
      </w:r>
      <w:r w:rsidR="00285AA7" w:rsidRPr="00C52841">
        <w:rPr>
          <w:rFonts w:ascii="Times New Roman" w:hAnsi="Times New Roman" w:cs="Times New Roman"/>
          <w:sz w:val="24"/>
          <w:szCs w:val="24"/>
        </w:rPr>
        <w:t xml:space="preserve">. </w:t>
      </w:r>
      <w:r w:rsidR="00646188" w:rsidRPr="00646188">
        <w:rPr>
          <w:rFonts w:ascii="Times New Roman" w:hAnsi="Times New Roman" w:cs="Times New Roman"/>
          <w:sz w:val="24"/>
          <w:szCs w:val="24"/>
        </w:rPr>
        <w:t>Este é o indicador que teve a maior variação positiva no ano de 2019</w:t>
      </w:r>
      <w:r>
        <w:rPr>
          <w:rFonts w:ascii="Times New Roman" w:hAnsi="Times New Roman" w:cs="Times New Roman"/>
          <w:sz w:val="24"/>
          <w:szCs w:val="24"/>
        </w:rPr>
        <w:t>.</w:t>
      </w:r>
    </w:p>
    <w:p w14:paraId="6CDD0580" w14:textId="77777777" w:rsidR="00047ED6" w:rsidRDefault="00047ED6" w:rsidP="00202F3F">
      <w:pPr>
        <w:jc w:val="both"/>
        <w:rPr>
          <w:rFonts w:ascii="Times New Roman" w:hAnsi="Times New Roman" w:cs="Times New Roman"/>
          <w:b/>
          <w:smallCaps/>
          <w:sz w:val="24"/>
          <w:szCs w:val="24"/>
        </w:rPr>
      </w:pPr>
    </w:p>
    <w:p w14:paraId="7628F789" w14:textId="77777777" w:rsidR="00047ED6" w:rsidRDefault="00047ED6" w:rsidP="00202F3F">
      <w:pPr>
        <w:jc w:val="both"/>
        <w:rPr>
          <w:rFonts w:ascii="Times New Roman" w:hAnsi="Times New Roman" w:cs="Times New Roman"/>
          <w:b/>
          <w:smallCaps/>
          <w:sz w:val="24"/>
          <w:szCs w:val="24"/>
        </w:rPr>
      </w:pPr>
    </w:p>
    <w:p w14:paraId="1CAD2A8C" w14:textId="77777777" w:rsidR="00C840D1" w:rsidRDefault="00D757AA" w:rsidP="00202F3F">
      <w:pPr>
        <w:jc w:val="both"/>
        <w:rPr>
          <w:rFonts w:ascii="Times New Roman" w:hAnsi="Times New Roman" w:cs="Times New Roman"/>
          <w:smallCaps/>
          <w:sz w:val="24"/>
          <w:szCs w:val="24"/>
        </w:rPr>
      </w:pPr>
      <w:r>
        <w:rPr>
          <w:rFonts w:ascii="Times New Roman" w:hAnsi="Times New Roman" w:cs="Times New Roman"/>
          <w:b/>
          <w:smallCaps/>
          <w:sz w:val="24"/>
          <w:szCs w:val="24"/>
        </w:rPr>
        <w:t>Gráfico 10</w:t>
      </w:r>
      <w:r w:rsidR="00C840D1" w:rsidRPr="001F6862">
        <w:rPr>
          <w:rFonts w:ascii="Times New Roman" w:hAnsi="Times New Roman" w:cs="Times New Roman"/>
          <w:smallCaps/>
          <w:sz w:val="24"/>
          <w:szCs w:val="24"/>
        </w:rPr>
        <w:t xml:space="preserve"> </w:t>
      </w:r>
      <w:r w:rsidR="00B33F04" w:rsidRPr="001F6862">
        <w:rPr>
          <w:rFonts w:ascii="Times New Roman" w:hAnsi="Times New Roman" w:cs="Times New Roman"/>
          <w:smallCaps/>
          <w:sz w:val="24"/>
          <w:szCs w:val="24"/>
        </w:rPr>
        <w:t>–</w:t>
      </w:r>
      <w:r w:rsidR="00C840D1" w:rsidRPr="001F6862">
        <w:rPr>
          <w:rFonts w:ascii="Times New Roman" w:hAnsi="Times New Roman" w:cs="Times New Roman"/>
          <w:smallCaps/>
          <w:sz w:val="24"/>
          <w:szCs w:val="24"/>
        </w:rPr>
        <w:t xml:space="preserve"> </w:t>
      </w:r>
      <w:r w:rsidR="00B33F04" w:rsidRPr="001F6862">
        <w:rPr>
          <w:rFonts w:ascii="Times New Roman" w:hAnsi="Times New Roman" w:cs="Times New Roman"/>
          <w:smallCaps/>
          <w:sz w:val="24"/>
          <w:szCs w:val="24"/>
        </w:rPr>
        <w:t>Abertura de empresas</w:t>
      </w:r>
      <w:r w:rsidR="00E3149B">
        <w:rPr>
          <w:rFonts w:ascii="Times New Roman" w:hAnsi="Times New Roman" w:cs="Times New Roman"/>
          <w:smallCaps/>
          <w:sz w:val="24"/>
          <w:szCs w:val="24"/>
        </w:rPr>
        <w:t xml:space="preserve"> -  Brasil</w:t>
      </w:r>
    </w:p>
    <w:p w14:paraId="3A46065D" w14:textId="77777777" w:rsidR="00C351A2" w:rsidRDefault="001F3BDC" w:rsidP="00202F3F">
      <w:pPr>
        <w:jc w:val="both"/>
        <w:rPr>
          <w:rFonts w:ascii="Times New Roman" w:hAnsi="Times New Roman" w:cs="Times New Roman"/>
          <w:smallCaps/>
          <w:noProof/>
          <w:sz w:val="24"/>
          <w:szCs w:val="24"/>
          <w:lang w:eastAsia="pt-BR"/>
        </w:rPr>
      </w:pPr>
      <w:r>
        <w:rPr>
          <w:rFonts w:ascii="Times New Roman" w:hAnsi="Times New Roman" w:cs="Times New Roman"/>
          <w:smallCaps/>
          <w:noProof/>
          <w:sz w:val="24"/>
          <w:szCs w:val="24"/>
          <w:lang w:eastAsia="pt-BR"/>
        </w:rPr>
        <w:drawing>
          <wp:inline distT="0" distB="0" distL="0" distR="0" wp14:anchorId="4D410C70" wp14:editId="53870D83">
            <wp:extent cx="5400040" cy="3456026"/>
            <wp:effectExtent l="0" t="0" r="0" b="0"/>
            <wp:docPr id="32" name="Imagem 32" descr="C:\Users\Samsung\Desktop\Trabalho\diretorio\Diretório_R\INDICADORES BRASIL\Abertura de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ung\Desktop\Trabalho\diretorio\Diretório_R\INDICADORES BRASIL\Abertura de Empre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56026"/>
                    </a:xfrm>
                    <a:prstGeom prst="rect">
                      <a:avLst/>
                    </a:prstGeom>
                    <a:noFill/>
                    <a:ln>
                      <a:noFill/>
                    </a:ln>
                  </pic:spPr>
                </pic:pic>
              </a:graphicData>
            </a:graphic>
          </wp:inline>
        </w:drawing>
      </w:r>
    </w:p>
    <w:p w14:paraId="2B6EFEE5" w14:textId="77777777" w:rsidR="00B33F04" w:rsidRDefault="00B33F04" w:rsidP="00B33F04">
      <w:pPr>
        <w:jc w:val="center"/>
        <w:rPr>
          <w:rFonts w:ascii="Times New Roman" w:hAnsi="Times New Roman" w:cs="Times New Roman"/>
          <w:sz w:val="24"/>
          <w:szCs w:val="24"/>
        </w:rPr>
      </w:pPr>
    </w:p>
    <w:p w14:paraId="5C355A40" w14:textId="77777777" w:rsidR="001F3BDC" w:rsidRDefault="007A6CB4" w:rsidP="00646188">
      <w:pPr>
        <w:ind w:firstLine="851"/>
        <w:jc w:val="both"/>
        <w:rPr>
          <w:rFonts w:ascii="Times New Roman" w:hAnsi="Times New Roman" w:cs="Times New Roman"/>
          <w:sz w:val="24"/>
          <w:szCs w:val="24"/>
        </w:rPr>
      </w:pPr>
      <w:r w:rsidRPr="0069580A">
        <w:rPr>
          <w:rFonts w:ascii="Times New Roman" w:hAnsi="Times New Roman" w:cs="Times New Roman"/>
          <w:sz w:val="24"/>
          <w:szCs w:val="24"/>
        </w:rPr>
        <w:lastRenderedPageBreak/>
        <w:t>A mudança mais significativa ocorreu o número de dias para se registar uma empresa.</w:t>
      </w:r>
      <w:r>
        <w:rPr>
          <w:rFonts w:ascii="Times New Roman" w:hAnsi="Times New Roman" w:cs="Times New Roman"/>
          <w:sz w:val="24"/>
          <w:szCs w:val="24"/>
        </w:rPr>
        <w:t xml:space="preserve"> O relatório anterior mostrava que o tempo necessário para se abrir uma empresa era de 82,5 dias. Já neste último relatório divulgado em 2019, a número de dias necessários para se abrir uma empresa caiu para 20,</w:t>
      </w:r>
      <w:r w:rsidR="006F2255">
        <w:rPr>
          <w:rFonts w:ascii="Times New Roman" w:hAnsi="Times New Roman" w:cs="Times New Roman"/>
          <w:sz w:val="24"/>
          <w:szCs w:val="24"/>
        </w:rPr>
        <w:t xml:space="preserve">5 dias. </w:t>
      </w:r>
      <w:r>
        <w:rPr>
          <w:rFonts w:ascii="Times New Roman" w:hAnsi="Times New Roman" w:cs="Times New Roman"/>
          <w:sz w:val="24"/>
          <w:szCs w:val="24"/>
        </w:rPr>
        <w:t>Além disso</w:t>
      </w:r>
      <w:r w:rsidRPr="00C52841">
        <w:rPr>
          <w:rFonts w:ascii="Times New Roman" w:hAnsi="Times New Roman" w:cs="Times New Roman"/>
          <w:sz w:val="24"/>
          <w:szCs w:val="24"/>
        </w:rPr>
        <w:t>,</w:t>
      </w:r>
      <w:r>
        <w:rPr>
          <w:rFonts w:ascii="Times New Roman" w:hAnsi="Times New Roman" w:cs="Times New Roman"/>
          <w:sz w:val="24"/>
          <w:szCs w:val="24"/>
        </w:rPr>
        <w:t xml:space="preserve"> o próximo relatório ainda incorporará os impactos da</w:t>
      </w:r>
      <w:r w:rsidRPr="00C52841">
        <w:rPr>
          <w:rFonts w:ascii="Times New Roman" w:hAnsi="Times New Roman" w:cs="Times New Roman"/>
          <w:sz w:val="24"/>
          <w:szCs w:val="24"/>
        </w:rPr>
        <w:t xml:space="preserve"> reestruturação da  Rede Nacional para Simplificação do Registro e da Legalização de Empresas e Negócios (Redesim), que passou a contar com um novo portal, em julho de 2018, facilitando o processo de registro e de legalização de pessoas jurídicas</w:t>
      </w:r>
      <w:r>
        <w:rPr>
          <w:rStyle w:val="Refdenotaderodap"/>
          <w:rFonts w:ascii="Times New Roman" w:hAnsi="Times New Roman" w:cs="Times New Roman"/>
          <w:sz w:val="24"/>
          <w:szCs w:val="24"/>
        </w:rPr>
        <w:footnoteReference w:id="14"/>
      </w:r>
      <w:r w:rsidRPr="00C52841">
        <w:rPr>
          <w:rFonts w:ascii="Times New Roman" w:hAnsi="Times New Roman" w:cs="Times New Roman"/>
          <w:sz w:val="24"/>
          <w:szCs w:val="24"/>
        </w:rPr>
        <w:t>.</w:t>
      </w:r>
      <w:r>
        <w:rPr>
          <w:rFonts w:ascii="Times New Roman" w:hAnsi="Times New Roman" w:cs="Times New Roman"/>
          <w:sz w:val="24"/>
          <w:szCs w:val="24"/>
        </w:rPr>
        <w:t xml:space="preserve"> </w:t>
      </w:r>
    </w:p>
    <w:p w14:paraId="05D438E6" w14:textId="77777777" w:rsidR="006F2255" w:rsidRDefault="006F2255" w:rsidP="00646188">
      <w:pPr>
        <w:ind w:firstLine="851"/>
        <w:jc w:val="both"/>
        <w:rPr>
          <w:rFonts w:ascii="Times New Roman" w:hAnsi="Times New Roman" w:cs="Times New Roman"/>
          <w:b/>
          <w:smallCaps/>
          <w:sz w:val="24"/>
          <w:szCs w:val="24"/>
        </w:rPr>
      </w:pPr>
      <w:r>
        <w:rPr>
          <w:rFonts w:ascii="Times New Roman" w:hAnsi="Times New Roman" w:cs="Times New Roman"/>
          <w:sz w:val="24"/>
          <w:szCs w:val="24"/>
        </w:rPr>
        <w:t>Mesmo com essa melhora significativa do relatório de 2018 para 2019,</w:t>
      </w:r>
      <w:r w:rsidR="00977C65">
        <w:rPr>
          <w:rFonts w:ascii="Times New Roman" w:hAnsi="Times New Roman" w:cs="Times New Roman"/>
          <w:sz w:val="24"/>
          <w:szCs w:val="24"/>
        </w:rPr>
        <w:t xml:space="preserve"> o</w:t>
      </w:r>
      <w:r>
        <w:rPr>
          <w:rFonts w:ascii="Times New Roman" w:hAnsi="Times New Roman" w:cs="Times New Roman"/>
          <w:sz w:val="24"/>
          <w:szCs w:val="24"/>
        </w:rPr>
        <w:t xml:space="preserve"> Brasil ainda apresenta a distância em relação à fronteira maior que o grupo de países que compõem grupo dos BRICS e OCDE. No Gráfico é possível perceber uma certa estabilidade dos países da OCDE e uma elevação da pontuação médias dos países. Por outro lado, é possível ver o crescimento dos países que compões os BRICS. A Índia, por exemplo, no indicador abertura de empresa </w:t>
      </w:r>
      <w:r w:rsidR="00977C65">
        <w:rPr>
          <w:rFonts w:ascii="Times New Roman" w:hAnsi="Times New Roman" w:cs="Times New Roman"/>
          <w:sz w:val="24"/>
          <w:szCs w:val="24"/>
        </w:rPr>
        <w:t>saltou de 73,9 no relatório anterior para 80,86, pontuação um pouco maior do que a do Brasil.</w:t>
      </w:r>
      <w:r>
        <w:rPr>
          <w:rFonts w:ascii="Times New Roman" w:hAnsi="Times New Roman" w:cs="Times New Roman"/>
          <w:sz w:val="24"/>
          <w:szCs w:val="24"/>
        </w:rPr>
        <w:t xml:space="preserve"> </w:t>
      </w:r>
      <w:r w:rsidR="00977C65">
        <w:rPr>
          <w:rFonts w:ascii="Times New Roman" w:hAnsi="Times New Roman" w:cs="Times New Roman"/>
          <w:sz w:val="24"/>
          <w:szCs w:val="24"/>
        </w:rPr>
        <w:t xml:space="preserve">Destaca-se também a China que detém a posição de 28°no relatório de 2019 com a pontuação aumentando de 85,47 para 93,52. </w:t>
      </w:r>
      <w:r w:rsidR="00B700AC">
        <w:rPr>
          <w:rFonts w:ascii="Times New Roman" w:hAnsi="Times New Roman" w:cs="Times New Roman"/>
          <w:sz w:val="24"/>
          <w:szCs w:val="24"/>
        </w:rPr>
        <w:t>O próprio Banco mundial afirma que a china realizou o maior número de reformas relacionadas ao ambiente de negócios</w:t>
      </w:r>
      <w:r w:rsidR="00B700AC">
        <w:rPr>
          <w:rStyle w:val="Refdenotaderodap"/>
          <w:rFonts w:ascii="Times New Roman" w:hAnsi="Times New Roman" w:cs="Times New Roman"/>
          <w:sz w:val="24"/>
          <w:szCs w:val="24"/>
        </w:rPr>
        <w:footnoteReference w:id="15"/>
      </w:r>
    </w:p>
    <w:p w14:paraId="39977565" w14:textId="77777777" w:rsidR="006F2255" w:rsidRDefault="006F2255" w:rsidP="009B0ED0">
      <w:pPr>
        <w:jc w:val="both"/>
        <w:rPr>
          <w:rFonts w:ascii="Times New Roman" w:hAnsi="Times New Roman" w:cs="Times New Roman"/>
          <w:b/>
          <w:smallCaps/>
          <w:sz w:val="24"/>
          <w:szCs w:val="24"/>
        </w:rPr>
      </w:pPr>
    </w:p>
    <w:p w14:paraId="027F731F" w14:textId="77777777" w:rsidR="009B0ED0" w:rsidRDefault="00646188" w:rsidP="009B0ED0">
      <w:pPr>
        <w:jc w:val="both"/>
        <w:rPr>
          <w:rFonts w:ascii="Times New Roman" w:hAnsi="Times New Roman" w:cs="Times New Roman"/>
          <w:smallCaps/>
          <w:sz w:val="24"/>
          <w:szCs w:val="24"/>
        </w:rPr>
      </w:pPr>
      <w:r>
        <w:rPr>
          <w:rFonts w:ascii="Times New Roman" w:hAnsi="Times New Roman" w:cs="Times New Roman"/>
          <w:b/>
          <w:smallCaps/>
          <w:sz w:val="24"/>
          <w:szCs w:val="24"/>
        </w:rPr>
        <w:t>Gráfico 11</w:t>
      </w:r>
      <w:r w:rsidR="009B0ED0" w:rsidRPr="00885855">
        <w:rPr>
          <w:rFonts w:ascii="Times New Roman" w:hAnsi="Times New Roman" w:cs="Times New Roman"/>
          <w:smallCaps/>
          <w:sz w:val="24"/>
          <w:szCs w:val="24"/>
        </w:rPr>
        <w:t xml:space="preserve"> – </w:t>
      </w:r>
      <w:r w:rsidR="00976F50">
        <w:rPr>
          <w:rFonts w:ascii="Times New Roman" w:hAnsi="Times New Roman" w:cs="Times New Roman"/>
          <w:smallCaps/>
          <w:sz w:val="24"/>
          <w:szCs w:val="24"/>
        </w:rPr>
        <w:t xml:space="preserve">Abertura de Empresa - </w:t>
      </w:r>
      <w:r w:rsidR="00976F50" w:rsidRPr="00885855">
        <w:rPr>
          <w:rFonts w:ascii="Times New Roman" w:hAnsi="Times New Roman" w:cs="Times New Roman"/>
          <w:smallCaps/>
          <w:sz w:val="24"/>
          <w:szCs w:val="24"/>
        </w:rPr>
        <w:t>OCDE/BRICS/Brasil</w:t>
      </w:r>
    </w:p>
    <w:p w14:paraId="6E700E0D" w14:textId="77777777" w:rsidR="00A839D1" w:rsidRDefault="00A839D1" w:rsidP="009B0ED0">
      <w:pPr>
        <w:jc w:val="both"/>
        <w:rPr>
          <w:rFonts w:ascii="Times New Roman" w:hAnsi="Times New Roman" w:cs="Times New Roman"/>
          <w:smallCaps/>
          <w:sz w:val="24"/>
          <w:szCs w:val="24"/>
        </w:rPr>
      </w:pPr>
    </w:p>
    <w:p w14:paraId="5BD805DB" w14:textId="77777777" w:rsidR="00A839D1" w:rsidRDefault="00E760CB" w:rsidP="00E760CB">
      <w:pPr>
        <w:ind w:hanging="1560"/>
        <w:jc w:val="center"/>
        <w:rPr>
          <w:rFonts w:ascii="Times New Roman" w:hAnsi="Times New Roman" w:cs="Times New Roman"/>
          <w:smallCaps/>
          <w:sz w:val="24"/>
          <w:szCs w:val="24"/>
        </w:rPr>
      </w:pPr>
      <w:r>
        <w:rPr>
          <w:rFonts w:ascii="Times New Roman" w:hAnsi="Times New Roman" w:cs="Times New Roman"/>
          <w:smallCaps/>
          <w:noProof/>
          <w:sz w:val="24"/>
          <w:szCs w:val="24"/>
          <w:lang w:eastAsia="pt-BR"/>
        </w:rPr>
        <w:drawing>
          <wp:inline distT="0" distB="0" distL="0" distR="0" wp14:anchorId="7F1E38D9" wp14:editId="4577CA01">
            <wp:extent cx="7327587" cy="3308350"/>
            <wp:effectExtent l="0" t="0" r="6985" b="6350"/>
            <wp:docPr id="31" name="Imagem 31" descr="C:\Users\Samsung\Desktop\Trabalho\diretorio\Diretório_R\Rplo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Trabalho\diretorio\Diretório_R\Rplot2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624" cy="3311527"/>
                    </a:xfrm>
                    <a:prstGeom prst="rect">
                      <a:avLst/>
                    </a:prstGeom>
                    <a:noFill/>
                    <a:ln>
                      <a:noFill/>
                    </a:ln>
                  </pic:spPr>
                </pic:pic>
              </a:graphicData>
            </a:graphic>
          </wp:inline>
        </w:drawing>
      </w:r>
    </w:p>
    <w:p w14:paraId="09657A27" w14:textId="77777777" w:rsidR="006A7C27" w:rsidRDefault="006A7C27" w:rsidP="00202F3F">
      <w:pPr>
        <w:jc w:val="both"/>
        <w:rPr>
          <w:rFonts w:ascii="Times New Roman" w:hAnsi="Times New Roman" w:cs="Times New Roman"/>
          <w:b/>
          <w:i/>
          <w:smallCaps/>
          <w:sz w:val="28"/>
          <w:szCs w:val="28"/>
          <w:u w:val="single"/>
        </w:rPr>
      </w:pPr>
    </w:p>
    <w:p w14:paraId="150BEA9C" w14:textId="77777777" w:rsidR="00E54269" w:rsidRDefault="00E54269" w:rsidP="00202F3F">
      <w:pPr>
        <w:jc w:val="both"/>
        <w:rPr>
          <w:rFonts w:ascii="Times New Roman" w:hAnsi="Times New Roman" w:cs="Times New Roman"/>
          <w:b/>
          <w:i/>
          <w:smallCaps/>
          <w:sz w:val="28"/>
          <w:szCs w:val="28"/>
          <w:u w:val="single"/>
        </w:rPr>
      </w:pPr>
    </w:p>
    <w:p w14:paraId="05341E3E" w14:textId="77777777" w:rsidR="00E95BA3" w:rsidRPr="00976F50" w:rsidRDefault="00A71C90"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t>Obtenção de alvarás de construção</w:t>
      </w:r>
    </w:p>
    <w:p w14:paraId="3B78F383" w14:textId="77777777" w:rsidR="002D3B91" w:rsidRDefault="00415CF3" w:rsidP="00F17A0E">
      <w:pPr>
        <w:pStyle w:val="PargrafodaLista"/>
        <w:numPr>
          <w:ilvl w:val="1"/>
          <w:numId w:val="4"/>
        </w:numPr>
        <w:jc w:val="both"/>
        <w:rPr>
          <w:rFonts w:ascii="Times New Roman" w:hAnsi="Times New Roman" w:cs="Times New Roman"/>
          <w:sz w:val="24"/>
          <w:szCs w:val="24"/>
        </w:rPr>
      </w:pPr>
      <w:r>
        <w:rPr>
          <w:rFonts w:ascii="Times New Roman" w:hAnsi="Times New Roman" w:cs="Times New Roman"/>
          <w:sz w:val="24"/>
          <w:szCs w:val="24"/>
        </w:rPr>
        <w:t>D</w:t>
      </w:r>
      <w:r w:rsidRPr="00415CF3">
        <w:rPr>
          <w:rFonts w:ascii="Times New Roman" w:hAnsi="Times New Roman" w:cs="Times New Roman"/>
          <w:sz w:val="24"/>
          <w:szCs w:val="24"/>
        </w:rPr>
        <w:t>e acordo com o relatório</w:t>
      </w:r>
      <w:r>
        <w:rPr>
          <w:rFonts w:ascii="Times New Roman" w:hAnsi="Times New Roman" w:cs="Times New Roman"/>
          <w:sz w:val="24"/>
          <w:szCs w:val="24"/>
        </w:rPr>
        <w:t>, este indicador aponta todos os procedimentos necessários para que uma empresa do setor de construção possa construir um depósito ou armazém, bem como o tempo e o custo para realizar cada procedimento.</w:t>
      </w:r>
      <w:r w:rsidR="0045093B">
        <w:rPr>
          <w:rFonts w:ascii="Times New Roman" w:hAnsi="Times New Roman" w:cs="Times New Roman"/>
          <w:sz w:val="24"/>
          <w:szCs w:val="24"/>
        </w:rPr>
        <w:t xml:space="preserve"> Além disso, </w:t>
      </w:r>
      <w:r w:rsidR="00932DB3">
        <w:rPr>
          <w:rFonts w:ascii="Times New Roman" w:hAnsi="Times New Roman" w:cs="Times New Roman"/>
          <w:sz w:val="24"/>
          <w:szCs w:val="24"/>
        </w:rPr>
        <w:t xml:space="preserve">posteriormente, já nos relatórios a partir de 2015, </w:t>
      </w:r>
      <w:r w:rsidR="0045093B">
        <w:rPr>
          <w:rFonts w:ascii="Times New Roman" w:hAnsi="Times New Roman" w:cs="Times New Roman"/>
          <w:sz w:val="24"/>
          <w:szCs w:val="24"/>
        </w:rPr>
        <w:t>integra-se a este indicador um índice de qualidade de construção a fim de avaliar a qualidade da regulamentação da construção.</w:t>
      </w:r>
      <w:r>
        <w:rPr>
          <w:rFonts w:ascii="Times New Roman" w:hAnsi="Times New Roman" w:cs="Times New Roman"/>
          <w:sz w:val="24"/>
          <w:szCs w:val="24"/>
        </w:rPr>
        <w:t xml:space="preserve"> </w:t>
      </w:r>
    </w:p>
    <w:p w14:paraId="2A22AAE7" w14:textId="77777777" w:rsidR="00415CF3" w:rsidRDefault="00415CF3" w:rsidP="00415CF3">
      <w:pPr>
        <w:ind w:firstLine="851"/>
        <w:jc w:val="both"/>
        <w:rPr>
          <w:rFonts w:ascii="Times New Roman" w:hAnsi="Times New Roman" w:cs="Times New Roman"/>
          <w:sz w:val="24"/>
          <w:szCs w:val="24"/>
        </w:rPr>
      </w:pPr>
      <w:r>
        <w:rPr>
          <w:rFonts w:ascii="Times New Roman" w:hAnsi="Times New Roman" w:cs="Times New Roman"/>
          <w:sz w:val="24"/>
          <w:szCs w:val="24"/>
        </w:rPr>
        <w:t>Estas informações são obtidas por meio de questionários enviados a especialistas em licenciamento de construções, incluindo um diversos profissionais e empresas do ramo de construção</w:t>
      </w:r>
      <w:r w:rsidR="0045093B">
        <w:rPr>
          <w:rStyle w:val="Refdenotaderodap"/>
          <w:rFonts w:ascii="Times New Roman" w:hAnsi="Times New Roman" w:cs="Times New Roman"/>
          <w:sz w:val="24"/>
          <w:szCs w:val="24"/>
        </w:rPr>
        <w:footnoteReference w:id="16"/>
      </w:r>
      <w:r>
        <w:rPr>
          <w:rFonts w:ascii="Times New Roman" w:hAnsi="Times New Roman" w:cs="Times New Roman"/>
          <w:sz w:val="24"/>
          <w:szCs w:val="24"/>
        </w:rPr>
        <w:t xml:space="preserve">. Assim como no indicador </w:t>
      </w:r>
      <w:r w:rsidR="0045093B">
        <w:rPr>
          <w:rFonts w:ascii="Times New Roman" w:hAnsi="Times New Roman" w:cs="Times New Roman"/>
          <w:sz w:val="24"/>
          <w:szCs w:val="24"/>
        </w:rPr>
        <w:t>anterior, a</w:t>
      </w:r>
      <w:r>
        <w:rPr>
          <w:rFonts w:ascii="Times New Roman" w:hAnsi="Times New Roman" w:cs="Times New Roman"/>
          <w:sz w:val="24"/>
          <w:szCs w:val="24"/>
        </w:rPr>
        <w:t xml:space="preserve"> pontuação final deste é </w:t>
      </w:r>
      <w:r w:rsidR="0045093B">
        <w:rPr>
          <w:rFonts w:ascii="Times New Roman" w:hAnsi="Times New Roman" w:cs="Times New Roman"/>
          <w:sz w:val="24"/>
          <w:szCs w:val="24"/>
        </w:rPr>
        <w:t>resultado</w:t>
      </w:r>
      <w:r>
        <w:rPr>
          <w:rFonts w:ascii="Times New Roman" w:hAnsi="Times New Roman" w:cs="Times New Roman"/>
          <w:sz w:val="24"/>
          <w:szCs w:val="24"/>
        </w:rPr>
        <w:t xml:space="preserve"> </w:t>
      </w:r>
      <w:r w:rsidR="0045093B">
        <w:rPr>
          <w:rFonts w:ascii="Times New Roman" w:hAnsi="Times New Roman" w:cs="Times New Roman"/>
          <w:sz w:val="24"/>
          <w:szCs w:val="24"/>
        </w:rPr>
        <w:t>da média simples</w:t>
      </w:r>
      <w:r>
        <w:rPr>
          <w:rFonts w:ascii="Times New Roman" w:hAnsi="Times New Roman" w:cs="Times New Roman"/>
          <w:sz w:val="24"/>
          <w:szCs w:val="24"/>
        </w:rPr>
        <w:t xml:space="preserve"> de cada um dos objetos avaliados</w:t>
      </w:r>
      <w:r w:rsidR="0045093B">
        <w:rPr>
          <w:rFonts w:ascii="Times New Roman" w:hAnsi="Times New Roman" w:cs="Times New Roman"/>
          <w:sz w:val="24"/>
          <w:szCs w:val="24"/>
        </w:rPr>
        <w:t>. As características pontuadas são:</w:t>
      </w:r>
    </w:p>
    <w:p w14:paraId="0F03303F" w14:textId="77777777" w:rsidR="0045093B" w:rsidRDefault="0045093B" w:rsidP="00415CF3">
      <w:pPr>
        <w:ind w:firstLine="851"/>
        <w:jc w:val="both"/>
        <w:rPr>
          <w:rFonts w:ascii="Times New Roman" w:hAnsi="Times New Roman" w:cs="Times New Roman"/>
          <w:sz w:val="24"/>
          <w:szCs w:val="24"/>
        </w:rPr>
      </w:pPr>
    </w:p>
    <w:p w14:paraId="085E8994" w14:textId="77777777" w:rsidR="0045093B" w:rsidRDefault="0045093B" w:rsidP="00415CF3">
      <w:pPr>
        <w:ind w:firstLine="851"/>
        <w:jc w:val="both"/>
        <w:rPr>
          <w:rFonts w:ascii="Times New Roman" w:hAnsi="Times New Roman" w:cs="Times New Roman"/>
          <w:sz w:val="24"/>
          <w:szCs w:val="24"/>
        </w:rPr>
      </w:pPr>
      <w:r w:rsidRPr="0045093B">
        <w:rPr>
          <w:rFonts w:ascii="Times New Roman" w:hAnsi="Times New Roman" w:cs="Times New Roman"/>
          <w:b/>
          <w:sz w:val="24"/>
          <w:szCs w:val="24"/>
        </w:rPr>
        <w:t>Número de procedimentos:</w:t>
      </w:r>
      <w:r>
        <w:rPr>
          <w:rFonts w:ascii="Times New Roman" w:hAnsi="Times New Roman" w:cs="Times New Roman"/>
          <w:sz w:val="24"/>
          <w:szCs w:val="24"/>
        </w:rPr>
        <w:t xml:space="preserve"> o número total de procedimentos necessários para construir um depósito. Define-se procedimento como quaisquer interações dos funcionários ou gerentes da empresa com terceiros.</w:t>
      </w:r>
    </w:p>
    <w:p w14:paraId="2DD09815" w14:textId="77777777" w:rsidR="0045093B" w:rsidRDefault="0045093B" w:rsidP="00415CF3">
      <w:pPr>
        <w:ind w:firstLine="851"/>
        <w:jc w:val="both"/>
        <w:rPr>
          <w:rFonts w:ascii="Times New Roman" w:hAnsi="Times New Roman" w:cs="Times New Roman"/>
          <w:sz w:val="24"/>
          <w:szCs w:val="24"/>
        </w:rPr>
      </w:pPr>
      <w:r w:rsidRPr="0045093B">
        <w:rPr>
          <w:rFonts w:ascii="Times New Roman" w:hAnsi="Times New Roman" w:cs="Times New Roman"/>
          <w:b/>
          <w:sz w:val="24"/>
          <w:szCs w:val="24"/>
        </w:rPr>
        <w:t>Duração (dias):</w:t>
      </w:r>
      <w:r>
        <w:rPr>
          <w:rFonts w:ascii="Times New Roman" w:hAnsi="Times New Roman" w:cs="Times New Roman"/>
          <w:b/>
          <w:sz w:val="24"/>
          <w:szCs w:val="24"/>
        </w:rPr>
        <w:t xml:space="preserve"> </w:t>
      </w:r>
      <w:r>
        <w:rPr>
          <w:rFonts w:ascii="Times New Roman" w:hAnsi="Times New Roman" w:cs="Times New Roman"/>
          <w:sz w:val="24"/>
          <w:szCs w:val="24"/>
        </w:rPr>
        <w:t>número total de dias necessários para construir um depósito ou armazém.</w:t>
      </w:r>
    </w:p>
    <w:p w14:paraId="366722A4" w14:textId="77777777" w:rsidR="0045093B" w:rsidRDefault="0045093B" w:rsidP="00415CF3">
      <w:pPr>
        <w:ind w:firstLine="851"/>
        <w:jc w:val="both"/>
        <w:rPr>
          <w:rFonts w:ascii="Times New Roman" w:hAnsi="Times New Roman" w:cs="Times New Roman"/>
          <w:sz w:val="24"/>
          <w:szCs w:val="24"/>
        </w:rPr>
      </w:pPr>
      <w:r w:rsidRPr="0045093B">
        <w:rPr>
          <w:rFonts w:ascii="Times New Roman" w:hAnsi="Times New Roman" w:cs="Times New Roman"/>
          <w:b/>
          <w:sz w:val="24"/>
          <w:szCs w:val="24"/>
        </w:rPr>
        <w:t>Custo:</w:t>
      </w:r>
      <w:r>
        <w:rPr>
          <w:rFonts w:ascii="Times New Roman" w:hAnsi="Times New Roman" w:cs="Times New Roman"/>
          <w:sz w:val="24"/>
          <w:szCs w:val="24"/>
        </w:rPr>
        <w:t xml:space="preserve"> porcentagens dos custos oficiais para se construir o depósito em relação à renda per capita.</w:t>
      </w:r>
    </w:p>
    <w:p w14:paraId="2DA8AC38" w14:textId="77777777" w:rsidR="0045093B" w:rsidRDefault="001C2B35" w:rsidP="00415CF3">
      <w:pPr>
        <w:ind w:firstLine="851"/>
        <w:jc w:val="both"/>
        <w:rPr>
          <w:rFonts w:ascii="Times New Roman" w:hAnsi="Times New Roman" w:cs="Times New Roman"/>
          <w:sz w:val="24"/>
          <w:szCs w:val="24"/>
        </w:rPr>
      </w:pPr>
      <w:r w:rsidRPr="001C2B35">
        <w:rPr>
          <w:rFonts w:ascii="Times New Roman" w:hAnsi="Times New Roman" w:cs="Times New Roman"/>
          <w:b/>
          <w:sz w:val="24"/>
          <w:szCs w:val="24"/>
        </w:rPr>
        <w:t>Índice de controle de qualidade da construção:</w:t>
      </w:r>
      <w:r>
        <w:rPr>
          <w:rFonts w:ascii="Times New Roman" w:hAnsi="Times New Roman" w:cs="Times New Roman"/>
          <w:sz w:val="24"/>
          <w:szCs w:val="24"/>
        </w:rPr>
        <w:t xml:space="preserve"> O índice é baseado em outros seis índices -  a qualidade da regulamentação da construção, controle de qualidade da construção, controle de qualidade durante a construção, controle de qualidade depois da construção, índices de responsabilidade e regimes de seguro profissionais</w:t>
      </w:r>
      <w:r w:rsidR="00122648">
        <w:rPr>
          <w:rFonts w:ascii="Times New Roman" w:hAnsi="Times New Roman" w:cs="Times New Roman"/>
          <w:sz w:val="24"/>
          <w:szCs w:val="24"/>
        </w:rPr>
        <w:t>. O índice varia de zero a quinze (0-15).</w:t>
      </w:r>
      <w:r w:rsidR="00E3786E">
        <w:rPr>
          <w:rFonts w:ascii="Times New Roman" w:hAnsi="Times New Roman" w:cs="Times New Roman"/>
          <w:sz w:val="24"/>
          <w:szCs w:val="24"/>
        </w:rPr>
        <w:t xml:space="preserve"> Além disso, vale ressaltar que este índice foi acrescentado na nova metodologia do cálculo deste indicador a partir de relatório de 2016</w:t>
      </w:r>
      <w:r w:rsidR="00AC5BA4">
        <w:rPr>
          <w:rFonts w:ascii="Times New Roman" w:hAnsi="Times New Roman" w:cs="Times New Roman"/>
          <w:sz w:val="24"/>
          <w:szCs w:val="24"/>
        </w:rPr>
        <w:t>, atualizando somente os valores sob esta metodologia em 2015</w:t>
      </w:r>
      <w:r w:rsidR="00E3786E">
        <w:rPr>
          <w:rFonts w:ascii="Times New Roman" w:hAnsi="Times New Roman" w:cs="Times New Roman"/>
          <w:sz w:val="24"/>
          <w:szCs w:val="24"/>
        </w:rPr>
        <w:t>.</w:t>
      </w:r>
    </w:p>
    <w:p w14:paraId="3AE3B47D" w14:textId="77777777" w:rsidR="008D4E2C" w:rsidRDefault="00122648" w:rsidP="00415CF3">
      <w:pPr>
        <w:ind w:firstLine="851"/>
        <w:jc w:val="both"/>
        <w:rPr>
          <w:rFonts w:ascii="Times New Roman" w:hAnsi="Times New Roman" w:cs="Times New Roman"/>
          <w:sz w:val="24"/>
          <w:szCs w:val="24"/>
        </w:rPr>
      </w:pPr>
      <w:r>
        <w:rPr>
          <w:rFonts w:ascii="Times New Roman" w:hAnsi="Times New Roman" w:cs="Times New Roman"/>
          <w:sz w:val="24"/>
          <w:szCs w:val="24"/>
        </w:rPr>
        <w:t xml:space="preserve">O Brasil tem tido uma relativa estabilidade ao longo dos anos </w:t>
      </w:r>
      <w:r w:rsidR="00932DB3">
        <w:rPr>
          <w:rFonts w:ascii="Times New Roman" w:hAnsi="Times New Roman" w:cs="Times New Roman"/>
          <w:sz w:val="24"/>
          <w:szCs w:val="24"/>
        </w:rPr>
        <w:t xml:space="preserve">conforme está explícito no </w:t>
      </w:r>
      <w:r>
        <w:rPr>
          <w:rFonts w:ascii="Times New Roman" w:hAnsi="Times New Roman" w:cs="Times New Roman"/>
          <w:sz w:val="24"/>
          <w:szCs w:val="24"/>
        </w:rPr>
        <w:t xml:space="preserve">do </w:t>
      </w:r>
      <w:r w:rsidR="0055419A">
        <w:rPr>
          <w:rFonts w:ascii="Times New Roman" w:hAnsi="Times New Roman" w:cs="Times New Roman"/>
          <w:sz w:val="24"/>
          <w:szCs w:val="24"/>
        </w:rPr>
        <w:t>G</w:t>
      </w:r>
      <w:r w:rsidR="00E3786E">
        <w:rPr>
          <w:rFonts w:ascii="Times New Roman" w:hAnsi="Times New Roman" w:cs="Times New Roman"/>
          <w:sz w:val="24"/>
          <w:szCs w:val="24"/>
        </w:rPr>
        <w:t>ráfico 12</w:t>
      </w:r>
      <w:r w:rsidR="00932DB3">
        <w:rPr>
          <w:rFonts w:ascii="Times New Roman" w:hAnsi="Times New Roman" w:cs="Times New Roman"/>
          <w:sz w:val="24"/>
          <w:szCs w:val="24"/>
        </w:rPr>
        <w:t>. A há uma certa estabilidade nos dados a partir do salto da pontuação do relatório de 2014 para 2015, quando a pontuação saltou de 46,7 para 49,65. Ocorre que o valor de 2015 foi atualizado</w:t>
      </w:r>
      <w:r w:rsidR="00711701">
        <w:rPr>
          <w:rFonts w:ascii="Times New Roman" w:hAnsi="Times New Roman" w:cs="Times New Roman"/>
          <w:sz w:val="24"/>
          <w:szCs w:val="24"/>
        </w:rPr>
        <w:t xml:space="preserve"> retroativamente</w:t>
      </w:r>
      <w:r w:rsidR="00932DB3">
        <w:rPr>
          <w:rFonts w:ascii="Times New Roman" w:hAnsi="Times New Roman" w:cs="Times New Roman"/>
          <w:sz w:val="24"/>
          <w:szCs w:val="24"/>
        </w:rPr>
        <w:t xml:space="preserve"> sob a nova metodologia, influenciando</w:t>
      </w:r>
      <w:r w:rsidR="00711701">
        <w:rPr>
          <w:rFonts w:ascii="Times New Roman" w:hAnsi="Times New Roman" w:cs="Times New Roman"/>
          <w:sz w:val="24"/>
          <w:szCs w:val="24"/>
        </w:rPr>
        <w:t xml:space="preserve"> o indicador por meio da inserção dos valores do índice de controle de qualidade da construção</w:t>
      </w:r>
      <w:r w:rsidR="008D4E2C">
        <w:rPr>
          <w:rFonts w:ascii="Times New Roman" w:hAnsi="Times New Roman" w:cs="Times New Roman"/>
          <w:sz w:val="24"/>
          <w:szCs w:val="24"/>
        </w:rPr>
        <w:t>.</w:t>
      </w:r>
      <w:r w:rsidR="0055419A">
        <w:rPr>
          <w:rFonts w:ascii="Times New Roman" w:hAnsi="Times New Roman" w:cs="Times New Roman"/>
          <w:sz w:val="24"/>
          <w:szCs w:val="24"/>
        </w:rPr>
        <w:t xml:space="preserve"> </w:t>
      </w:r>
    </w:p>
    <w:p w14:paraId="4C8FF893" w14:textId="77777777" w:rsidR="00164939" w:rsidRPr="00E3786E" w:rsidRDefault="00164939" w:rsidP="00164939">
      <w:pPr>
        <w:ind w:firstLine="851"/>
        <w:jc w:val="both"/>
        <w:rPr>
          <w:rFonts w:ascii="Times New Roman" w:hAnsi="Times New Roman" w:cs="Times New Roman"/>
          <w:sz w:val="24"/>
          <w:szCs w:val="24"/>
        </w:rPr>
      </w:pPr>
      <w:r>
        <w:rPr>
          <w:rFonts w:ascii="Times New Roman" w:hAnsi="Times New Roman" w:cs="Times New Roman"/>
          <w:sz w:val="24"/>
          <w:szCs w:val="24"/>
        </w:rPr>
        <w:t xml:space="preserve">Em comparação à pontuação média obtida pelo Bloco de países que compões os </w:t>
      </w:r>
      <w:r w:rsidR="00097BAF">
        <w:rPr>
          <w:rFonts w:ascii="Times New Roman" w:hAnsi="Times New Roman" w:cs="Times New Roman"/>
          <w:sz w:val="24"/>
          <w:szCs w:val="24"/>
        </w:rPr>
        <w:t>BRICS</w:t>
      </w:r>
      <w:r>
        <w:rPr>
          <w:rFonts w:ascii="Times New Roman" w:hAnsi="Times New Roman" w:cs="Times New Roman"/>
          <w:sz w:val="24"/>
          <w:szCs w:val="24"/>
        </w:rPr>
        <w:t xml:space="preserve"> e a OCDE o Brasil apresenta valores menores, como ilustra o Gráfico 13.  Concentrando a análise com os países dos Brasil não acompanhou a evolução a este indicador em comparação aos países dos BRICS. Até 2014, o Brasil tinha uma pontuação maior que a média dos países dos BRICS. A partir de 2015, já com valores atualizados com a nova metodologia a média dos BRICS já supera a pontuação brasileira. No biênio </w:t>
      </w:r>
      <w:r>
        <w:rPr>
          <w:rFonts w:ascii="Times New Roman" w:hAnsi="Times New Roman" w:cs="Times New Roman"/>
          <w:sz w:val="24"/>
          <w:szCs w:val="24"/>
        </w:rPr>
        <w:lastRenderedPageBreak/>
        <w:t xml:space="preserve">de 2018 para 2019 a diferença é significativa, o </w:t>
      </w:r>
      <w:r w:rsidR="00097BAF">
        <w:rPr>
          <w:rFonts w:ascii="Times New Roman" w:hAnsi="Times New Roman" w:cs="Times New Roman"/>
          <w:sz w:val="24"/>
          <w:szCs w:val="24"/>
        </w:rPr>
        <w:t>Brasil</w:t>
      </w:r>
      <w:r>
        <w:rPr>
          <w:rFonts w:ascii="Times New Roman" w:hAnsi="Times New Roman" w:cs="Times New Roman"/>
          <w:sz w:val="24"/>
          <w:szCs w:val="24"/>
        </w:rPr>
        <w:t xml:space="preserve"> se mantém estável com pontuações 49,83 e 49,86 em 2018 e 2019 respetivamente. Os BRICS passaram de uma média de 54,18 em 2018 para 66,34 em 2019, diminuindo em 12,16 em relação a fronteira</w:t>
      </w:r>
    </w:p>
    <w:p w14:paraId="4A3FFF16" w14:textId="77777777" w:rsidR="00E60530" w:rsidRDefault="00646188" w:rsidP="00E60530">
      <w:pPr>
        <w:jc w:val="both"/>
        <w:rPr>
          <w:rFonts w:ascii="Times New Roman" w:hAnsi="Times New Roman" w:cs="Times New Roman"/>
          <w:smallCaps/>
          <w:sz w:val="24"/>
          <w:szCs w:val="24"/>
        </w:rPr>
      </w:pPr>
      <w:r>
        <w:rPr>
          <w:rFonts w:ascii="Times New Roman" w:hAnsi="Times New Roman" w:cs="Times New Roman"/>
          <w:b/>
          <w:smallCaps/>
          <w:sz w:val="24"/>
          <w:szCs w:val="24"/>
        </w:rPr>
        <w:t>Gráfico 12</w:t>
      </w:r>
      <w:r w:rsidR="00E60530" w:rsidRPr="001F6862">
        <w:rPr>
          <w:rFonts w:ascii="Times New Roman" w:hAnsi="Times New Roman" w:cs="Times New Roman"/>
          <w:smallCaps/>
          <w:sz w:val="24"/>
          <w:szCs w:val="24"/>
        </w:rPr>
        <w:t xml:space="preserve"> – </w:t>
      </w:r>
      <w:r w:rsidR="00976F50">
        <w:rPr>
          <w:rFonts w:ascii="Times New Roman" w:hAnsi="Times New Roman" w:cs="Times New Roman"/>
          <w:smallCaps/>
          <w:sz w:val="24"/>
          <w:szCs w:val="24"/>
        </w:rPr>
        <w:t>Obtenção de Alvarás de Construção</w:t>
      </w:r>
      <w:r w:rsidR="004A27C1">
        <w:rPr>
          <w:rFonts w:ascii="Times New Roman" w:hAnsi="Times New Roman" w:cs="Times New Roman"/>
          <w:smallCaps/>
          <w:sz w:val="24"/>
          <w:szCs w:val="24"/>
        </w:rPr>
        <w:t xml:space="preserve"> -  Brasil</w:t>
      </w:r>
    </w:p>
    <w:p w14:paraId="1429C71C" w14:textId="77777777" w:rsidR="008D4E2C" w:rsidRDefault="002D3B91" w:rsidP="00E60530">
      <w:pPr>
        <w:jc w:val="center"/>
        <w:rPr>
          <w:rFonts w:ascii="Times New Roman" w:hAnsi="Times New Roman" w:cs="Times New Roman"/>
          <w:smallCaps/>
          <w:sz w:val="24"/>
          <w:szCs w:val="24"/>
        </w:rPr>
      </w:pPr>
      <w:r>
        <w:rPr>
          <w:rFonts w:ascii="Times New Roman" w:hAnsi="Times New Roman" w:cs="Times New Roman"/>
          <w:smallCaps/>
          <w:noProof/>
          <w:sz w:val="24"/>
          <w:szCs w:val="24"/>
          <w:lang w:eastAsia="pt-BR"/>
        </w:rPr>
        <w:drawing>
          <wp:inline distT="0" distB="0" distL="0" distR="0" wp14:anchorId="1F8D54DE" wp14:editId="0BFD8D96">
            <wp:extent cx="4787900" cy="3064256"/>
            <wp:effectExtent l="0" t="0" r="0" b="3175"/>
            <wp:docPr id="34" name="Imagem 34" descr="C:\Users\Samsung\Desktop\Trabalho\diretorio\Diretório_R\INDICADORES BRASIL\Alvará de constru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Trabalho\diretorio\Diretório_R\INDICADORES BRASIL\Alvará de construçã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3416" cy="3067786"/>
                    </a:xfrm>
                    <a:prstGeom prst="rect">
                      <a:avLst/>
                    </a:prstGeom>
                    <a:noFill/>
                    <a:ln>
                      <a:noFill/>
                    </a:ln>
                  </pic:spPr>
                </pic:pic>
              </a:graphicData>
            </a:graphic>
          </wp:inline>
        </w:drawing>
      </w:r>
    </w:p>
    <w:p w14:paraId="21C84807" w14:textId="77777777" w:rsidR="002D3B91" w:rsidRDefault="00646188" w:rsidP="002D3B91">
      <w:pPr>
        <w:rPr>
          <w:rFonts w:ascii="Times New Roman" w:hAnsi="Times New Roman" w:cs="Times New Roman"/>
          <w:smallCaps/>
          <w:sz w:val="24"/>
          <w:szCs w:val="24"/>
        </w:rPr>
      </w:pPr>
      <w:r>
        <w:rPr>
          <w:rFonts w:ascii="Times New Roman" w:hAnsi="Times New Roman" w:cs="Times New Roman"/>
          <w:b/>
          <w:smallCaps/>
          <w:sz w:val="24"/>
          <w:szCs w:val="24"/>
        </w:rPr>
        <w:t>Gráfico 13</w:t>
      </w:r>
      <w:r w:rsidR="009B0ED0" w:rsidRPr="001F6862">
        <w:rPr>
          <w:rFonts w:ascii="Times New Roman" w:hAnsi="Times New Roman" w:cs="Times New Roman"/>
          <w:smallCaps/>
          <w:sz w:val="24"/>
          <w:szCs w:val="24"/>
        </w:rPr>
        <w:t xml:space="preserve"> – </w:t>
      </w:r>
      <w:r w:rsidR="00527932">
        <w:rPr>
          <w:rFonts w:ascii="Times New Roman" w:hAnsi="Times New Roman" w:cs="Times New Roman"/>
          <w:smallCaps/>
          <w:sz w:val="24"/>
          <w:szCs w:val="24"/>
        </w:rPr>
        <w:t>Obtenção de Alvarás de Construção -O</w:t>
      </w:r>
      <w:r w:rsidR="00527932" w:rsidRPr="00885855">
        <w:rPr>
          <w:rFonts w:ascii="Times New Roman" w:hAnsi="Times New Roman" w:cs="Times New Roman"/>
          <w:smallCaps/>
          <w:sz w:val="24"/>
          <w:szCs w:val="24"/>
        </w:rPr>
        <w:t>CDE/BRICS/Brasil</w:t>
      </w:r>
    </w:p>
    <w:p w14:paraId="1B7FF9A1" w14:textId="77777777" w:rsidR="002D3B91" w:rsidRDefault="002D3B91" w:rsidP="002D3B91">
      <w:pPr>
        <w:ind w:hanging="1560"/>
        <w:jc w:val="center"/>
        <w:rPr>
          <w:rFonts w:ascii="Times New Roman" w:hAnsi="Times New Roman" w:cs="Times New Roman"/>
          <w:smallCaps/>
          <w:sz w:val="24"/>
          <w:szCs w:val="24"/>
        </w:rPr>
      </w:pPr>
      <w:r>
        <w:rPr>
          <w:rFonts w:ascii="Times New Roman" w:hAnsi="Times New Roman" w:cs="Times New Roman"/>
          <w:smallCaps/>
          <w:noProof/>
          <w:sz w:val="24"/>
          <w:szCs w:val="24"/>
          <w:lang w:eastAsia="pt-BR"/>
        </w:rPr>
        <w:drawing>
          <wp:inline distT="0" distB="0" distL="0" distR="0" wp14:anchorId="192D6B2B" wp14:editId="7E750285">
            <wp:extent cx="7230747" cy="3241963"/>
            <wp:effectExtent l="0" t="0" r="8255" b="0"/>
            <wp:docPr id="35" name="Imagem 35" descr="C:\Users\Samsung\Desktop\Trabalho\diretorio\Diretório_R\OCDE_BRICS\Obtenção_de_Construção_ocde_b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Trabalho\diretorio\Diretório_R\OCDE_BRICS\Obtenção_de_Construção_ocde_bric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41314" cy="3246701"/>
                    </a:xfrm>
                    <a:prstGeom prst="rect">
                      <a:avLst/>
                    </a:prstGeom>
                    <a:noFill/>
                    <a:ln>
                      <a:noFill/>
                    </a:ln>
                  </pic:spPr>
                </pic:pic>
              </a:graphicData>
            </a:graphic>
          </wp:inline>
        </w:drawing>
      </w:r>
    </w:p>
    <w:p w14:paraId="17985B19" w14:textId="77777777" w:rsidR="00382CF6" w:rsidRDefault="00382CF6" w:rsidP="002D3B91">
      <w:pPr>
        <w:rPr>
          <w:rFonts w:ascii="Times New Roman" w:hAnsi="Times New Roman" w:cs="Times New Roman"/>
          <w:smallCaps/>
          <w:sz w:val="24"/>
          <w:szCs w:val="24"/>
        </w:rPr>
      </w:pPr>
    </w:p>
    <w:p w14:paraId="4AEB9E1B" w14:textId="77777777" w:rsidR="00A71C90" w:rsidRDefault="00A71C90" w:rsidP="00382CF6">
      <w:pPr>
        <w:rPr>
          <w:rFonts w:ascii="Times New Roman" w:hAnsi="Times New Roman" w:cs="Times New Roman"/>
          <w:sz w:val="24"/>
          <w:szCs w:val="24"/>
        </w:rPr>
      </w:pPr>
    </w:p>
    <w:p w14:paraId="4C1D4B59" w14:textId="77777777" w:rsidR="00B8464D" w:rsidRDefault="00B8464D" w:rsidP="00382CF6">
      <w:pPr>
        <w:rPr>
          <w:rFonts w:ascii="Times New Roman" w:hAnsi="Times New Roman" w:cs="Times New Roman"/>
          <w:sz w:val="24"/>
          <w:szCs w:val="24"/>
        </w:rPr>
      </w:pPr>
    </w:p>
    <w:p w14:paraId="1AE0717F" w14:textId="77777777" w:rsidR="006A7C27" w:rsidRDefault="006A7C27" w:rsidP="00202F3F">
      <w:pPr>
        <w:jc w:val="both"/>
        <w:rPr>
          <w:rFonts w:ascii="Times New Roman" w:hAnsi="Times New Roman" w:cs="Times New Roman"/>
          <w:b/>
          <w:i/>
          <w:smallCaps/>
          <w:sz w:val="24"/>
          <w:szCs w:val="24"/>
          <w:u w:val="single"/>
        </w:rPr>
      </w:pPr>
    </w:p>
    <w:p w14:paraId="2F6ED8A6" w14:textId="77777777" w:rsidR="00A71C90" w:rsidRPr="00F17A0E" w:rsidRDefault="00976F50" w:rsidP="00F17A0E">
      <w:pPr>
        <w:pStyle w:val="PargrafodaLista"/>
        <w:numPr>
          <w:ilvl w:val="1"/>
          <w:numId w:val="4"/>
        </w:numPr>
        <w:jc w:val="both"/>
        <w:rPr>
          <w:rFonts w:ascii="Times New Roman" w:hAnsi="Times New Roman" w:cs="Times New Roman"/>
          <w:b/>
          <w:i/>
          <w:sz w:val="24"/>
          <w:szCs w:val="24"/>
          <w:u w:val="single"/>
        </w:rPr>
      </w:pPr>
      <w:r>
        <w:rPr>
          <w:rFonts w:ascii="Times New Roman" w:hAnsi="Times New Roman" w:cs="Times New Roman"/>
          <w:b/>
          <w:i/>
          <w:smallCaps/>
          <w:sz w:val="28"/>
          <w:szCs w:val="28"/>
        </w:rPr>
        <w:lastRenderedPageBreak/>
        <w:t xml:space="preserve">  Obtenção d</w:t>
      </w:r>
      <w:r w:rsidRPr="00976F50">
        <w:rPr>
          <w:rFonts w:ascii="Times New Roman" w:hAnsi="Times New Roman" w:cs="Times New Roman"/>
          <w:b/>
          <w:i/>
          <w:smallCaps/>
          <w:sz w:val="28"/>
          <w:szCs w:val="28"/>
        </w:rPr>
        <w:t>e Energia</w:t>
      </w:r>
    </w:p>
    <w:p w14:paraId="4A7A2508" w14:textId="77777777" w:rsidR="001F6862" w:rsidRDefault="00811422" w:rsidP="00811422">
      <w:pPr>
        <w:ind w:firstLine="851"/>
        <w:jc w:val="both"/>
        <w:rPr>
          <w:rFonts w:ascii="Times New Roman" w:hAnsi="Times New Roman" w:cs="Times New Roman"/>
          <w:sz w:val="24"/>
          <w:szCs w:val="24"/>
        </w:rPr>
      </w:pPr>
      <w:r>
        <w:rPr>
          <w:rFonts w:ascii="Times New Roman" w:hAnsi="Times New Roman" w:cs="Times New Roman"/>
          <w:sz w:val="24"/>
          <w:szCs w:val="24"/>
        </w:rPr>
        <w:t>Este indicador fornece a pontuação sobre os P</w:t>
      </w:r>
      <w:r w:rsidRPr="00811422">
        <w:rPr>
          <w:rFonts w:ascii="Times New Roman" w:hAnsi="Times New Roman" w:cs="Times New Roman"/>
          <w:sz w:val="24"/>
          <w:szCs w:val="24"/>
        </w:rPr>
        <w:t>rocedimentos necessários para uma empresa obter uma ligação e fornecimento permanente de energia.</w:t>
      </w:r>
      <w:r w:rsidR="00E505C6">
        <w:rPr>
          <w:rFonts w:ascii="Times New Roman" w:hAnsi="Times New Roman" w:cs="Times New Roman"/>
          <w:sz w:val="24"/>
          <w:szCs w:val="24"/>
        </w:rPr>
        <w:t xml:space="preserve"> Na definição do Relatório, o conceito de</w:t>
      </w:r>
      <w:r>
        <w:rPr>
          <w:rFonts w:ascii="Times New Roman" w:hAnsi="Times New Roman" w:cs="Times New Roman"/>
          <w:sz w:val="24"/>
          <w:szCs w:val="24"/>
        </w:rPr>
        <w:t xml:space="preserve"> procedimento</w:t>
      </w:r>
      <w:r w:rsidR="00E505C6">
        <w:rPr>
          <w:rFonts w:ascii="Times New Roman" w:hAnsi="Times New Roman" w:cs="Times New Roman"/>
          <w:sz w:val="24"/>
          <w:szCs w:val="24"/>
        </w:rPr>
        <w:t xml:space="preserve"> abrange</w:t>
      </w:r>
      <w:r>
        <w:rPr>
          <w:rFonts w:ascii="Times New Roman" w:hAnsi="Times New Roman" w:cs="Times New Roman"/>
          <w:sz w:val="24"/>
          <w:szCs w:val="24"/>
        </w:rPr>
        <w:t xml:space="preserve"> todo o processo de solicitação até o pleno o pleno uso de energia elétrica. </w:t>
      </w:r>
      <w:r w:rsidRPr="00811422">
        <w:rPr>
          <w:rFonts w:ascii="Times New Roman" w:hAnsi="Times New Roman" w:cs="Times New Roman"/>
          <w:sz w:val="24"/>
          <w:szCs w:val="24"/>
        </w:rPr>
        <w:t xml:space="preserve">  O</w:t>
      </w:r>
      <w:r w:rsidR="00122E22">
        <w:rPr>
          <w:rFonts w:ascii="Times New Roman" w:hAnsi="Times New Roman" w:cs="Times New Roman"/>
          <w:sz w:val="24"/>
          <w:szCs w:val="24"/>
        </w:rPr>
        <w:t xml:space="preserve">s parâmetros </w:t>
      </w:r>
      <w:r w:rsidR="00E505C6">
        <w:rPr>
          <w:rFonts w:ascii="Times New Roman" w:hAnsi="Times New Roman" w:cs="Times New Roman"/>
          <w:sz w:val="24"/>
          <w:szCs w:val="24"/>
        </w:rPr>
        <w:t>das questões do</w:t>
      </w:r>
      <w:r w:rsidR="00122E22">
        <w:rPr>
          <w:rFonts w:ascii="Times New Roman" w:hAnsi="Times New Roman" w:cs="Times New Roman"/>
          <w:sz w:val="24"/>
          <w:szCs w:val="24"/>
        </w:rPr>
        <w:t xml:space="preserve"> questionário são semelhantes ao de obtenção do alvará para construção, ou seja, são focados no cálculo do número de procedimentos, nos custos associados em termos de renda per capita, além de um índice da qualidade de energia e transferência das tarifas (</w:t>
      </w:r>
      <w:r w:rsidR="00122E22" w:rsidRPr="00122E22">
        <w:rPr>
          <w:rFonts w:ascii="Times New Roman" w:hAnsi="Times New Roman" w:cs="Times New Roman"/>
          <w:i/>
          <w:sz w:val="24"/>
          <w:szCs w:val="24"/>
        </w:rPr>
        <w:t>Reliability of supply and transparency of tariff index</w:t>
      </w:r>
      <w:r w:rsidR="00122E22">
        <w:rPr>
          <w:rFonts w:ascii="Times New Roman" w:hAnsi="Times New Roman" w:cs="Times New Roman"/>
          <w:sz w:val="24"/>
          <w:szCs w:val="24"/>
        </w:rPr>
        <w:t>).</w:t>
      </w:r>
    </w:p>
    <w:p w14:paraId="4AEB7DBF" w14:textId="77777777" w:rsidR="00122E22" w:rsidRDefault="00122E22" w:rsidP="00811422">
      <w:pPr>
        <w:ind w:firstLine="851"/>
        <w:jc w:val="both"/>
        <w:rPr>
          <w:rFonts w:ascii="Times New Roman" w:hAnsi="Times New Roman" w:cs="Times New Roman"/>
          <w:sz w:val="24"/>
          <w:szCs w:val="24"/>
        </w:rPr>
      </w:pPr>
      <w:r>
        <w:rPr>
          <w:rFonts w:ascii="Times New Roman" w:hAnsi="Times New Roman" w:cs="Times New Roman"/>
          <w:sz w:val="24"/>
          <w:szCs w:val="24"/>
        </w:rPr>
        <w:t>Mais uma vez, é importante destacar a mudança de metodologia feita nos relatórios entre 2015 e 2016 com a inserção do índice de qualidade de energia e transferências das tarifas</w:t>
      </w:r>
      <w:r w:rsidR="00421EB2">
        <w:rPr>
          <w:rFonts w:ascii="Times New Roman" w:hAnsi="Times New Roman" w:cs="Times New Roman"/>
          <w:sz w:val="24"/>
          <w:szCs w:val="24"/>
        </w:rPr>
        <w:t xml:space="preserve"> diminuiu a pontuação do </w:t>
      </w:r>
      <w:r w:rsidR="00097BAF">
        <w:rPr>
          <w:rFonts w:ascii="Times New Roman" w:hAnsi="Times New Roman" w:cs="Times New Roman"/>
          <w:sz w:val="24"/>
          <w:szCs w:val="24"/>
        </w:rPr>
        <w:t>Brasil</w:t>
      </w:r>
      <w:r w:rsidR="00421EB2">
        <w:rPr>
          <w:rFonts w:ascii="Times New Roman" w:hAnsi="Times New Roman" w:cs="Times New Roman"/>
          <w:sz w:val="24"/>
          <w:szCs w:val="24"/>
        </w:rPr>
        <w:t xml:space="preserve"> aumentando a distância em relação a fronteira</w:t>
      </w:r>
      <w:r>
        <w:rPr>
          <w:rFonts w:ascii="Times New Roman" w:hAnsi="Times New Roman" w:cs="Times New Roman"/>
          <w:sz w:val="24"/>
          <w:szCs w:val="24"/>
        </w:rPr>
        <w:t>.</w:t>
      </w:r>
      <w:r w:rsidR="00DC5C86">
        <w:rPr>
          <w:rFonts w:ascii="Times New Roman" w:hAnsi="Times New Roman" w:cs="Times New Roman"/>
          <w:sz w:val="24"/>
          <w:szCs w:val="24"/>
        </w:rPr>
        <w:t xml:space="preserve"> Neste sentido, o q</w:t>
      </w:r>
      <w:r w:rsidR="00E505C6">
        <w:rPr>
          <w:rFonts w:ascii="Times New Roman" w:hAnsi="Times New Roman" w:cs="Times New Roman"/>
          <w:sz w:val="24"/>
          <w:szCs w:val="24"/>
        </w:rPr>
        <w:t>ue mostrado no gráfico é que o B</w:t>
      </w:r>
      <w:r w:rsidR="00DC5C86">
        <w:rPr>
          <w:rFonts w:ascii="Times New Roman" w:hAnsi="Times New Roman" w:cs="Times New Roman"/>
          <w:sz w:val="24"/>
          <w:szCs w:val="24"/>
        </w:rPr>
        <w:t xml:space="preserve">rasil decaiu </w:t>
      </w:r>
      <w:r w:rsidR="00421EB2">
        <w:rPr>
          <w:rFonts w:ascii="Times New Roman" w:hAnsi="Times New Roman" w:cs="Times New Roman"/>
          <w:sz w:val="24"/>
          <w:szCs w:val="24"/>
        </w:rPr>
        <w:t>como um efeito deste subindicador na média da pontuação de Obtenção de energia</w:t>
      </w:r>
      <w:r w:rsidR="00DC5C86">
        <w:rPr>
          <w:rFonts w:ascii="Times New Roman" w:hAnsi="Times New Roman" w:cs="Times New Roman"/>
          <w:sz w:val="24"/>
          <w:szCs w:val="24"/>
        </w:rPr>
        <w:t>, destaca-se, portanto,</w:t>
      </w:r>
      <w:r w:rsidR="00A56A0E">
        <w:rPr>
          <w:rFonts w:ascii="Times New Roman" w:hAnsi="Times New Roman" w:cs="Times New Roman"/>
          <w:sz w:val="24"/>
          <w:szCs w:val="24"/>
        </w:rPr>
        <w:t xml:space="preserve"> </w:t>
      </w:r>
      <w:r w:rsidR="00DC5C86">
        <w:rPr>
          <w:rFonts w:ascii="Times New Roman" w:hAnsi="Times New Roman" w:cs="Times New Roman"/>
          <w:sz w:val="24"/>
          <w:szCs w:val="24"/>
        </w:rPr>
        <w:t>os custos de obtenção de energia aumentaram</w:t>
      </w:r>
      <w:r w:rsidR="00A56A0E">
        <w:rPr>
          <w:rFonts w:ascii="Times New Roman" w:hAnsi="Times New Roman" w:cs="Times New Roman"/>
          <w:sz w:val="24"/>
          <w:szCs w:val="24"/>
        </w:rPr>
        <w:t xml:space="preserve"> deste de 2016.</w:t>
      </w:r>
    </w:p>
    <w:p w14:paraId="4743DA0F" w14:textId="77777777" w:rsidR="00542C33" w:rsidRDefault="00542C33" w:rsidP="00A71C90">
      <w:pPr>
        <w:jc w:val="both"/>
        <w:rPr>
          <w:rFonts w:ascii="Times New Roman" w:hAnsi="Times New Roman" w:cs="Times New Roman"/>
          <w:b/>
          <w:smallCaps/>
          <w:sz w:val="24"/>
          <w:szCs w:val="24"/>
        </w:rPr>
      </w:pPr>
    </w:p>
    <w:p w14:paraId="11114AD8" w14:textId="77777777" w:rsidR="00A71C90" w:rsidRDefault="006A6F1A" w:rsidP="00A71C90">
      <w:pPr>
        <w:jc w:val="both"/>
        <w:rPr>
          <w:rFonts w:ascii="Times New Roman" w:hAnsi="Times New Roman" w:cs="Times New Roman"/>
          <w:smallCaps/>
          <w:sz w:val="24"/>
          <w:szCs w:val="24"/>
        </w:rPr>
      </w:pPr>
      <w:r>
        <w:rPr>
          <w:rFonts w:ascii="Times New Roman" w:hAnsi="Times New Roman" w:cs="Times New Roman"/>
          <w:b/>
          <w:smallCaps/>
          <w:sz w:val="24"/>
          <w:szCs w:val="24"/>
        </w:rPr>
        <w:t>Gráfico</w:t>
      </w:r>
      <w:r w:rsidR="00646188">
        <w:rPr>
          <w:rFonts w:ascii="Times New Roman" w:hAnsi="Times New Roman" w:cs="Times New Roman"/>
          <w:b/>
          <w:smallCaps/>
          <w:sz w:val="24"/>
          <w:szCs w:val="24"/>
        </w:rPr>
        <w:t xml:space="preserve"> 14</w:t>
      </w:r>
      <w:r w:rsidR="000F0EB7" w:rsidRPr="009B0ED0">
        <w:rPr>
          <w:rFonts w:ascii="Times New Roman" w:hAnsi="Times New Roman" w:cs="Times New Roman"/>
          <w:smallCaps/>
          <w:sz w:val="24"/>
          <w:szCs w:val="24"/>
        </w:rPr>
        <w:t xml:space="preserve"> – obtenção de energia</w:t>
      </w:r>
      <w:r w:rsidR="00122E22">
        <w:rPr>
          <w:rFonts w:ascii="Times New Roman" w:hAnsi="Times New Roman" w:cs="Times New Roman"/>
          <w:smallCaps/>
          <w:sz w:val="24"/>
          <w:szCs w:val="24"/>
        </w:rPr>
        <w:t xml:space="preserve"> – </w:t>
      </w:r>
      <w:r w:rsidR="002D3B91">
        <w:rPr>
          <w:rFonts w:ascii="Times New Roman" w:hAnsi="Times New Roman" w:cs="Times New Roman"/>
          <w:smallCaps/>
          <w:sz w:val="24"/>
          <w:szCs w:val="24"/>
        </w:rPr>
        <w:t>BRASIL</w:t>
      </w:r>
    </w:p>
    <w:p w14:paraId="5F70E854" w14:textId="77777777" w:rsidR="002D3B91" w:rsidRDefault="002D3B91" w:rsidP="00A71C90">
      <w:pPr>
        <w:jc w:val="both"/>
        <w:rPr>
          <w:rFonts w:ascii="Times New Roman" w:hAnsi="Times New Roman" w:cs="Times New Roman"/>
          <w:smallCaps/>
          <w:sz w:val="24"/>
          <w:szCs w:val="24"/>
        </w:rPr>
      </w:pPr>
      <w:r>
        <w:rPr>
          <w:rFonts w:ascii="Times New Roman" w:hAnsi="Times New Roman" w:cs="Times New Roman"/>
          <w:smallCaps/>
          <w:noProof/>
          <w:sz w:val="24"/>
          <w:szCs w:val="24"/>
          <w:lang w:eastAsia="pt-BR"/>
        </w:rPr>
        <w:drawing>
          <wp:inline distT="0" distB="0" distL="0" distR="0" wp14:anchorId="69EEA778" wp14:editId="039B89E1">
            <wp:extent cx="5400040" cy="3456026"/>
            <wp:effectExtent l="0" t="0" r="0" b="0"/>
            <wp:docPr id="37" name="Imagem 37" descr="C:\Users\Samsung\Desktop\Trabalho\diretorio\Diretório_R\INDICADORES BRASIL\Eletric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Trabalho\diretorio\Diretório_R\INDICADORES BRASIL\Eletricida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456026"/>
                    </a:xfrm>
                    <a:prstGeom prst="rect">
                      <a:avLst/>
                    </a:prstGeom>
                    <a:noFill/>
                    <a:ln>
                      <a:noFill/>
                    </a:ln>
                  </pic:spPr>
                </pic:pic>
              </a:graphicData>
            </a:graphic>
          </wp:inline>
        </w:drawing>
      </w:r>
    </w:p>
    <w:p w14:paraId="098DD0A3" w14:textId="77777777" w:rsidR="00DA1967" w:rsidRPr="00421EB2" w:rsidRDefault="00421EB2" w:rsidP="00B8464D">
      <w:pPr>
        <w:ind w:firstLine="851"/>
        <w:jc w:val="both"/>
        <w:rPr>
          <w:rFonts w:ascii="Times New Roman" w:hAnsi="Times New Roman" w:cs="Times New Roman"/>
          <w:sz w:val="24"/>
          <w:szCs w:val="24"/>
        </w:rPr>
      </w:pPr>
      <w:r>
        <w:rPr>
          <w:rFonts w:ascii="Times New Roman" w:hAnsi="Times New Roman" w:cs="Times New Roman"/>
          <w:sz w:val="24"/>
          <w:szCs w:val="24"/>
        </w:rPr>
        <w:t>Este é a</w:t>
      </w:r>
      <w:r w:rsidRPr="00421EB2">
        <w:rPr>
          <w:rFonts w:ascii="Times New Roman" w:hAnsi="Times New Roman" w:cs="Times New Roman"/>
          <w:sz w:val="24"/>
          <w:szCs w:val="24"/>
        </w:rPr>
        <w:t xml:space="preserve"> melhor pontuação entre os indicadores que compõe o indicador final de facilidade em se fazer negócios </w:t>
      </w:r>
      <w:r>
        <w:rPr>
          <w:rFonts w:ascii="Times New Roman" w:hAnsi="Times New Roman" w:cs="Times New Roman"/>
          <w:sz w:val="24"/>
          <w:szCs w:val="24"/>
        </w:rPr>
        <w:t>aos longos anos. O Brasil possui a melhor pontuação em Obtenção de Energia Elétrica até o ano de 2018 em comparação à média dos Países dos BRICS e da OCDE. Portanto, apesar do Brasil ter aumentando sua pontuação de 82,46 para 84,37. Média dos BRICS subiu de 77,18 para 85,66</w:t>
      </w:r>
      <w:r w:rsidR="00B8464D">
        <w:rPr>
          <w:rFonts w:ascii="Times New Roman" w:hAnsi="Times New Roman" w:cs="Times New Roman"/>
          <w:sz w:val="24"/>
          <w:szCs w:val="24"/>
        </w:rPr>
        <w:t>.</w:t>
      </w:r>
    </w:p>
    <w:p w14:paraId="2089A2D5" w14:textId="77777777" w:rsidR="00B8464D" w:rsidRDefault="00B8464D" w:rsidP="002D3B91">
      <w:pPr>
        <w:jc w:val="both"/>
        <w:rPr>
          <w:rFonts w:ascii="Times New Roman" w:hAnsi="Times New Roman" w:cs="Times New Roman"/>
          <w:b/>
          <w:smallCaps/>
          <w:sz w:val="24"/>
          <w:szCs w:val="24"/>
        </w:rPr>
      </w:pPr>
    </w:p>
    <w:p w14:paraId="5B387FE6" w14:textId="77777777" w:rsidR="00B8464D" w:rsidRDefault="00B8464D" w:rsidP="002D3B91">
      <w:pPr>
        <w:jc w:val="both"/>
        <w:rPr>
          <w:rFonts w:ascii="Times New Roman" w:hAnsi="Times New Roman" w:cs="Times New Roman"/>
          <w:b/>
          <w:smallCaps/>
          <w:sz w:val="24"/>
          <w:szCs w:val="24"/>
        </w:rPr>
      </w:pPr>
    </w:p>
    <w:p w14:paraId="218F6F13" w14:textId="77777777" w:rsidR="002D3B91" w:rsidRDefault="006A6F1A" w:rsidP="002D3B91">
      <w:pPr>
        <w:jc w:val="both"/>
        <w:rPr>
          <w:rFonts w:ascii="Times New Roman" w:hAnsi="Times New Roman" w:cs="Times New Roman"/>
          <w:smallCaps/>
          <w:sz w:val="24"/>
          <w:szCs w:val="24"/>
        </w:rPr>
      </w:pPr>
      <w:r>
        <w:rPr>
          <w:rFonts w:ascii="Times New Roman" w:hAnsi="Times New Roman" w:cs="Times New Roman"/>
          <w:b/>
          <w:smallCaps/>
          <w:sz w:val="24"/>
          <w:szCs w:val="24"/>
        </w:rPr>
        <w:lastRenderedPageBreak/>
        <w:t>Gráfico</w:t>
      </w:r>
      <w:r w:rsidR="00646188">
        <w:rPr>
          <w:rFonts w:ascii="Times New Roman" w:hAnsi="Times New Roman" w:cs="Times New Roman"/>
          <w:b/>
          <w:smallCaps/>
          <w:sz w:val="24"/>
          <w:szCs w:val="24"/>
        </w:rPr>
        <w:t xml:space="preserve"> 15</w:t>
      </w:r>
      <w:r w:rsidR="002D3B91" w:rsidRPr="009B0ED0">
        <w:rPr>
          <w:rFonts w:ascii="Times New Roman" w:hAnsi="Times New Roman" w:cs="Times New Roman"/>
          <w:smallCaps/>
          <w:sz w:val="24"/>
          <w:szCs w:val="24"/>
        </w:rPr>
        <w:t xml:space="preserve"> – obtenção de energia</w:t>
      </w:r>
      <w:r w:rsidR="004A27C1">
        <w:rPr>
          <w:rFonts w:ascii="Times New Roman" w:hAnsi="Times New Roman" w:cs="Times New Roman"/>
          <w:smallCaps/>
          <w:sz w:val="24"/>
          <w:szCs w:val="24"/>
        </w:rPr>
        <w:t xml:space="preserve"> –OCDE/BRICS/ Brasil</w:t>
      </w:r>
    </w:p>
    <w:p w14:paraId="16A5018C" w14:textId="77777777" w:rsidR="002D3B91" w:rsidRPr="009B0ED0" w:rsidRDefault="002D3B91" w:rsidP="002D3B91">
      <w:pPr>
        <w:ind w:hanging="1560"/>
        <w:jc w:val="center"/>
        <w:rPr>
          <w:rFonts w:ascii="Times New Roman" w:hAnsi="Times New Roman" w:cs="Times New Roman"/>
          <w:smallCaps/>
          <w:sz w:val="24"/>
          <w:szCs w:val="24"/>
        </w:rPr>
      </w:pPr>
      <w:r>
        <w:rPr>
          <w:rFonts w:ascii="Times New Roman" w:hAnsi="Times New Roman" w:cs="Times New Roman"/>
          <w:smallCaps/>
          <w:noProof/>
          <w:sz w:val="24"/>
          <w:szCs w:val="24"/>
          <w:lang w:eastAsia="pt-BR"/>
        </w:rPr>
        <w:drawing>
          <wp:inline distT="0" distB="0" distL="0" distR="0" wp14:anchorId="010523B5" wp14:editId="3D377540">
            <wp:extent cx="7310567" cy="3277751"/>
            <wp:effectExtent l="0" t="0" r="5080" b="0"/>
            <wp:docPr id="40" name="Imagem 40" descr="C:\Users\Samsung\Desktop\Trabalho\diretorio\Diretório_R\OCDE_BRICS\ele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Trabalho\diretorio\Diretório_R\OCDE_BRICS\eletri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24386" cy="3283947"/>
                    </a:xfrm>
                    <a:prstGeom prst="rect">
                      <a:avLst/>
                    </a:prstGeom>
                    <a:noFill/>
                    <a:ln>
                      <a:noFill/>
                    </a:ln>
                  </pic:spPr>
                </pic:pic>
              </a:graphicData>
            </a:graphic>
          </wp:inline>
        </w:drawing>
      </w:r>
    </w:p>
    <w:p w14:paraId="533922F0" w14:textId="77777777" w:rsidR="00A71C90" w:rsidRDefault="00A71C90" w:rsidP="00A71C90">
      <w:pPr>
        <w:jc w:val="center"/>
        <w:rPr>
          <w:rFonts w:ascii="Times New Roman" w:hAnsi="Times New Roman" w:cs="Times New Roman"/>
          <w:sz w:val="24"/>
          <w:szCs w:val="24"/>
        </w:rPr>
      </w:pPr>
    </w:p>
    <w:p w14:paraId="51FE2B2D" w14:textId="77777777" w:rsidR="00A71C90" w:rsidRPr="00976F50" w:rsidRDefault="0060690E" w:rsidP="00976F50">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t>Registro de propriedades</w:t>
      </w:r>
    </w:p>
    <w:p w14:paraId="1ECB3CF5" w14:textId="77777777" w:rsidR="0060690E" w:rsidRDefault="0060690E" w:rsidP="0060690E">
      <w:pPr>
        <w:rPr>
          <w:rFonts w:ascii="Times New Roman" w:hAnsi="Times New Roman" w:cs="Times New Roman"/>
          <w:b/>
          <w:i/>
          <w:sz w:val="28"/>
          <w:szCs w:val="28"/>
          <w:u w:val="single"/>
        </w:rPr>
      </w:pPr>
    </w:p>
    <w:p w14:paraId="75EE5426" w14:textId="77777777" w:rsidR="0060690E" w:rsidRDefault="0060690E" w:rsidP="003F5217">
      <w:pPr>
        <w:ind w:firstLine="851"/>
        <w:jc w:val="both"/>
        <w:rPr>
          <w:rFonts w:ascii="Times New Roman" w:hAnsi="Times New Roman" w:cs="Times New Roman"/>
          <w:sz w:val="24"/>
          <w:szCs w:val="24"/>
        </w:rPr>
      </w:pPr>
      <w:r>
        <w:rPr>
          <w:rFonts w:ascii="Times New Roman" w:hAnsi="Times New Roman" w:cs="Times New Roman"/>
          <w:sz w:val="24"/>
          <w:szCs w:val="24"/>
        </w:rPr>
        <w:t xml:space="preserve">Segundo o Relatório Este indicador fornece informações sobre os </w:t>
      </w:r>
      <w:r w:rsidRPr="0060690E">
        <w:rPr>
          <w:rFonts w:ascii="Times New Roman" w:hAnsi="Times New Roman" w:cs="Times New Roman"/>
          <w:sz w:val="24"/>
          <w:szCs w:val="24"/>
        </w:rPr>
        <w:t xml:space="preserve">procedimentos necessários para que uma </w:t>
      </w:r>
      <w:r w:rsidR="003F5217">
        <w:rPr>
          <w:rFonts w:ascii="Times New Roman" w:hAnsi="Times New Roman" w:cs="Times New Roman"/>
          <w:sz w:val="24"/>
          <w:szCs w:val="24"/>
        </w:rPr>
        <w:t>empresa</w:t>
      </w:r>
      <w:r w:rsidRPr="0060690E">
        <w:rPr>
          <w:rFonts w:ascii="Times New Roman" w:hAnsi="Times New Roman" w:cs="Times New Roman"/>
          <w:sz w:val="24"/>
          <w:szCs w:val="24"/>
        </w:rPr>
        <w:t xml:space="preserve"> possa adquirir uma propriedade e transferir o título de propriedade para o seu nome. São medidos o tempo e o custo para a realização de cada procedimento. O tópico do registro de propriedades do Doing Business inclui também o índice da qualidade do sistema de administração fundiária</w:t>
      </w:r>
      <w:r w:rsidR="00CA3467">
        <w:rPr>
          <w:rFonts w:ascii="Times New Roman" w:hAnsi="Times New Roman" w:cs="Times New Roman"/>
          <w:sz w:val="24"/>
          <w:szCs w:val="24"/>
        </w:rPr>
        <w:t>, incluído a partir da metodologia de 2016/2017</w:t>
      </w:r>
      <w:r w:rsidRPr="0060690E">
        <w:rPr>
          <w:rFonts w:ascii="Times New Roman" w:hAnsi="Times New Roman" w:cs="Times New Roman"/>
          <w:sz w:val="24"/>
          <w:szCs w:val="24"/>
        </w:rPr>
        <w:t>, que possui cinco dimensões: a qualidade da infraestrutura, a transparência das informações, a cobertura geográfica, a resolução de disputas fundiárias e a igualdade dos direitos de propriedade</w:t>
      </w:r>
      <w:r w:rsidR="003F5217">
        <w:rPr>
          <w:rFonts w:ascii="Times New Roman" w:hAnsi="Times New Roman" w:cs="Times New Roman"/>
          <w:sz w:val="24"/>
          <w:szCs w:val="24"/>
        </w:rPr>
        <w:t>.</w:t>
      </w:r>
    </w:p>
    <w:p w14:paraId="531F2B24" w14:textId="77777777" w:rsidR="00CA3467" w:rsidRDefault="003F5217" w:rsidP="003F5217">
      <w:pPr>
        <w:ind w:firstLine="851"/>
        <w:jc w:val="both"/>
        <w:rPr>
          <w:rFonts w:ascii="Times New Roman" w:hAnsi="Times New Roman" w:cs="Times New Roman"/>
          <w:sz w:val="24"/>
          <w:szCs w:val="24"/>
        </w:rPr>
      </w:pPr>
      <w:r w:rsidRPr="00811422">
        <w:rPr>
          <w:rFonts w:ascii="Times New Roman" w:hAnsi="Times New Roman" w:cs="Times New Roman"/>
          <w:sz w:val="24"/>
          <w:szCs w:val="24"/>
        </w:rPr>
        <w:t>O</w:t>
      </w:r>
      <w:r>
        <w:rPr>
          <w:rFonts w:ascii="Times New Roman" w:hAnsi="Times New Roman" w:cs="Times New Roman"/>
          <w:sz w:val="24"/>
          <w:szCs w:val="24"/>
        </w:rPr>
        <w:t xml:space="preserve">s parâmetros deste questionário são semelhantes aos outros, ou seja, são focados no cálculo do número de procedimentos, nos custos associados em termos de renda per capita, além de um </w:t>
      </w:r>
      <w:r w:rsidRPr="003F5217">
        <w:rPr>
          <w:rFonts w:ascii="Times New Roman" w:hAnsi="Times New Roman" w:cs="Times New Roman"/>
          <w:sz w:val="24"/>
          <w:szCs w:val="24"/>
        </w:rPr>
        <w:t>índice da qualidade do sistema de administração fundiária</w:t>
      </w:r>
      <w:r>
        <w:rPr>
          <w:rFonts w:ascii="Times New Roman" w:hAnsi="Times New Roman" w:cs="Times New Roman"/>
          <w:sz w:val="24"/>
          <w:szCs w:val="24"/>
        </w:rPr>
        <w:t xml:space="preserve"> (</w:t>
      </w:r>
      <w:r w:rsidRPr="00122E22">
        <w:rPr>
          <w:rFonts w:ascii="Times New Roman" w:hAnsi="Times New Roman" w:cs="Times New Roman"/>
          <w:i/>
          <w:sz w:val="24"/>
          <w:szCs w:val="24"/>
        </w:rPr>
        <w:t xml:space="preserve">Reliability </w:t>
      </w:r>
      <w:r>
        <w:rPr>
          <w:rFonts w:ascii="Times New Roman" w:hAnsi="Times New Roman" w:cs="Times New Roman"/>
          <w:i/>
          <w:sz w:val="24"/>
          <w:szCs w:val="24"/>
        </w:rPr>
        <w:t>of infrastruture</w:t>
      </w:r>
      <w:r w:rsidRPr="00122E22">
        <w:rPr>
          <w:rFonts w:ascii="Times New Roman" w:hAnsi="Times New Roman" w:cs="Times New Roman"/>
          <w:i/>
          <w:sz w:val="24"/>
          <w:szCs w:val="24"/>
        </w:rPr>
        <w:t xml:space="preserve"> index</w:t>
      </w:r>
      <w:r>
        <w:rPr>
          <w:rFonts w:ascii="Times New Roman" w:hAnsi="Times New Roman" w:cs="Times New Roman"/>
          <w:sz w:val="24"/>
          <w:szCs w:val="24"/>
        </w:rPr>
        <w:t>).</w:t>
      </w:r>
    </w:p>
    <w:p w14:paraId="6DC6EF4C" w14:textId="77777777" w:rsidR="00CA3467" w:rsidRDefault="00CA3467" w:rsidP="003F5217">
      <w:pPr>
        <w:ind w:firstLine="851"/>
        <w:jc w:val="both"/>
        <w:rPr>
          <w:rFonts w:ascii="Times New Roman" w:hAnsi="Times New Roman" w:cs="Times New Roman"/>
          <w:sz w:val="24"/>
          <w:szCs w:val="24"/>
        </w:rPr>
      </w:pPr>
      <w:r>
        <w:rPr>
          <w:rFonts w:ascii="Times New Roman" w:hAnsi="Times New Roman" w:cs="Times New Roman"/>
          <w:sz w:val="24"/>
          <w:szCs w:val="24"/>
        </w:rPr>
        <w:t>A pontuação brasileira neste indicador obteve uma certa estabilidade ao longo dos anos com a maior pontuação em 2013, com queda nos anos seguintes atingindo a pontuação de 51,94 em 2019. Em relação aos países que compõem os BRICS e OCDE não há uma variabilidade da diferença entre eles uma vez que estes grupos de países também tiveram na média uma estabilidade na pontuação do indicador de Registro de propriedade</w:t>
      </w:r>
    </w:p>
    <w:p w14:paraId="03D7340B" w14:textId="77777777" w:rsidR="0060690E" w:rsidRPr="0060690E" w:rsidRDefault="0060690E" w:rsidP="0060690E">
      <w:pPr>
        <w:rPr>
          <w:rFonts w:ascii="Times New Roman" w:hAnsi="Times New Roman" w:cs="Times New Roman"/>
          <w:b/>
          <w:i/>
          <w:sz w:val="28"/>
          <w:szCs w:val="28"/>
          <w:u w:val="single"/>
        </w:rPr>
      </w:pPr>
    </w:p>
    <w:p w14:paraId="71F4402B" w14:textId="77777777" w:rsidR="009B021D" w:rsidRDefault="009B021D" w:rsidP="00A71C90">
      <w:pPr>
        <w:jc w:val="both"/>
        <w:rPr>
          <w:rFonts w:ascii="Times New Roman" w:hAnsi="Times New Roman" w:cs="Times New Roman"/>
          <w:b/>
          <w:sz w:val="24"/>
          <w:szCs w:val="24"/>
        </w:rPr>
      </w:pPr>
    </w:p>
    <w:p w14:paraId="424E97F9" w14:textId="77777777" w:rsidR="00A71C90" w:rsidRPr="004A27C1" w:rsidRDefault="00A71C90" w:rsidP="00A71C90">
      <w:pPr>
        <w:jc w:val="both"/>
        <w:rPr>
          <w:rFonts w:ascii="Times New Roman" w:hAnsi="Times New Roman" w:cs="Times New Roman"/>
          <w:smallCaps/>
          <w:sz w:val="24"/>
          <w:szCs w:val="24"/>
        </w:rPr>
      </w:pPr>
      <w:r w:rsidRPr="004A27C1">
        <w:rPr>
          <w:rFonts w:ascii="Times New Roman" w:hAnsi="Times New Roman" w:cs="Times New Roman"/>
          <w:b/>
          <w:smallCaps/>
          <w:sz w:val="24"/>
          <w:szCs w:val="24"/>
        </w:rPr>
        <w:lastRenderedPageBreak/>
        <w:t>Gráfic</w:t>
      </w:r>
      <w:r w:rsidR="00646188" w:rsidRPr="004A27C1">
        <w:rPr>
          <w:rFonts w:ascii="Times New Roman" w:hAnsi="Times New Roman" w:cs="Times New Roman"/>
          <w:b/>
          <w:smallCaps/>
          <w:sz w:val="24"/>
          <w:szCs w:val="24"/>
        </w:rPr>
        <w:t>o 16</w:t>
      </w:r>
      <w:r w:rsidRPr="004A27C1">
        <w:rPr>
          <w:rFonts w:ascii="Times New Roman" w:hAnsi="Times New Roman" w:cs="Times New Roman"/>
          <w:smallCaps/>
          <w:sz w:val="24"/>
          <w:szCs w:val="24"/>
        </w:rPr>
        <w:t xml:space="preserve"> – Registro de propriedades</w:t>
      </w:r>
      <w:r w:rsidR="004A27C1" w:rsidRPr="004A27C1">
        <w:rPr>
          <w:rFonts w:ascii="Times New Roman" w:hAnsi="Times New Roman" w:cs="Times New Roman"/>
          <w:smallCaps/>
          <w:sz w:val="24"/>
          <w:szCs w:val="24"/>
        </w:rPr>
        <w:t xml:space="preserve"> - Brasil</w:t>
      </w:r>
    </w:p>
    <w:p w14:paraId="5C290A17" w14:textId="77777777" w:rsidR="002D3B91" w:rsidRDefault="002D3B91" w:rsidP="00A71C90">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1399EF52" wp14:editId="137EDE48">
            <wp:extent cx="5400040" cy="3456026"/>
            <wp:effectExtent l="0" t="0" r="0" b="0"/>
            <wp:docPr id="42" name="Imagem 42" descr="C:\Users\Samsung\Desktop\Trabalho\diretorio\Diretório_R\INDICADORES BRASIL\Registro de porprie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sung\Desktop\Trabalho\diretorio\Diretório_R\INDICADORES BRASIL\Registro de porprieda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456026"/>
                    </a:xfrm>
                    <a:prstGeom prst="rect">
                      <a:avLst/>
                    </a:prstGeom>
                    <a:noFill/>
                    <a:ln>
                      <a:noFill/>
                    </a:ln>
                  </pic:spPr>
                </pic:pic>
              </a:graphicData>
            </a:graphic>
          </wp:inline>
        </w:drawing>
      </w:r>
    </w:p>
    <w:p w14:paraId="2D74FE01" w14:textId="77777777" w:rsidR="00A71C90" w:rsidRDefault="00A71C90" w:rsidP="00A71C90">
      <w:pPr>
        <w:jc w:val="both"/>
        <w:rPr>
          <w:rFonts w:ascii="Times New Roman" w:hAnsi="Times New Roman" w:cs="Times New Roman"/>
          <w:sz w:val="24"/>
          <w:szCs w:val="24"/>
        </w:rPr>
      </w:pPr>
    </w:p>
    <w:p w14:paraId="7C414A8B" w14:textId="77777777" w:rsidR="00A71C90" w:rsidRPr="004A27C1" w:rsidRDefault="00A71C90" w:rsidP="00A71C90">
      <w:pPr>
        <w:jc w:val="center"/>
        <w:rPr>
          <w:rFonts w:ascii="Times New Roman" w:hAnsi="Times New Roman" w:cs="Times New Roman"/>
          <w:smallCaps/>
          <w:sz w:val="24"/>
          <w:szCs w:val="24"/>
        </w:rPr>
      </w:pPr>
    </w:p>
    <w:p w14:paraId="6FD5C30F" w14:textId="77777777" w:rsidR="0060690E" w:rsidRPr="004A27C1" w:rsidRDefault="00646188" w:rsidP="0060690E">
      <w:pPr>
        <w:jc w:val="both"/>
        <w:rPr>
          <w:rFonts w:ascii="Times New Roman" w:hAnsi="Times New Roman" w:cs="Times New Roman"/>
          <w:smallCaps/>
          <w:sz w:val="24"/>
          <w:szCs w:val="24"/>
        </w:rPr>
      </w:pPr>
      <w:r w:rsidRPr="004A27C1">
        <w:rPr>
          <w:rFonts w:ascii="Times New Roman" w:hAnsi="Times New Roman" w:cs="Times New Roman"/>
          <w:b/>
          <w:smallCaps/>
          <w:sz w:val="24"/>
          <w:szCs w:val="24"/>
        </w:rPr>
        <w:t>Gráfico 17</w:t>
      </w:r>
      <w:r w:rsidR="0060690E" w:rsidRPr="004A27C1">
        <w:rPr>
          <w:rFonts w:ascii="Times New Roman" w:hAnsi="Times New Roman" w:cs="Times New Roman"/>
          <w:smallCaps/>
          <w:sz w:val="24"/>
          <w:szCs w:val="24"/>
        </w:rPr>
        <w:t xml:space="preserve"> – Registro de propriedades </w:t>
      </w:r>
      <w:r w:rsidR="004A27C1" w:rsidRPr="004A27C1">
        <w:rPr>
          <w:rFonts w:ascii="Times New Roman" w:hAnsi="Times New Roman" w:cs="Times New Roman"/>
          <w:smallCaps/>
          <w:sz w:val="24"/>
          <w:szCs w:val="24"/>
        </w:rPr>
        <w:t>–</w:t>
      </w:r>
      <w:r w:rsidR="004A27C1">
        <w:rPr>
          <w:rFonts w:ascii="Times New Roman" w:hAnsi="Times New Roman" w:cs="Times New Roman"/>
          <w:smallCaps/>
          <w:sz w:val="24"/>
          <w:szCs w:val="24"/>
        </w:rPr>
        <w:t xml:space="preserve"> </w:t>
      </w:r>
      <w:r w:rsidR="004A27C1" w:rsidRPr="004A27C1">
        <w:rPr>
          <w:rFonts w:ascii="Times New Roman" w:hAnsi="Times New Roman" w:cs="Times New Roman"/>
          <w:smallCaps/>
          <w:sz w:val="24"/>
          <w:szCs w:val="24"/>
        </w:rPr>
        <w:t>OCDE</w:t>
      </w:r>
      <w:r w:rsidR="00097BAF" w:rsidRPr="004A27C1">
        <w:rPr>
          <w:rFonts w:ascii="Times New Roman" w:hAnsi="Times New Roman" w:cs="Times New Roman"/>
          <w:smallCaps/>
          <w:sz w:val="24"/>
          <w:szCs w:val="24"/>
        </w:rPr>
        <w:t>BRICS</w:t>
      </w:r>
      <w:r w:rsidR="004A27C1" w:rsidRPr="004A27C1">
        <w:rPr>
          <w:rFonts w:ascii="Times New Roman" w:hAnsi="Times New Roman" w:cs="Times New Roman"/>
          <w:smallCaps/>
          <w:sz w:val="24"/>
          <w:szCs w:val="24"/>
        </w:rPr>
        <w:t>/ Brasil</w:t>
      </w:r>
    </w:p>
    <w:p w14:paraId="76A90D5B" w14:textId="77777777" w:rsidR="0060690E" w:rsidRDefault="002D3B91" w:rsidP="002D3B91">
      <w:pPr>
        <w:ind w:hanging="1560"/>
        <w:jc w:val="both"/>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05221A32" wp14:editId="08539FD2">
            <wp:extent cx="7302530" cy="3276600"/>
            <wp:effectExtent l="0" t="0" r="0" b="0"/>
            <wp:docPr id="43" name="Imagem 43" descr="C:\Users\Samsung\Desktop\Trabalho\diretorio\Diretório_R\OCDE_BRICS\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sung\Desktop\Trabalho\diretorio\Diretório_R\OCDE_BRICS\R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06161" cy="3278229"/>
                    </a:xfrm>
                    <a:prstGeom prst="rect">
                      <a:avLst/>
                    </a:prstGeom>
                    <a:noFill/>
                    <a:ln>
                      <a:noFill/>
                    </a:ln>
                  </pic:spPr>
                </pic:pic>
              </a:graphicData>
            </a:graphic>
          </wp:inline>
        </w:drawing>
      </w:r>
    </w:p>
    <w:p w14:paraId="4E726673" w14:textId="77777777" w:rsidR="00A71C90" w:rsidRDefault="00A71C90" w:rsidP="00A71C90">
      <w:pPr>
        <w:jc w:val="both"/>
        <w:rPr>
          <w:rFonts w:ascii="Times New Roman" w:hAnsi="Times New Roman" w:cs="Times New Roman"/>
          <w:b/>
          <w:sz w:val="24"/>
          <w:szCs w:val="24"/>
        </w:rPr>
      </w:pPr>
    </w:p>
    <w:p w14:paraId="15D13680" w14:textId="77777777" w:rsidR="009E785F" w:rsidRDefault="009E785F" w:rsidP="00A71C90">
      <w:pPr>
        <w:jc w:val="both"/>
        <w:rPr>
          <w:rFonts w:ascii="Times New Roman" w:hAnsi="Times New Roman" w:cs="Times New Roman"/>
          <w:b/>
          <w:i/>
          <w:sz w:val="28"/>
          <w:szCs w:val="28"/>
          <w:u w:val="single"/>
        </w:rPr>
      </w:pPr>
    </w:p>
    <w:p w14:paraId="1624957C" w14:textId="77777777" w:rsidR="003F5217" w:rsidRPr="00976F50" w:rsidRDefault="003F5217"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lastRenderedPageBreak/>
        <w:t>Obtenção de crédito</w:t>
      </w:r>
    </w:p>
    <w:p w14:paraId="14876661" w14:textId="77777777" w:rsidR="003F5217" w:rsidRDefault="003F5217" w:rsidP="00A71C90">
      <w:pPr>
        <w:jc w:val="both"/>
        <w:rPr>
          <w:rFonts w:ascii="Times New Roman" w:hAnsi="Times New Roman" w:cs="Times New Roman"/>
          <w:sz w:val="28"/>
          <w:szCs w:val="28"/>
        </w:rPr>
      </w:pPr>
    </w:p>
    <w:p w14:paraId="296F50C9" w14:textId="77777777" w:rsidR="00DC4623" w:rsidRDefault="003F5217" w:rsidP="007B232D">
      <w:pPr>
        <w:ind w:firstLine="851"/>
        <w:jc w:val="both"/>
        <w:rPr>
          <w:rFonts w:ascii="Times New Roman" w:hAnsi="Times New Roman" w:cs="Times New Roman"/>
          <w:sz w:val="24"/>
          <w:szCs w:val="24"/>
        </w:rPr>
      </w:pPr>
      <w:r>
        <w:rPr>
          <w:rFonts w:ascii="Times New Roman" w:hAnsi="Times New Roman" w:cs="Times New Roman"/>
          <w:sz w:val="24"/>
          <w:szCs w:val="24"/>
        </w:rPr>
        <w:t xml:space="preserve">Segundo as informações metodológicas adotas pelo Banco Mundial </w:t>
      </w:r>
      <w:r w:rsidR="00DC4623">
        <w:rPr>
          <w:rFonts w:ascii="Times New Roman" w:hAnsi="Times New Roman" w:cs="Times New Roman"/>
          <w:sz w:val="24"/>
          <w:szCs w:val="24"/>
        </w:rPr>
        <w:t>este indicador é resultado de dois índices</w:t>
      </w:r>
      <w:r w:rsidR="00DC4623" w:rsidRPr="00DC4623">
        <w:rPr>
          <w:rFonts w:ascii="Times New Roman" w:hAnsi="Times New Roman" w:cs="Times New Roman"/>
          <w:sz w:val="24"/>
          <w:szCs w:val="24"/>
        </w:rPr>
        <w:t xml:space="preserve">: </w:t>
      </w:r>
    </w:p>
    <w:p w14:paraId="2E7AF5AE" w14:textId="77777777" w:rsidR="00DC4623" w:rsidRDefault="00DC4623" w:rsidP="00DC4623">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Transações e Garantias:</w:t>
      </w:r>
    </w:p>
    <w:p w14:paraId="3E2FD2B4" w14:textId="77777777" w:rsidR="00DC4623" w:rsidRPr="00DC4623" w:rsidRDefault="00DC4623" w:rsidP="00DC4623">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Disponibilidade de informações sobre crédito</w:t>
      </w:r>
    </w:p>
    <w:p w14:paraId="4BB30999" w14:textId="77777777" w:rsidR="003F5217" w:rsidRPr="003F5217" w:rsidRDefault="00DC4623" w:rsidP="007B232D">
      <w:pPr>
        <w:ind w:firstLine="851"/>
        <w:jc w:val="both"/>
        <w:rPr>
          <w:rFonts w:ascii="Times New Roman" w:hAnsi="Times New Roman" w:cs="Times New Roman"/>
          <w:sz w:val="24"/>
          <w:szCs w:val="24"/>
        </w:rPr>
      </w:pPr>
      <w:r w:rsidRPr="00DC4623">
        <w:rPr>
          <w:rFonts w:ascii="Times New Roman" w:hAnsi="Times New Roman" w:cs="Times New Roman"/>
          <w:sz w:val="24"/>
          <w:szCs w:val="24"/>
        </w:rPr>
        <w:t xml:space="preserve">O primeiro índice </w:t>
      </w:r>
      <w:r>
        <w:rPr>
          <w:rFonts w:ascii="Times New Roman" w:hAnsi="Times New Roman" w:cs="Times New Roman"/>
          <w:sz w:val="24"/>
          <w:szCs w:val="24"/>
        </w:rPr>
        <w:t>avalia em que medida</w:t>
      </w:r>
      <w:r w:rsidRPr="00DC4623">
        <w:rPr>
          <w:rFonts w:ascii="Times New Roman" w:hAnsi="Times New Roman" w:cs="Times New Roman"/>
          <w:sz w:val="24"/>
          <w:szCs w:val="24"/>
        </w:rPr>
        <w:t xml:space="preserve"> certa car</w:t>
      </w:r>
      <w:r>
        <w:rPr>
          <w:rFonts w:ascii="Times New Roman" w:hAnsi="Times New Roman" w:cs="Times New Roman"/>
          <w:sz w:val="24"/>
          <w:szCs w:val="24"/>
        </w:rPr>
        <w:t xml:space="preserve">acterísticas que </w:t>
      </w:r>
      <w:r w:rsidRPr="00DC4623">
        <w:rPr>
          <w:rFonts w:ascii="Times New Roman" w:hAnsi="Times New Roman" w:cs="Times New Roman"/>
          <w:sz w:val="24"/>
          <w:szCs w:val="24"/>
        </w:rPr>
        <w:t>facilitam os empréstimos estão presentes na legislação sobre garantias e no direito de falência. O segundo</w:t>
      </w:r>
      <w:r>
        <w:rPr>
          <w:rFonts w:ascii="Times New Roman" w:hAnsi="Times New Roman" w:cs="Times New Roman"/>
          <w:sz w:val="24"/>
          <w:szCs w:val="24"/>
        </w:rPr>
        <w:t xml:space="preserve"> mede a </w:t>
      </w:r>
      <w:r w:rsidRPr="00DC4623">
        <w:rPr>
          <w:rFonts w:ascii="Times New Roman" w:hAnsi="Times New Roman" w:cs="Times New Roman"/>
          <w:sz w:val="24"/>
          <w:szCs w:val="24"/>
        </w:rPr>
        <w:t xml:space="preserve">acessibilidade das informações de crédito disponíveis por meio de um </w:t>
      </w:r>
      <w:r w:rsidRPr="00AB72E0">
        <w:rPr>
          <w:rFonts w:ascii="Times New Roman" w:hAnsi="Times New Roman" w:cs="Times New Roman"/>
          <w:sz w:val="24"/>
          <w:szCs w:val="24"/>
        </w:rPr>
        <w:t xml:space="preserve">registro de crédito público ou de um serviço de crédito privado. A classificação das </w:t>
      </w:r>
      <w:r w:rsidRPr="00DC4623">
        <w:rPr>
          <w:rFonts w:ascii="Times New Roman" w:hAnsi="Times New Roman" w:cs="Times New Roman"/>
          <w:sz w:val="24"/>
          <w:szCs w:val="24"/>
        </w:rPr>
        <w:t xml:space="preserve">economias </w:t>
      </w:r>
      <w:r>
        <w:rPr>
          <w:rFonts w:ascii="Times New Roman" w:hAnsi="Times New Roman" w:cs="Times New Roman"/>
          <w:sz w:val="24"/>
          <w:szCs w:val="24"/>
        </w:rPr>
        <w:t>é definida</w:t>
      </w:r>
      <w:r w:rsidRPr="00DC4623">
        <w:rPr>
          <w:rFonts w:ascii="Times New Roman" w:hAnsi="Times New Roman" w:cs="Times New Roman"/>
          <w:sz w:val="24"/>
          <w:szCs w:val="24"/>
        </w:rPr>
        <w:t xml:space="preserve"> pela pontuação de cada uma</w:t>
      </w:r>
      <w:r>
        <w:rPr>
          <w:rFonts w:ascii="Times New Roman" w:hAnsi="Times New Roman" w:cs="Times New Roman"/>
          <w:sz w:val="24"/>
          <w:szCs w:val="24"/>
        </w:rPr>
        <w:t xml:space="preserve">, pontuação esta que é resultado </w:t>
      </w:r>
      <w:r w:rsidRPr="00DC4623">
        <w:rPr>
          <w:rFonts w:ascii="Times New Roman" w:hAnsi="Times New Roman" w:cs="Times New Roman"/>
          <w:sz w:val="24"/>
          <w:szCs w:val="24"/>
        </w:rPr>
        <w:t>da soma das pontuações nos índices da eficiência dos direitos legais e da profundidade das informações sobre o crédito.</w:t>
      </w:r>
    </w:p>
    <w:p w14:paraId="2E8413FD" w14:textId="77777777" w:rsidR="003F5217" w:rsidRPr="00AB72E0" w:rsidRDefault="00AB72E0" w:rsidP="008D5EE3">
      <w:pPr>
        <w:ind w:firstLine="851"/>
        <w:jc w:val="both"/>
        <w:rPr>
          <w:rFonts w:ascii="Times New Roman" w:hAnsi="Times New Roman" w:cs="Times New Roman"/>
          <w:sz w:val="24"/>
          <w:szCs w:val="24"/>
        </w:rPr>
      </w:pPr>
      <w:r w:rsidRPr="00AB72E0">
        <w:rPr>
          <w:rFonts w:ascii="Times New Roman" w:hAnsi="Times New Roman" w:cs="Times New Roman"/>
          <w:sz w:val="24"/>
          <w:szCs w:val="24"/>
        </w:rPr>
        <w:t>Neste indicado</w:t>
      </w:r>
      <w:r w:rsidR="008D5EE3">
        <w:rPr>
          <w:rFonts w:ascii="Times New Roman" w:hAnsi="Times New Roman" w:cs="Times New Roman"/>
          <w:sz w:val="24"/>
          <w:szCs w:val="24"/>
        </w:rPr>
        <w:t>r</w:t>
      </w:r>
      <w:r w:rsidRPr="00AB72E0">
        <w:rPr>
          <w:rFonts w:ascii="Times New Roman" w:hAnsi="Times New Roman" w:cs="Times New Roman"/>
          <w:sz w:val="24"/>
          <w:szCs w:val="24"/>
        </w:rPr>
        <w:t>, o Brasil vem mantendo uma estabilidad</w:t>
      </w:r>
      <w:r>
        <w:rPr>
          <w:rFonts w:ascii="Times New Roman" w:hAnsi="Times New Roman" w:cs="Times New Roman"/>
          <w:sz w:val="24"/>
          <w:szCs w:val="24"/>
        </w:rPr>
        <w:t>e em um intervalo entre 45 e 50, conforme registra o Gráfico 18 Vale ressaltar que a mudança metodológica do indicador a partir de 2014/2015 sugere uma análise prudência deste período apontado no Gráfico. Ainda assim, mesmo considerando os dados posteriores a 2014/2015 o Brasil apresenta um patamar menor do que os países que compõem os BRICS e dos países da OCDE.</w:t>
      </w:r>
      <w:r w:rsidR="008D5EE3">
        <w:rPr>
          <w:rFonts w:ascii="Times New Roman" w:hAnsi="Times New Roman" w:cs="Times New Roman"/>
          <w:sz w:val="24"/>
          <w:szCs w:val="24"/>
        </w:rPr>
        <w:t xml:space="preserve"> A título de exemplo, em 2019, no índice de eficiência de diretos legais (</w:t>
      </w:r>
      <w:r w:rsidR="008D5EE3" w:rsidRPr="008D5EE3">
        <w:rPr>
          <w:rFonts w:ascii="Times New Roman" w:hAnsi="Times New Roman" w:cs="Times New Roman"/>
          <w:i/>
          <w:sz w:val="24"/>
          <w:szCs w:val="24"/>
        </w:rPr>
        <w:t>Score-Strength of legal rights index</w:t>
      </w:r>
      <w:r w:rsidR="008D5EE3">
        <w:rPr>
          <w:rFonts w:ascii="Times New Roman" w:hAnsi="Times New Roman" w:cs="Times New Roman"/>
          <w:sz w:val="24"/>
          <w:szCs w:val="24"/>
        </w:rPr>
        <w:t xml:space="preserve">), que avalia em que a legislação protege os direitos dos mutuários e os mutantes o </w:t>
      </w:r>
      <w:r w:rsidR="00097BAF">
        <w:rPr>
          <w:rFonts w:ascii="Times New Roman" w:hAnsi="Times New Roman" w:cs="Times New Roman"/>
          <w:sz w:val="24"/>
          <w:szCs w:val="24"/>
        </w:rPr>
        <w:t>Brasil</w:t>
      </w:r>
      <w:r w:rsidR="008D5EE3">
        <w:rPr>
          <w:rFonts w:ascii="Times New Roman" w:hAnsi="Times New Roman" w:cs="Times New Roman"/>
          <w:sz w:val="24"/>
          <w:szCs w:val="24"/>
        </w:rPr>
        <w:t xml:space="preserve"> apresenta pontuação de 16,67 em 2019, já a china esta pontuação é de 33,33 e a Índia 75.</w:t>
      </w:r>
    </w:p>
    <w:p w14:paraId="1BFFAFD9" w14:textId="77777777" w:rsidR="00A71C90" w:rsidRPr="00A03DA2" w:rsidRDefault="00646188" w:rsidP="00A71C90">
      <w:pPr>
        <w:jc w:val="both"/>
        <w:rPr>
          <w:rFonts w:ascii="Times New Roman" w:hAnsi="Times New Roman" w:cs="Times New Roman"/>
          <w:smallCaps/>
          <w:sz w:val="24"/>
          <w:szCs w:val="24"/>
        </w:rPr>
      </w:pPr>
      <w:r w:rsidRPr="00A03DA2">
        <w:rPr>
          <w:rFonts w:ascii="Times New Roman" w:hAnsi="Times New Roman" w:cs="Times New Roman"/>
          <w:b/>
          <w:smallCaps/>
          <w:sz w:val="24"/>
          <w:szCs w:val="24"/>
        </w:rPr>
        <w:t>Gráfico 18</w:t>
      </w:r>
      <w:r w:rsidR="00513345" w:rsidRPr="00A03DA2">
        <w:rPr>
          <w:rFonts w:ascii="Times New Roman" w:hAnsi="Times New Roman" w:cs="Times New Roman"/>
          <w:smallCaps/>
          <w:sz w:val="24"/>
          <w:szCs w:val="24"/>
        </w:rPr>
        <w:t xml:space="preserve"> – Obtenção de C</w:t>
      </w:r>
      <w:r w:rsidR="00A71C90" w:rsidRPr="00A03DA2">
        <w:rPr>
          <w:rFonts w:ascii="Times New Roman" w:hAnsi="Times New Roman" w:cs="Times New Roman"/>
          <w:smallCaps/>
          <w:sz w:val="24"/>
          <w:szCs w:val="24"/>
        </w:rPr>
        <w:t>rédito</w:t>
      </w:r>
      <w:r w:rsidR="00A03DA2" w:rsidRPr="00A03DA2">
        <w:rPr>
          <w:rFonts w:ascii="Times New Roman" w:hAnsi="Times New Roman" w:cs="Times New Roman"/>
          <w:smallCaps/>
          <w:sz w:val="24"/>
          <w:szCs w:val="24"/>
        </w:rPr>
        <w:t xml:space="preserve"> - Brasil</w:t>
      </w:r>
    </w:p>
    <w:p w14:paraId="3B09D0A1" w14:textId="77777777" w:rsidR="002D3B91" w:rsidRDefault="002D3B91" w:rsidP="00A71C90">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0B2702D9" wp14:editId="72A50436">
            <wp:extent cx="5400040" cy="2916022"/>
            <wp:effectExtent l="0" t="0" r="0" b="0"/>
            <wp:docPr id="44" name="Imagem 44" descr="C:\Users\Samsung\Desktop\Trabalho\diretorio\Diretório_R\INDICADORES BRASIL\Obtenção de cé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sung\Desktop\Trabalho\diretorio\Diretório_R\INDICADORES BRASIL\Obtenção de cédi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16022"/>
                    </a:xfrm>
                    <a:prstGeom prst="rect">
                      <a:avLst/>
                    </a:prstGeom>
                    <a:noFill/>
                    <a:ln>
                      <a:noFill/>
                    </a:ln>
                  </pic:spPr>
                </pic:pic>
              </a:graphicData>
            </a:graphic>
          </wp:inline>
        </w:drawing>
      </w:r>
    </w:p>
    <w:p w14:paraId="02957E31" w14:textId="77777777" w:rsidR="00DC4623" w:rsidRDefault="00DC4623" w:rsidP="00A71C90">
      <w:pPr>
        <w:jc w:val="center"/>
        <w:rPr>
          <w:rFonts w:ascii="Times New Roman" w:hAnsi="Times New Roman" w:cs="Times New Roman"/>
          <w:sz w:val="24"/>
          <w:szCs w:val="24"/>
        </w:rPr>
      </w:pPr>
    </w:p>
    <w:p w14:paraId="3C16DF24" w14:textId="77777777" w:rsidR="00DC4623" w:rsidRPr="00DC4623" w:rsidRDefault="00DC4623" w:rsidP="00DC4623">
      <w:pPr>
        <w:rPr>
          <w:rFonts w:ascii="Times New Roman" w:hAnsi="Times New Roman" w:cs="Times New Roman"/>
          <w:sz w:val="24"/>
          <w:szCs w:val="24"/>
        </w:rPr>
      </w:pPr>
    </w:p>
    <w:p w14:paraId="547B2A8A" w14:textId="77777777" w:rsidR="00DC4623" w:rsidRPr="00C7661E" w:rsidRDefault="00646188" w:rsidP="00DC4623">
      <w:pPr>
        <w:jc w:val="both"/>
        <w:rPr>
          <w:rFonts w:ascii="Times New Roman" w:hAnsi="Times New Roman" w:cs="Times New Roman"/>
          <w:smallCaps/>
          <w:sz w:val="24"/>
          <w:szCs w:val="24"/>
        </w:rPr>
      </w:pPr>
      <w:r w:rsidRPr="00C7661E">
        <w:rPr>
          <w:rFonts w:ascii="Times New Roman" w:hAnsi="Times New Roman" w:cs="Times New Roman"/>
          <w:b/>
          <w:smallCaps/>
          <w:sz w:val="24"/>
          <w:szCs w:val="24"/>
        </w:rPr>
        <w:lastRenderedPageBreak/>
        <w:t>Gráfico 19</w:t>
      </w:r>
      <w:r w:rsidR="00DC4623" w:rsidRPr="00C7661E">
        <w:rPr>
          <w:rFonts w:ascii="Times New Roman" w:hAnsi="Times New Roman" w:cs="Times New Roman"/>
          <w:smallCaps/>
          <w:sz w:val="24"/>
          <w:szCs w:val="24"/>
        </w:rPr>
        <w:t xml:space="preserve"> – Obtençã</w:t>
      </w:r>
      <w:r w:rsidR="00C7661E" w:rsidRPr="00C7661E">
        <w:rPr>
          <w:rFonts w:ascii="Times New Roman" w:hAnsi="Times New Roman" w:cs="Times New Roman"/>
          <w:smallCaps/>
          <w:sz w:val="24"/>
          <w:szCs w:val="24"/>
        </w:rPr>
        <w:t>o de crédito – OCDE/BRICS/Brasil</w:t>
      </w:r>
    </w:p>
    <w:p w14:paraId="141BE566" w14:textId="77777777" w:rsidR="00DC4623" w:rsidRPr="00DC4623" w:rsidRDefault="00AD2086" w:rsidP="006A7C27">
      <w:pPr>
        <w:tabs>
          <w:tab w:val="left" w:pos="1234"/>
        </w:tabs>
        <w:ind w:hanging="1276"/>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3F9F9376" wp14:editId="67E8FBD8">
            <wp:extent cx="7033260" cy="3155782"/>
            <wp:effectExtent l="0" t="0" r="0" b="6985"/>
            <wp:docPr id="45" name="Imagem 45" descr="C:\Users\Samsung\Desktop\Trabalho\diretorio\Diretório_R\OCDE_BRICS\Obtençaão de cré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sung\Desktop\Trabalho\diretorio\Diretório_R\OCDE_BRICS\Obtençaão de crédi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32775" cy="3155564"/>
                    </a:xfrm>
                    <a:prstGeom prst="rect">
                      <a:avLst/>
                    </a:prstGeom>
                    <a:noFill/>
                    <a:ln>
                      <a:noFill/>
                    </a:ln>
                  </pic:spPr>
                </pic:pic>
              </a:graphicData>
            </a:graphic>
          </wp:inline>
        </w:drawing>
      </w:r>
    </w:p>
    <w:p w14:paraId="0D3C37CD" w14:textId="77777777" w:rsidR="00A71C90" w:rsidRDefault="00A71C90" w:rsidP="00A71C90">
      <w:pPr>
        <w:jc w:val="center"/>
        <w:rPr>
          <w:rFonts w:ascii="Times New Roman" w:hAnsi="Times New Roman" w:cs="Times New Roman"/>
          <w:sz w:val="24"/>
          <w:szCs w:val="24"/>
        </w:rPr>
      </w:pPr>
    </w:p>
    <w:p w14:paraId="5A355A5C" w14:textId="77777777" w:rsidR="007836AA" w:rsidRDefault="007836AA" w:rsidP="00A71C90">
      <w:pPr>
        <w:jc w:val="both"/>
        <w:rPr>
          <w:rFonts w:ascii="Times New Roman" w:hAnsi="Times New Roman" w:cs="Times New Roman"/>
          <w:b/>
          <w:i/>
          <w:sz w:val="28"/>
          <w:szCs w:val="28"/>
          <w:u w:val="single"/>
        </w:rPr>
      </w:pPr>
    </w:p>
    <w:p w14:paraId="4BD85FAD" w14:textId="77777777" w:rsidR="007836AA" w:rsidRDefault="007836AA" w:rsidP="00A71C90">
      <w:pPr>
        <w:jc w:val="both"/>
        <w:rPr>
          <w:rFonts w:ascii="Times New Roman" w:hAnsi="Times New Roman" w:cs="Times New Roman"/>
          <w:b/>
          <w:i/>
          <w:sz w:val="28"/>
          <w:szCs w:val="28"/>
          <w:u w:val="single"/>
        </w:rPr>
      </w:pPr>
    </w:p>
    <w:p w14:paraId="46DB4B09" w14:textId="77777777" w:rsidR="00900FE1" w:rsidRPr="00976F50" w:rsidRDefault="00900FE1"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t>Proteção de investidores minoritários</w:t>
      </w:r>
    </w:p>
    <w:p w14:paraId="65DA7448" w14:textId="77777777" w:rsidR="00900FE1" w:rsidRDefault="00EB46FC" w:rsidP="00EB46FC">
      <w:pPr>
        <w:ind w:firstLine="993"/>
        <w:jc w:val="both"/>
        <w:rPr>
          <w:rFonts w:ascii="Times New Roman" w:hAnsi="Times New Roman" w:cs="Times New Roman"/>
          <w:sz w:val="24"/>
          <w:szCs w:val="24"/>
        </w:rPr>
      </w:pPr>
      <w:r w:rsidRPr="00EB46FC">
        <w:rPr>
          <w:rFonts w:ascii="Times New Roman" w:hAnsi="Times New Roman" w:cs="Times New Roman"/>
          <w:sz w:val="24"/>
          <w:szCs w:val="24"/>
        </w:rPr>
        <w:t>Este indicador mede o grau de proteção dos investidores minoritários através de dois componentes: o primeiro analisa a proteção dos investidores minoritários em casos de conflito de interesse. O segundo componente, a respeito da governança corporativa, analisa os direitos dos acionistas</w:t>
      </w:r>
      <w:r w:rsidR="000F5283">
        <w:rPr>
          <w:rFonts w:ascii="Times New Roman" w:hAnsi="Times New Roman" w:cs="Times New Roman"/>
          <w:sz w:val="24"/>
          <w:szCs w:val="24"/>
        </w:rPr>
        <w:t>.</w:t>
      </w:r>
    </w:p>
    <w:p w14:paraId="08ABCA19" w14:textId="77777777" w:rsidR="000F5283" w:rsidRDefault="000F5283" w:rsidP="00EB46FC">
      <w:pPr>
        <w:ind w:firstLine="993"/>
        <w:jc w:val="both"/>
        <w:rPr>
          <w:rFonts w:ascii="Times New Roman" w:hAnsi="Times New Roman" w:cs="Times New Roman"/>
          <w:sz w:val="24"/>
          <w:szCs w:val="24"/>
        </w:rPr>
      </w:pPr>
      <w:r>
        <w:rPr>
          <w:rFonts w:ascii="Times New Roman" w:hAnsi="Times New Roman" w:cs="Times New Roman"/>
          <w:sz w:val="24"/>
          <w:szCs w:val="24"/>
        </w:rPr>
        <w:t xml:space="preserve">Antes de analisar os dados históricos convém ressalta que houve uma mudança de metodologia no ano de 2015 atualizado somente para o ano de 2014. Portanto, talvez por isso seja conveniente analisar a dinâmica desses dois períodos com prudência. Como pode ser visto no Gráfico 20, até antes da mudança metodológica o </w:t>
      </w:r>
      <w:r w:rsidR="00097BAF">
        <w:rPr>
          <w:rFonts w:ascii="Times New Roman" w:hAnsi="Times New Roman" w:cs="Times New Roman"/>
          <w:sz w:val="24"/>
          <w:szCs w:val="24"/>
        </w:rPr>
        <w:t>Brasil</w:t>
      </w:r>
      <w:r>
        <w:rPr>
          <w:rFonts w:ascii="Times New Roman" w:hAnsi="Times New Roman" w:cs="Times New Roman"/>
          <w:sz w:val="24"/>
          <w:szCs w:val="24"/>
        </w:rPr>
        <w:t xml:space="preserve"> apresentava a pontuação de 53,33 e se manteve sem variações de 2006 até 2013. A partir dos dados de 2014, a pontuação foi de 65 também sem variabilidad</w:t>
      </w:r>
      <w:r w:rsidR="00513345">
        <w:rPr>
          <w:rFonts w:ascii="Times New Roman" w:hAnsi="Times New Roman" w:cs="Times New Roman"/>
          <w:sz w:val="24"/>
          <w:szCs w:val="24"/>
        </w:rPr>
        <w:t>e até o último relatório de 20</w:t>
      </w:r>
      <w:r>
        <w:rPr>
          <w:rFonts w:ascii="Times New Roman" w:hAnsi="Times New Roman" w:cs="Times New Roman"/>
          <w:sz w:val="24"/>
          <w:szCs w:val="24"/>
        </w:rPr>
        <w:t>19</w:t>
      </w:r>
      <w:r w:rsidR="00513345">
        <w:rPr>
          <w:rFonts w:ascii="Times New Roman" w:hAnsi="Times New Roman" w:cs="Times New Roman"/>
          <w:sz w:val="24"/>
          <w:szCs w:val="24"/>
        </w:rPr>
        <w:t>.</w:t>
      </w:r>
    </w:p>
    <w:p w14:paraId="4174CFB0" w14:textId="77777777" w:rsidR="00513345" w:rsidRDefault="00513345" w:rsidP="00EB46FC">
      <w:pPr>
        <w:ind w:firstLine="993"/>
        <w:jc w:val="both"/>
        <w:rPr>
          <w:rFonts w:ascii="Times New Roman" w:hAnsi="Times New Roman" w:cs="Times New Roman"/>
          <w:sz w:val="24"/>
          <w:szCs w:val="24"/>
        </w:rPr>
      </w:pPr>
      <w:r>
        <w:rPr>
          <w:rFonts w:ascii="Times New Roman" w:hAnsi="Times New Roman" w:cs="Times New Roman"/>
          <w:sz w:val="24"/>
          <w:szCs w:val="24"/>
        </w:rPr>
        <w:t>Quanto à comparação aos outros países, este indicador parece ser mais homogêneo, sem grandes variabilidades entre a média dos BRICS e da OCDE em comparação com a pontuação brasileira. Mesmo assim, como mostra o Gráfico 21 ainda cabe destacar que apesar de um aumento gradual em relação a fronteira, no último relatório, a média dos BRICS superou a média dos países que participam da OCDE.</w:t>
      </w:r>
    </w:p>
    <w:p w14:paraId="39506C07" w14:textId="77777777" w:rsidR="00513345" w:rsidRDefault="00513345" w:rsidP="00EB46FC">
      <w:pPr>
        <w:ind w:firstLine="993"/>
        <w:jc w:val="both"/>
        <w:rPr>
          <w:rFonts w:ascii="Times New Roman" w:hAnsi="Times New Roman" w:cs="Times New Roman"/>
          <w:sz w:val="24"/>
          <w:szCs w:val="24"/>
        </w:rPr>
      </w:pPr>
    </w:p>
    <w:p w14:paraId="5D4D2142" w14:textId="77777777" w:rsidR="00513345" w:rsidRPr="00EB46FC" w:rsidRDefault="00513345" w:rsidP="00EB46FC">
      <w:pPr>
        <w:ind w:firstLine="993"/>
        <w:jc w:val="both"/>
        <w:rPr>
          <w:rFonts w:ascii="Times New Roman" w:hAnsi="Times New Roman" w:cs="Times New Roman"/>
          <w:sz w:val="24"/>
          <w:szCs w:val="24"/>
        </w:rPr>
      </w:pPr>
    </w:p>
    <w:p w14:paraId="7301BD36" w14:textId="77777777" w:rsidR="009E785F" w:rsidRDefault="009E785F" w:rsidP="00A71C90">
      <w:pPr>
        <w:jc w:val="both"/>
        <w:rPr>
          <w:rFonts w:ascii="Times New Roman" w:hAnsi="Times New Roman" w:cs="Times New Roman"/>
          <w:b/>
          <w:sz w:val="24"/>
          <w:szCs w:val="24"/>
        </w:rPr>
      </w:pPr>
    </w:p>
    <w:p w14:paraId="24C4B176" w14:textId="77777777" w:rsidR="00EB46FC" w:rsidRPr="00C7661E" w:rsidRDefault="00646188" w:rsidP="00A71C90">
      <w:pPr>
        <w:jc w:val="both"/>
        <w:rPr>
          <w:rFonts w:ascii="Times New Roman" w:hAnsi="Times New Roman" w:cs="Times New Roman"/>
          <w:smallCaps/>
          <w:sz w:val="24"/>
          <w:szCs w:val="24"/>
        </w:rPr>
      </w:pPr>
      <w:r w:rsidRPr="00C7661E">
        <w:rPr>
          <w:rFonts w:ascii="Times New Roman" w:hAnsi="Times New Roman" w:cs="Times New Roman"/>
          <w:b/>
          <w:smallCaps/>
          <w:sz w:val="24"/>
          <w:szCs w:val="24"/>
        </w:rPr>
        <w:lastRenderedPageBreak/>
        <w:t>Gráfico 20</w:t>
      </w:r>
      <w:r w:rsidR="00A71C90" w:rsidRPr="00C7661E">
        <w:rPr>
          <w:rFonts w:ascii="Times New Roman" w:hAnsi="Times New Roman" w:cs="Times New Roman"/>
          <w:b/>
          <w:smallCaps/>
          <w:sz w:val="24"/>
          <w:szCs w:val="24"/>
        </w:rPr>
        <w:t xml:space="preserve"> – </w:t>
      </w:r>
      <w:r w:rsidR="00A71C90" w:rsidRPr="00C7661E">
        <w:rPr>
          <w:rFonts w:ascii="Times New Roman" w:hAnsi="Times New Roman" w:cs="Times New Roman"/>
          <w:smallCaps/>
          <w:sz w:val="24"/>
          <w:szCs w:val="24"/>
        </w:rPr>
        <w:t>Proteção de investidores minoritários</w:t>
      </w:r>
      <w:r w:rsidR="00C7661E" w:rsidRPr="00C7661E">
        <w:rPr>
          <w:rFonts w:ascii="Times New Roman" w:hAnsi="Times New Roman" w:cs="Times New Roman"/>
          <w:smallCaps/>
          <w:sz w:val="24"/>
          <w:szCs w:val="24"/>
        </w:rPr>
        <w:t xml:space="preserve"> -  Brasil</w:t>
      </w:r>
    </w:p>
    <w:p w14:paraId="28D8C4A0" w14:textId="77777777" w:rsidR="00AD2086" w:rsidRPr="00527042" w:rsidRDefault="00AD2086" w:rsidP="00527042">
      <w:pPr>
        <w:jc w:val="both"/>
        <w:rPr>
          <w:rFonts w:ascii="Times New Roman" w:hAnsi="Times New Roman" w:cs="Times New Roman"/>
          <w:color w:val="FF0000"/>
          <w:sz w:val="24"/>
          <w:szCs w:val="24"/>
        </w:rPr>
      </w:pPr>
      <w:r>
        <w:rPr>
          <w:rFonts w:ascii="Times New Roman" w:hAnsi="Times New Roman" w:cs="Times New Roman"/>
          <w:noProof/>
          <w:color w:val="FF0000"/>
          <w:sz w:val="24"/>
          <w:szCs w:val="24"/>
          <w:lang w:eastAsia="pt-BR"/>
        </w:rPr>
        <w:drawing>
          <wp:inline distT="0" distB="0" distL="0" distR="0" wp14:anchorId="70126F79" wp14:editId="0E4B6547">
            <wp:extent cx="5400040" cy="3456026"/>
            <wp:effectExtent l="0" t="0" r="0" b="0"/>
            <wp:docPr id="46" name="Imagem 46" descr="C:\Users\Samsung\Desktop\Trabalho\diretorio\Diretório_R\INDICADORES BRASIL\Proteção Investidores Minoritá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msung\Desktop\Trabalho\diretorio\Diretório_R\INDICADORES BRASIL\Proteção Investidores Minoritári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456026"/>
                    </a:xfrm>
                    <a:prstGeom prst="rect">
                      <a:avLst/>
                    </a:prstGeom>
                    <a:noFill/>
                    <a:ln>
                      <a:noFill/>
                    </a:ln>
                  </pic:spPr>
                </pic:pic>
              </a:graphicData>
            </a:graphic>
          </wp:inline>
        </w:drawing>
      </w:r>
    </w:p>
    <w:p w14:paraId="1EFBEFEA" w14:textId="77777777" w:rsidR="00047ED6" w:rsidRDefault="00047ED6" w:rsidP="00E63276">
      <w:pPr>
        <w:jc w:val="both"/>
        <w:rPr>
          <w:rFonts w:ascii="Times New Roman" w:hAnsi="Times New Roman" w:cs="Times New Roman"/>
          <w:b/>
          <w:sz w:val="24"/>
          <w:szCs w:val="24"/>
        </w:rPr>
      </w:pPr>
    </w:p>
    <w:p w14:paraId="422FA9EB" w14:textId="77777777" w:rsidR="00513345" w:rsidRDefault="00513345" w:rsidP="00E63276">
      <w:pPr>
        <w:jc w:val="both"/>
        <w:rPr>
          <w:rFonts w:ascii="Times New Roman" w:hAnsi="Times New Roman" w:cs="Times New Roman"/>
          <w:b/>
          <w:sz w:val="24"/>
          <w:szCs w:val="24"/>
        </w:rPr>
      </w:pPr>
    </w:p>
    <w:p w14:paraId="399661E8" w14:textId="77777777" w:rsidR="00EA533B" w:rsidRDefault="00EA533B" w:rsidP="00E63276">
      <w:pPr>
        <w:jc w:val="both"/>
        <w:rPr>
          <w:rFonts w:ascii="Times New Roman" w:hAnsi="Times New Roman" w:cs="Times New Roman"/>
          <w:b/>
          <w:sz w:val="24"/>
          <w:szCs w:val="24"/>
        </w:rPr>
      </w:pPr>
    </w:p>
    <w:p w14:paraId="5936CA56" w14:textId="77777777" w:rsidR="00E63276" w:rsidRDefault="00646188" w:rsidP="00E63276">
      <w:pPr>
        <w:jc w:val="both"/>
        <w:rPr>
          <w:rFonts w:ascii="Times New Roman" w:hAnsi="Times New Roman" w:cs="Times New Roman"/>
          <w:sz w:val="24"/>
          <w:szCs w:val="24"/>
        </w:rPr>
      </w:pPr>
      <w:r>
        <w:rPr>
          <w:rFonts w:ascii="Times New Roman" w:hAnsi="Times New Roman" w:cs="Times New Roman"/>
          <w:b/>
          <w:sz w:val="24"/>
          <w:szCs w:val="24"/>
        </w:rPr>
        <w:t>Gráfico 21</w:t>
      </w:r>
      <w:r w:rsidR="00E63276">
        <w:rPr>
          <w:rFonts w:ascii="Times New Roman" w:hAnsi="Times New Roman" w:cs="Times New Roman"/>
          <w:b/>
          <w:sz w:val="24"/>
          <w:szCs w:val="24"/>
        </w:rPr>
        <w:t xml:space="preserve"> – </w:t>
      </w:r>
      <w:r w:rsidR="00E63276" w:rsidRPr="00A71C90">
        <w:rPr>
          <w:rFonts w:ascii="Times New Roman" w:hAnsi="Times New Roman" w:cs="Times New Roman"/>
          <w:sz w:val="24"/>
          <w:szCs w:val="24"/>
        </w:rPr>
        <w:t>Proteção de investidores minoritários</w:t>
      </w:r>
      <w:r w:rsidR="00E63276">
        <w:rPr>
          <w:rFonts w:ascii="Times New Roman" w:hAnsi="Times New Roman" w:cs="Times New Roman"/>
          <w:sz w:val="24"/>
          <w:szCs w:val="24"/>
        </w:rPr>
        <w:t xml:space="preserve"> - OCDE/BRICS/BRASIL</w:t>
      </w:r>
    </w:p>
    <w:p w14:paraId="25FD22E8" w14:textId="77777777" w:rsidR="006966AE" w:rsidRDefault="00AD2086" w:rsidP="00AD2086">
      <w:pPr>
        <w:ind w:right="-1135" w:hanging="156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7D79130E" wp14:editId="28DCFE1E">
            <wp:extent cx="6574484" cy="2949934"/>
            <wp:effectExtent l="0" t="0" r="0" b="3175"/>
            <wp:docPr id="47" name="Imagem 47" descr="C:\Users\Samsung\Desktop\Trabalho\diretorio\Diretório_R\OCDE_BRICS\Protecao_Investidores_OCDE_B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msung\Desktop\Trabalho\diretorio\Diretório_R\OCDE_BRICS\Protecao_Investidores_OCDE_BRIC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89351" cy="2956605"/>
                    </a:xfrm>
                    <a:prstGeom prst="rect">
                      <a:avLst/>
                    </a:prstGeom>
                    <a:noFill/>
                    <a:ln>
                      <a:noFill/>
                    </a:ln>
                  </pic:spPr>
                </pic:pic>
              </a:graphicData>
            </a:graphic>
          </wp:inline>
        </w:drawing>
      </w:r>
    </w:p>
    <w:p w14:paraId="7B30D3B4" w14:textId="77777777" w:rsidR="009E785F" w:rsidRDefault="009E785F" w:rsidP="00A71C90">
      <w:pPr>
        <w:jc w:val="both"/>
        <w:rPr>
          <w:rFonts w:ascii="Times New Roman" w:hAnsi="Times New Roman" w:cs="Times New Roman"/>
          <w:b/>
          <w:i/>
          <w:sz w:val="28"/>
          <w:szCs w:val="28"/>
          <w:u w:val="single"/>
        </w:rPr>
      </w:pPr>
    </w:p>
    <w:p w14:paraId="1B368DCA" w14:textId="77777777" w:rsidR="009E785F" w:rsidRDefault="009E785F" w:rsidP="00A71C90">
      <w:pPr>
        <w:jc w:val="both"/>
        <w:rPr>
          <w:rFonts w:ascii="Times New Roman" w:hAnsi="Times New Roman" w:cs="Times New Roman"/>
          <w:b/>
          <w:i/>
          <w:sz w:val="28"/>
          <w:szCs w:val="28"/>
          <w:u w:val="single"/>
        </w:rPr>
      </w:pPr>
    </w:p>
    <w:p w14:paraId="16EA395B" w14:textId="77777777" w:rsidR="00D027B9" w:rsidRPr="00976F50" w:rsidRDefault="00D218B6"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lastRenderedPageBreak/>
        <w:t>P</w:t>
      </w:r>
      <w:r w:rsidR="00D027B9" w:rsidRPr="00976F50">
        <w:rPr>
          <w:rFonts w:ascii="Times New Roman" w:hAnsi="Times New Roman" w:cs="Times New Roman"/>
          <w:b/>
          <w:i/>
          <w:smallCaps/>
          <w:sz w:val="28"/>
          <w:szCs w:val="28"/>
        </w:rPr>
        <w:t>agamento de impostos</w:t>
      </w:r>
    </w:p>
    <w:p w14:paraId="32A709AA" w14:textId="77777777" w:rsidR="00945351" w:rsidRDefault="00945351" w:rsidP="003E5C06">
      <w:pPr>
        <w:ind w:firstLine="993"/>
        <w:jc w:val="both"/>
        <w:rPr>
          <w:rFonts w:ascii="Times New Roman" w:hAnsi="Times New Roman" w:cs="Times New Roman"/>
          <w:sz w:val="24"/>
          <w:szCs w:val="24"/>
        </w:rPr>
      </w:pPr>
    </w:p>
    <w:p w14:paraId="4D2A7BAD" w14:textId="77777777" w:rsidR="003E5C06" w:rsidRDefault="003E5C06" w:rsidP="003E5C06">
      <w:pPr>
        <w:ind w:firstLine="993"/>
        <w:jc w:val="both"/>
        <w:rPr>
          <w:rFonts w:ascii="Times New Roman" w:hAnsi="Times New Roman" w:cs="Times New Roman"/>
          <w:sz w:val="24"/>
          <w:szCs w:val="24"/>
        </w:rPr>
      </w:pPr>
      <w:r w:rsidRPr="003E5C06">
        <w:rPr>
          <w:rFonts w:ascii="Times New Roman" w:hAnsi="Times New Roman" w:cs="Times New Roman"/>
          <w:sz w:val="24"/>
          <w:szCs w:val="24"/>
        </w:rPr>
        <w:t>O Doing Business registra os impostos e as contribuições obrigatórias que uma empresa de médio porte deve pagar ao longo de um ano, bem como o ônus administrativo relacionado com o pagamento de impostos e contribuições e os procedimentos pós-declaratórios (postfiling)</w:t>
      </w:r>
      <w:r>
        <w:rPr>
          <w:rStyle w:val="Refdenotaderodap"/>
          <w:rFonts w:ascii="Times New Roman" w:hAnsi="Times New Roman" w:cs="Times New Roman"/>
          <w:sz w:val="24"/>
          <w:szCs w:val="24"/>
        </w:rPr>
        <w:footnoteReference w:id="17"/>
      </w:r>
      <w:r w:rsidRPr="003E5C06">
        <w:rPr>
          <w:rFonts w:ascii="Times New Roman" w:hAnsi="Times New Roman" w:cs="Times New Roman"/>
          <w:sz w:val="24"/>
          <w:szCs w:val="24"/>
        </w:rPr>
        <w:t>.</w:t>
      </w:r>
    </w:p>
    <w:p w14:paraId="71D7692C" w14:textId="77777777" w:rsidR="00945351" w:rsidRDefault="00945351" w:rsidP="003E5C06">
      <w:pPr>
        <w:ind w:firstLine="993"/>
        <w:jc w:val="both"/>
        <w:rPr>
          <w:rFonts w:ascii="Times New Roman" w:hAnsi="Times New Roman" w:cs="Times New Roman"/>
          <w:sz w:val="24"/>
          <w:szCs w:val="24"/>
        </w:rPr>
      </w:pPr>
      <w:r>
        <w:rPr>
          <w:rFonts w:ascii="Times New Roman" w:hAnsi="Times New Roman" w:cs="Times New Roman"/>
          <w:sz w:val="24"/>
          <w:szCs w:val="24"/>
        </w:rPr>
        <w:t xml:space="preserve">Em relação ao conjunto de todos os indicadores, este é o que o Brasil está em com maior distância em relação a fronteira, ou seja, com menor pontuação e, além </w:t>
      </w:r>
      <w:r w:rsidR="00E728A2">
        <w:rPr>
          <w:rFonts w:ascii="Times New Roman" w:hAnsi="Times New Roman" w:cs="Times New Roman"/>
          <w:sz w:val="24"/>
          <w:szCs w:val="24"/>
        </w:rPr>
        <w:t>disso, é</w:t>
      </w:r>
      <w:r>
        <w:rPr>
          <w:rFonts w:ascii="Times New Roman" w:hAnsi="Times New Roman" w:cs="Times New Roman"/>
          <w:sz w:val="24"/>
          <w:szCs w:val="24"/>
        </w:rPr>
        <w:t xml:space="preserve"> um dos indicadores em que apresenta maior distância comparado à média dos países que compõem os BRICS e a OCDE.</w:t>
      </w:r>
      <w:r w:rsidR="00755794">
        <w:rPr>
          <w:rFonts w:ascii="Times New Roman" w:hAnsi="Times New Roman" w:cs="Times New Roman"/>
          <w:sz w:val="24"/>
          <w:szCs w:val="24"/>
        </w:rPr>
        <w:t xml:space="preserve"> </w:t>
      </w:r>
      <w:r w:rsidR="003A1C94">
        <w:rPr>
          <w:rFonts w:ascii="Times New Roman" w:hAnsi="Times New Roman" w:cs="Times New Roman"/>
          <w:sz w:val="24"/>
          <w:szCs w:val="24"/>
        </w:rPr>
        <w:t>Segundo A própria publicação do Banco mundial, o Brasil fez somente uma reforma que afetasse o indicador Pagamento de Impostos durante todo o período de avaliação.</w:t>
      </w:r>
    </w:p>
    <w:p w14:paraId="6FEAA834" w14:textId="77777777" w:rsidR="00D373E7" w:rsidRPr="003E5C06" w:rsidRDefault="00D373E7" w:rsidP="003E5C06">
      <w:pPr>
        <w:ind w:firstLine="993"/>
        <w:jc w:val="both"/>
        <w:rPr>
          <w:rFonts w:ascii="Times New Roman" w:hAnsi="Times New Roman" w:cs="Times New Roman"/>
          <w:sz w:val="24"/>
          <w:szCs w:val="24"/>
        </w:rPr>
      </w:pPr>
      <w:r>
        <w:rPr>
          <w:rFonts w:ascii="Times New Roman" w:hAnsi="Times New Roman" w:cs="Times New Roman"/>
          <w:sz w:val="24"/>
          <w:szCs w:val="24"/>
        </w:rPr>
        <w:t xml:space="preserve">Os subindicadores do Indicador Pagamento de Impostos ajudam entender um pouco essa distância em relação aos outros países. Em relação ao grupo </w:t>
      </w:r>
      <w:r w:rsidR="004D0D08">
        <w:rPr>
          <w:rFonts w:ascii="Times New Roman" w:hAnsi="Times New Roman" w:cs="Times New Roman"/>
          <w:sz w:val="24"/>
          <w:szCs w:val="24"/>
        </w:rPr>
        <w:t>que</w:t>
      </w:r>
      <w:r>
        <w:rPr>
          <w:rFonts w:ascii="Times New Roman" w:hAnsi="Times New Roman" w:cs="Times New Roman"/>
          <w:sz w:val="24"/>
          <w:szCs w:val="24"/>
        </w:rPr>
        <w:t xml:space="preserve"> compõe os BRI</w:t>
      </w:r>
      <w:r w:rsidR="004D0D08">
        <w:rPr>
          <w:rFonts w:ascii="Times New Roman" w:hAnsi="Times New Roman" w:cs="Times New Roman"/>
          <w:sz w:val="24"/>
          <w:szCs w:val="24"/>
        </w:rPr>
        <w:t>CS, o B</w:t>
      </w:r>
      <w:r>
        <w:rPr>
          <w:rFonts w:ascii="Times New Roman" w:hAnsi="Times New Roman" w:cs="Times New Roman"/>
          <w:sz w:val="24"/>
          <w:szCs w:val="24"/>
        </w:rPr>
        <w:t>rasil é que tem maior carga tributária total</w:t>
      </w:r>
      <w:r>
        <w:rPr>
          <w:rStyle w:val="Refdenotaderodap"/>
          <w:rFonts w:ascii="Times New Roman" w:hAnsi="Times New Roman" w:cs="Times New Roman"/>
          <w:sz w:val="24"/>
          <w:szCs w:val="24"/>
        </w:rPr>
        <w:footnoteReference w:id="18"/>
      </w:r>
      <w:r w:rsidR="004D0D08">
        <w:rPr>
          <w:rFonts w:ascii="Times New Roman" w:hAnsi="Times New Roman" w:cs="Times New Roman"/>
          <w:sz w:val="24"/>
          <w:szCs w:val="24"/>
        </w:rPr>
        <w:t xml:space="preserve"> de 65,1%. O país também que é que detém o maior tempo em horas durante o ano</w:t>
      </w:r>
      <w:r w:rsidR="004D0D08" w:rsidRPr="004D0D08">
        <w:rPr>
          <w:rFonts w:ascii="Times New Roman" w:hAnsi="Times New Roman" w:cs="Times New Roman"/>
          <w:sz w:val="24"/>
          <w:szCs w:val="24"/>
        </w:rPr>
        <w:t xml:space="preserve"> declarar e pagar </w:t>
      </w:r>
      <w:r w:rsidR="004D0D08">
        <w:rPr>
          <w:rFonts w:ascii="Times New Roman" w:hAnsi="Times New Roman" w:cs="Times New Roman"/>
          <w:sz w:val="24"/>
          <w:szCs w:val="24"/>
        </w:rPr>
        <w:t>imposto</w:t>
      </w:r>
      <w:r w:rsidR="004D0D08" w:rsidRPr="004D0D08">
        <w:rPr>
          <w:rFonts w:ascii="Times New Roman" w:hAnsi="Times New Roman" w:cs="Times New Roman"/>
          <w:sz w:val="24"/>
          <w:szCs w:val="24"/>
        </w:rPr>
        <w:t xml:space="preserve"> e </w:t>
      </w:r>
      <w:r w:rsidR="004D0D08">
        <w:rPr>
          <w:rFonts w:ascii="Times New Roman" w:hAnsi="Times New Roman" w:cs="Times New Roman"/>
          <w:sz w:val="24"/>
          <w:szCs w:val="24"/>
        </w:rPr>
        <w:t>contribuições, com 1.958 horas por ano o que é uma medida relativamente alta comparada à China que tem a duração de 142 horas; a índia com 273,5 horas; a Rússia com 168 horas, por fim, a África do Sul com 210 horas</w:t>
      </w:r>
      <w:r w:rsidR="0023239C">
        <w:rPr>
          <w:rFonts w:ascii="Times New Roman" w:hAnsi="Times New Roman" w:cs="Times New Roman"/>
          <w:sz w:val="24"/>
          <w:szCs w:val="24"/>
        </w:rPr>
        <w:t>.</w:t>
      </w:r>
    </w:p>
    <w:p w14:paraId="1843D066" w14:textId="77777777" w:rsidR="00A71C90" w:rsidRPr="00C24D7E" w:rsidRDefault="00646188" w:rsidP="00A71C90">
      <w:pPr>
        <w:jc w:val="both"/>
        <w:rPr>
          <w:rFonts w:ascii="Times New Roman" w:hAnsi="Times New Roman" w:cs="Times New Roman"/>
          <w:smallCaps/>
          <w:sz w:val="24"/>
          <w:szCs w:val="24"/>
        </w:rPr>
      </w:pPr>
      <w:r w:rsidRPr="00C24D7E">
        <w:rPr>
          <w:rFonts w:ascii="Times New Roman" w:hAnsi="Times New Roman" w:cs="Times New Roman"/>
          <w:b/>
          <w:smallCaps/>
          <w:sz w:val="24"/>
          <w:szCs w:val="24"/>
        </w:rPr>
        <w:t>Gráfico 22</w:t>
      </w:r>
      <w:r w:rsidR="00A71C90" w:rsidRPr="00C24D7E">
        <w:rPr>
          <w:rFonts w:ascii="Times New Roman" w:hAnsi="Times New Roman" w:cs="Times New Roman"/>
          <w:b/>
          <w:smallCaps/>
          <w:sz w:val="24"/>
          <w:szCs w:val="24"/>
        </w:rPr>
        <w:t xml:space="preserve"> – </w:t>
      </w:r>
      <w:r w:rsidR="00A71C90" w:rsidRPr="00C24D7E">
        <w:rPr>
          <w:rFonts w:ascii="Times New Roman" w:hAnsi="Times New Roman" w:cs="Times New Roman"/>
          <w:smallCaps/>
          <w:sz w:val="24"/>
          <w:szCs w:val="24"/>
        </w:rPr>
        <w:t>Pagamento de Imposto</w:t>
      </w:r>
      <w:r w:rsidR="00C24D7E" w:rsidRPr="00C24D7E">
        <w:rPr>
          <w:rFonts w:ascii="Times New Roman" w:hAnsi="Times New Roman" w:cs="Times New Roman"/>
          <w:smallCaps/>
          <w:sz w:val="24"/>
          <w:szCs w:val="24"/>
        </w:rPr>
        <w:t xml:space="preserve"> - Brasil</w:t>
      </w:r>
    </w:p>
    <w:p w14:paraId="7C9E961E" w14:textId="77777777" w:rsidR="00EC5C11" w:rsidRDefault="00EC5C11" w:rsidP="00A71C90">
      <w:pPr>
        <w:jc w:val="both"/>
        <w:rPr>
          <w:rFonts w:ascii="Times New Roman" w:hAnsi="Times New Roman" w:cs="Times New Roman"/>
          <w:sz w:val="24"/>
          <w:szCs w:val="24"/>
        </w:rPr>
      </w:pPr>
    </w:p>
    <w:p w14:paraId="6AF1FE86" w14:textId="77777777" w:rsidR="00EC5C11" w:rsidRDefault="00EC5C11" w:rsidP="00A71C90">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10D8C75" wp14:editId="3FD229E3">
            <wp:extent cx="4778680" cy="3088081"/>
            <wp:effectExtent l="0" t="0" r="3175" b="0"/>
            <wp:docPr id="48" name="Imagem 48" descr="C:\Users\Samsung\Desktop\Trabalho\diretorio\Diretório_R\INDICADORES BRASIL\Pagamento de Impo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sung\Desktop\Trabalho\diretorio\Diretório_R\INDICADORES BRASIL\Pagamento de Imposto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159" cy="3089683"/>
                    </a:xfrm>
                    <a:prstGeom prst="rect">
                      <a:avLst/>
                    </a:prstGeom>
                    <a:noFill/>
                    <a:ln>
                      <a:noFill/>
                    </a:ln>
                  </pic:spPr>
                </pic:pic>
              </a:graphicData>
            </a:graphic>
          </wp:inline>
        </w:drawing>
      </w:r>
    </w:p>
    <w:p w14:paraId="60BE3DCF" w14:textId="77777777" w:rsidR="00047ED6" w:rsidRDefault="00047ED6" w:rsidP="009A7C26">
      <w:pPr>
        <w:jc w:val="both"/>
        <w:rPr>
          <w:rFonts w:ascii="Times New Roman" w:hAnsi="Times New Roman" w:cs="Times New Roman"/>
          <w:b/>
          <w:sz w:val="24"/>
          <w:szCs w:val="24"/>
        </w:rPr>
      </w:pPr>
    </w:p>
    <w:p w14:paraId="7D561406" w14:textId="77777777" w:rsidR="009A7C26" w:rsidRPr="00C24D7E" w:rsidRDefault="00646188" w:rsidP="009A7C26">
      <w:pPr>
        <w:jc w:val="both"/>
        <w:rPr>
          <w:rFonts w:ascii="Times New Roman" w:hAnsi="Times New Roman" w:cs="Times New Roman"/>
          <w:smallCaps/>
          <w:sz w:val="24"/>
          <w:szCs w:val="24"/>
        </w:rPr>
      </w:pPr>
      <w:r w:rsidRPr="00C24D7E">
        <w:rPr>
          <w:rFonts w:ascii="Times New Roman" w:hAnsi="Times New Roman" w:cs="Times New Roman"/>
          <w:b/>
          <w:smallCaps/>
          <w:sz w:val="24"/>
          <w:szCs w:val="24"/>
        </w:rPr>
        <w:lastRenderedPageBreak/>
        <w:t>Gráfico 23</w:t>
      </w:r>
      <w:r w:rsidR="009A7C26" w:rsidRPr="00C24D7E">
        <w:rPr>
          <w:rFonts w:ascii="Times New Roman" w:hAnsi="Times New Roman" w:cs="Times New Roman"/>
          <w:b/>
          <w:smallCaps/>
          <w:sz w:val="24"/>
          <w:szCs w:val="24"/>
        </w:rPr>
        <w:t xml:space="preserve"> – </w:t>
      </w:r>
      <w:r w:rsidR="009A7C26" w:rsidRPr="00C24D7E">
        <w:rPr>
          <w:rFonts w:ascii="Times New Roman" w:hAnsi="Times New Roman" w:cs="Times New Roman"/>
          <w:smallCaps/>
          <w:sz w:val="24"/>
          <w:szCs w:val="24"/>
        </w:rPr>
        <w:t>Pagamento de Imposto</w:t>
      </w:r>
      <w:r w:rsidR="00C24D7E" w:rsidRPr="00C24D7E">
        <w:rPr>
          <w:rFonts w:ascii="Times New Roman" w:hAnsi="Times New Roman" w:cs="Times New Roman"/>
          <w:smallCaps/>
          <w:sz w:val="24"/>
          <w:szCs w:val="24"/>
        </w:rPr>
        <w:t xml:space="preserve"> – OCDE/BRICS/Brasil</w:t>
      </w:r>
    </w:p>
    <w:p w14:paraId="6A4B249C" w14:textId="77777777" w:rsidR="001F6862" w:rsidRDefault="00EC5C11" w:rsidP="00047ED6">
      <w:pPr>
        <w:ind w:right="-849" w:hanging="1701"/>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7C9DCAF1" wp14:editId="4C7F8BD1">
            <wp:extent cx="7086600" cy="3179715"/>
            <wp:effectExtent l="0" t="0" r="0" b="1905"/>
            <wp:docPr id="49" name="Imagem 49" descr="C:\Users\Samsung\Desktop\Trabalho\diretorio\Diretório_R\OCDE_BRICS\Pagamento de Inpo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msung\Desktop\Trabalho\diretorio\Diretório_R\OCDE_BRICS\Pagamento de Inpost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93155" cy="3182656"/>
                    </a:xfrm>
                    <a:prstGeom prst="rect">
                      <a:avLst/>
                    </a:prstGeom>
                    <a:noFill/>
                    <a:ln>
                      <a:noFill/>
                    </a:ln>
                  </pic:spPr>
                </pic:pic>
              </a:graphicData>
            </a:graphic>
          </wp:inline>
        </w:drawing>
      </w:r>
    </w:p>
    <w:p w14:paraId="5FC86D61" w14:textId="77777777" w:rsidR="00D04052" w:rsidRDefault="00D04052" w:rsidP="007B6FB4">
      <w:pPr>
        <w:jc w:val="center"/>
        <w:rPr>
          <w:rFonts w:ascii="Times New Roman" w:hAnsi="Times New Roman" w:cs="Times New Roman"/>
          <w:b/>
          <w:sz w:val="24"/>
          <w:szCs w:val="24"/>
        </w:rPr>
      </w:pPr>
    </w:p>
    <w:p w14:paraId="271913FB" w14:textId="77777777" w:rsidR="00D04052" w:rsidRDefault="00D04052" w:rsidP="00A71C90">
      <w:pPr>
        <w:jc w:val="both"/>
        <w:rPr>
          <w:rFonts w:ascii="Times New Roman" w:hAnsi="Times New Roman" w:cs="Times New Roman"/>
          <w:b/>
          <w:sz w:val="24"/>
          <w:szCs w:val="24"/>
        </w:rPr>
      </w:pPr>
    </w:p>
    <w:p w14:paraId="082053B0" w14:textId="77777777" w:rsidR="00D04052" w:rsidRDefault="00D04052" w:rsidP="00A71C90">
      <w:pPr>
        <w:jc w:val="both"/>
        <w:rPr>
          <w:rFonts w:ascii="Times New Roman" w:hAnsi="Times New Roman" w:cs="Times New Roman"/>
          <w:b/>
          <w:sz w:val="24"/>
          <w:szCs w:val="24"/>
        </w:rPr>
      </w:pPr>
    </w:p>
    <w:p w14:paraId="5B372FB2" w14:textId="77777777" w:rsidR="007910F1" w:rsidRPr="00976F50" w:rsidRDefault="007910F1"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t>Comércio entre fronteiras</w:t>
      </w:r>
    </w:p>
    <w:p w14:paraId="6F2DB8AC" w14:textId="77777777" w:rsidR="00615019" w:rsidRDefault="00615019" w:rsidP="007910F1">
      <w:pPr>
        <w:ind w:firstLine="708"/>
        <w:jc w:val="both"/>
        <w:rPr>
          <w:rFonts w:ascii="Times New Roman" w:hAnsi="Times New Roman" w:cs="Times New Roman"/>
          <w:sz w:val="24"/>
          <w:szCs w:val="24"/>
        </w:rPr>
      </w:pPr>
      <w:r w:rsidRPr="00615019">
        <w:rPr>
          <w:rFonts w:ascii="Times New Roman" w:hAnsi="Times New Roman" w:cs="Times New Roman"/>
          <w:sz w:val="24"/>
          <w:szCs w:val="24"/>
        </w:rPr>
        <w:t>O Doing Business registra o tempo e o custo associados ao processo logístico da importação e exportação de mercadorias. São medidos o tempo e o custo (excluindo-se impostos e tarifas) associados a três tipos de procedimentos – conformidade com a documentação, conformidade com as exigências na fronteira e transporte doméstico – no contexto do processo geral de exportação e importação de um carregamento de me</w:t>
      </w:r>
      <w:r w:rsidR="00F729BC">
        <w:rPr>
          <w:rFonts w:ascii="Times New Roman" w:hAnsi="Times New Roman" w:cs="Times New Roman"/>
          <w:sz w:val="24"/>
          <w:szCs w:val="24"/>
        </w:rPr>
        <w:t>rcadorias</w:t>
      </w:r>
      <w:r>
        <w:rPr>
          <w:rStyle w:val="Refdenotaderodap"/>
          <w:rFonts w:ascii="Times New Roman" w:hAnsi="Times New Roman" w:cs="Times New Roman"/>
          <w:sz w:val="24"/>
          <w:szCs w:val="24"/>
        </w:rPr>
        <w:footnoteReference w:id="19"/>
      </w:r>
      <w:r w:rsidR="00F729BC">
        <w:rPr>
          <w:rFonts w:ascii="Times New Roman" w:hAnsi="Times New Roman" w:cs="Times New Roman"/>
          <w:sz w:val="24"/>
          <w:szCs w:val="24"/>
        </w:rPr>
        <w:t>.</w:t>
      </w:r>
    </w:p>
    <w:p w14:paraId="481285BC" w14:textId="77777777" w:rsidR="008F0100" w:rsidRPr="007910F1" w:rsidRDefault="008F0100" w:rsidP="007910F1">
      <w:pPr>
        <w:ind w:firstLine="708"/>
        <w:jc w:val="both"/>
        <w:rPr>
          <w:rFonts w:ascii="Times New Roman" w:hAnsi="Times New Roman" w:cs="Times New Roman"/>
          <w:sz w:val="24"/>
          <w:szCs w:val="24"/>
        </w:rPr>
      </w:pPr>
      <w:r>
        <w:rPr>
          <w:rFonts w:ascii="Times New Roman" w:hAnsi="Times New Roman" w:cs="Times New Roman"/>
          <w:sz w:val="24"/>
          <w:szCs w:val="24"/>
        </w:rPr>
        <w:t>De fato, f</w:t>
      </w:r>
      <w:r w:rsidR="007910F1" w:rsidRPr="007910F1">
        <w:rPr>
          <w:rFonts w:ascii="Times New Roman" w:hAnsi="Times New Roman" w:cs="Times New Roman"/>
          <w:sz w:val="24"/>
          <w:szCs w:val="24"/>
        </w:rPr>
        <w:t>atore</w:t>
      </w:r>
      <w:r w:rsidR="007910F1">
        <w:rPr>
          <w:rFonts w:ascii="Times New Roman" w:hAnsi="Times New Roman" w:cs="Times New Roman"/>
          <w:sz w:val="24"/>
          <w:szCs w:val="24"/>
        </w:rPr>
        <w:t>s tanto externos e internos podem gerar melhoras no ambiente de negócios voltados ao mercado internacional. Do ponto de vista externo, a evolução da economia global tem um impacto relevante no ambiente de negócios internacionais</w:t>
      </w:r>
      <w:r w:rsidR="0023239C">
        <w:rPr>
          <w:rFonts w:ascii="Times New Roman" w:hAnsi="Times New Roman" w:cs="Times New Roman"/>
          <w:sz w:val="24"/>
          <w:szCs w:val="24"/>
        </w:rPr>
        <w:t xml:space="preserve">, </w:t>
      </w:r>
      <w:r w:rsidR="007910F1">
        <w:rPr>
          <w:rFonts w:ascii="Times New Roman" w:hAnsi="Times New Roman" w:cs="Times New Roman"/>
          <w:sz w:val="24"/>
          <w:szCs w:val="24"/>
        </w:rPr>
        <w:t xml:space="preserve">uma vez que estimula tanto às empresas quanto o setor público a se adequarem </w:t>
      </w:r>
      <w:r w:rsidR="00482A10">
        <w:rPr>
          <w:rFonts w:ascii="Times New Roman" w:hAnsi="Times New Roman" w:cs="Times New Roman"/>
          <w:sz w:val="24"/>
          <w:szCs w:val="24"/>
        </w:rPr>
        <w:t>para se incorporar em um contexto econômico cada vez mais global.</w:t>
      </w:r>
      <w:r w:rsidR="00757AC4">
        <w:rPr>
          <w:rFonts w:ascii="Times New Roman" w:hAnsi="Times New Roman" w:cs="Times New Roman"/>
          <w:sz w:val="24"/>
          <w:szCs w:val="24"/>
        </w:rPr>
        <w:t xml:space="preserve"> Ainda é um aárea que necessita de grandes avanços, contudo d</w:t>
      </w:r>
      <w:r w:rsidR="002B0AEA">
        <w:rPr>
          <w:rFonts w:ascii="Times New Roman" w:hAnsi="Times New Roman" w:cs="Times New Roman"/>
          <w:sz w:val="24"/>
          <w:szCs w:val="24"/>
        </w:rPr>
        <w:t>esde 2</w:t>
      </w:r>
      <w:r w:rsidR="00AA6403">
        <w:rPr>
          <w:rFonts w:ascii="Times New Roman" w:hAnsi="Times New Roman" w:cs="Times New Roman"/>
          <w:sz w:val="24"/>
          <w:szCs w:val="24"/>
        </w:rPr>
        <w:t>015</w:t>
      </w:r>
      <w:r w:rsidR="00AA6403">
        <w:rPr>
          <w:rStyle w:val="Refdenotaderodap"/>
          <w:rFonts w:ascii="Times New Roman" w:hAnsi="Times New Roman" w:cs="Times New Roman"/>
          <w:sz w:val="24"/>
          <w:szCs w:val="24"/>
        </w:rPr>
        <w:footnoteReference w:id="20"/>
      </w:r>
      <w:r w:rsidR="00AA6403">
        <w:rPr>
          <w:rFonts w:ascii="Times New Roman" w:hAnsi="Times New Roman" w:cs="Times New Roman"/>
          <w:sz w:val="24"/>
          <w:szCs w:val="24"/>
        </w:rPr>
        <w:t>, o B</w:t>
      </w:r>
      <w:r w:rsidR="002B0AEA">
        <w:rPr>
          <w:rFonts w:ascii="Times New Roman" w:hAnsi="Times New Roman" w:cs="Times New Roman"/>
          <w:sz w:val="24"/>
          <w:szCs w:val="24"/>
        </w:rPr>
        <w:t>rasil vem numa melhora gradual no indicador no Comercio entre fronteira. Em termos relativos o Brasil também vem crescendo em relação aos BRICS e OCDE</w:t>
      </w:r>
    </w:p>
    <w:p w14:paraId="09A162D4" w14:textId="77777777" w:rsidR="009E785F" w:rsidRDefault="009E785F" w:rsidP="00A71C90">
      <w:pPr>
        <w:jc w:val="both"/>
        <w:rPr>
          <w:rFonts w:ascii="Times New Roman" w:hAnsi="Times New Roman" w:cs="Times New Roman"/>
          <w:b/>
          <w:sz w:val="24"/>
          <w:szCs w:val="24"/>
        </w:rPr>
      </w:pPr>
    </w:p>
    <w:p w14:paraId="0F591737" w14:textId="77777777" w:rsidR="009E785F" w:rsidRDefault="009E785F" w:rsidP="00A71C90">
      <w:pPr>
        <w:jc w:val="both"/>
        <w:rPr>
          <w:rFonts w:ascii="Times New Roman" w:hAnsi="Times New Roman" w:cs="Times New Roman"/>
          <w:b/>
          <w:sz w:val="24"/>
          <w:szCs w:val="24"/>
        </w:rPr>
      </w:pPr>
    </w:p>
    <w:p w14:paraId="67DC554C" w14:textId="77777777" w:rsidR="00A71C90" w:rsidRDefault="00646188" w:rsidP="00A71C90">
      <w:pPr>
        <w:jc w:val="both"/>
        <w:rPr>
          <w:rFonts w:ascii="Times New Roman" w:hAnsi="Times New Roman" w:cs="Times New Roman"/>
          <w:smallCaps/>
          <w:sz w:val="24"/>
          <w:szCs w:val="24"/>
        </w:rPr>
      </w:pPr>
      <w:r w:rsidRPr="00C24D7E">
        <w:rPr>
          <w:rFonts w:ascii="Times New Roman" w:hAnsi="Times New Roman" w:cs="Times New Roman"/>
          <w:b/>
          <w:smallCaps/>
          <w:sz w:val="24"/>
          <w:szCs w:val="24"/>
        </w:rPr>
        <w:lastRenderedPageBreak/>
        <w:t>Gráfico 24</w:t>
      </w:r>
      <w:r w:rsidR="00A71C90" w:rsidRPr="00C24D7E">
        <w:rPr>
          <w:rFonts w:ascii="Times New Roman" w:hAnsi="Times New Roman" w:cs="Times New Roman"/>
          <w:b/>
          <w:smallCaps/>
          <w:sz w:val="24"/>
          <w:szCs w:val="24"/>
        </w:rPr>
        <w:t xml:space="preserve"> -  </w:t>
      </w:r>
      <w:r w:rsidR="00A71C90" w:rsidRPr="00C24D7E">
        <w:rPr>
          <w:rFonts w:ascii="Times New Roman" w:hAnsi="Times New Roman" w:cs="Times New Roman"/>
          <w:smallCaps/>
          <w:sz w:val="24"/>
          <w:szCs w:val="24"/>
        </w:rPr>
        <w:t>Comércio entre fronteias</w:t>
      </w:r>
      <w:r w:rsidR="00F729BC" w:rsidRPr="00C24D7E">
        <w:rPr>
          <w:rFonts w:ascii="Times New Roman" w:hAnsi="Times New Roman" w:cs="Times New Roman"/>
          <w:smallCaps/>
          <w:sz w:val="24"/>
          <w:szCs w:val="24"/>
        </w:rPr>
        <w:t xml:space="preserve"> -  Brasil</w:t>
      </w:r>
    </w:p>
    <w:p w14:paraId="0AC126EB" w14:textId="77777777" w:rsidR="00C24D7E" w:rsidRPr="00C24D7E" w:rsidRDefault="00C24D7E" w:rsidP="00A71C90">
      <w:pPr>
        <w:jc w:val="both"/>
        <w:rPr>
          <w:rFonts w:ascii="Times New Roman" w:hAnsi="Times New Roman" w:cs="Times New Roman"/>
          <w:smallCaps/>
          <w:sz w:val="24"/>
          <w:szCs w:val="24"/>
        </w:rPr>
      </w:pPr>
    </w:p>
    <w:p w14:paraId="2EFEC4D6" w14:textId="77777777" w:rsidR="007C2CB1" w:rsidRDefault="007C2CB1" w:rsidP="00A71C90">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423ABF6" wp14:editId="7788F0CD">
            <wp:extent cx="5400040" cy="3136550"/>
            <wp:effectExtent l="0" t="0" r="0" b="6985"/>
            <wp:docPr id="51" name="Imagem 51" descr="C:\Users\Samsung\Desktop\Trabalho\diretorio\Diretório_R\INDICADORES BRASIL\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msung\Desktop\Trabalho\diretorio\Diretório_R\INDICADORES BRASIL\Rplot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136550"/>
                    </a:xfrm>
                    <a:prstGeom prst="rect">
                      <a:avLst/>
                    </a:prstGeom>
                    <a:noFill/>
                    <a:ln>
                      <a:noFill/>
                    </a:ln>
                  </pic:spPr>
                </pic:pic>
              </a:graphicData>
            </a:graphic>
          </wp:inline>
        </w:drawing>
      </w:r>
    </w:p>
    <w:p w14:paraId="7ED219CF" w14:textId="77777777" w:rsidR="00047ED6" w:rsidRDefault="00047ED6" w:rsidP="00D04052">
      <w:pPr>
        <w:jc w:val="both"/>
        <w:rPr>
          <w:rFonts w:ascii="Times New Roman" w:hAnsi="Times New Roman" w:cs="Times New Roman"/>
          <w:b/>
          <w:sz w:val="24"/>
          <w:szCs w:val="24"/>
        </w:rPr>
      </w:pPr>
    </w:p>
    <w:p w14:paraId="5D3512C2" w14:textId="77777777" w:rsidR="00047ED6" w:rsidRDefault="00047ED6" w:rsidP="00D04052">
      <w:pPr>
        <w:jc w:val="both"/>
        <w:rPr>
          <w:rFonts w:ascii="Times New Roman" w:hAnsi="Times New Roman" w:cs="Times New Roman"/>
          <w:b/>
          <w:sz w:val="24"/>
          <w:szCs w:val="24"/>
        </w:rPr>
      </w:pPr>
    </w:p>
    <w:p w14:paraId="581D805B" w14:textId="77777777" w:rsidR="00D04052" w:rsidRPr="00C24D7E" w:rsidRDefault="00646188" w:rsidP="00D04052">
      <w:pPr>
        <w:jc w:val="both"/>
        <w:rPr>
          <w:rFonts w:ascii="Times New Roman" w:hAnsi="Times New Roman" w:cs="Times New Roman"/>
          <w:smallCaps/>
          <w:sz w:val="24"/>
          <w:szCs w:val="24"/>
        </w:rPr>
      </w:pPr>
      <w:r w:rsidRPr="00C24D7E">
        <w:rPr>
          <w:rFonts w:ascii="Times New Roman" w:hAnsi="Times New Roman" w:cs="Times New Roman"/>
          <w:b/>
          <w:smallCaps/>
          <w:sz w:val="24"/>
          <w:szCs w:val="24"/>
        </w:rPr>
        <w:t>Gráfico 25</w:t>
      </w:r>
      <w:r w:rsidR="00D04052" w:rsidRPr="00C24D7E">
        <w:rPr>
          <w:rFonts w:ascii="Times New Roman" w:hAnsi="Times New Roman" w:cs="Times New Roman"/>
          <w:b/>
          <w:smallCaps/>
          <w:sz w:val="24"/>
          <w:szCs w:val="24"/>
        </w:rPr>
        <w:t xml:space="preserve"> -  </w:t>
      </w:r>
      <w:r w:rsidR="00D04052" w:rsidRPr="00C24D7E">
        <w:rPr>
          <w:rFonts w:ascii="Times New Roman" w:hAnsi="Times New Roman" w:cs="Times New Roman"/>
          <w:smallCaps/>
          <w:sz w:val="24"/>
          <w:szCs w:val="24"/>
        </w:rPr>
        <w:t>Comércio entre fronteias</w:t>
      </w:r>
      <w:r w:rsidR="00C24D7E">
        <w:rPr>
          <w:rFonts w:ascii="Times New Roman" w:hAnsi="Times New Roman" w:cs="Times New Roman"/>
          <w:smallCaps/>
          <w:sz w:val="24"/>
          <w:szCs w:val="24"/>
        </w:rPr>
        <w:t xml:space="preserve"> -  OCDE/BRICS/Brasil</w:t>
      </w:r>
    </w:p>
    <w:p w14:paraId="7ED201C4" w14:textId="77777777" w:rsidR="007C2CB1" w:rsidRDefault="007C2CB1" w:rsidP="00D04052">
      <w:pPr>
        <w:jc w:val="both"/>
        <w:rPr>
          <w:rFonts w:ascii="Times New Roman" w:hAnsi="Times New Roman" w:cs="Times New Roman"/>
          <w:sz w:val="24"/>
          <w:szCs w:val="24"/>
        </w:rPr>
      </w:pPr>
    </w:p>
    <w:p w14:paraId="599AACD2" w14:textId="77777777" w:rsidR="007C2CB1" w:rsidRDefault="007C2CB1" w:rsidP="007C2CB1">
      <w:pPr>
        <w:ind w:hanging="1418"/>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B8AF304" wp14:editId="7C99B4BE">
            <wp:extent cx="7296150" cy="3273739"/>
            <wp:effectExtent l="0" t="0" r="0" b="3175"/>
            <wp:docPr id="52" name="Imagem 52" descr="C:\Users\Samsung\Desktop\Trabalho\diretorio\Diretório_R\OCDE_BRICS\Comércio Entre frontei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msung\Desktop\Trabalho\diretorio\Diretório_R\OCDE_BRICS\Comércio Entre fronteira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299583" cy="3275279"/>
                    </a:xfrm>
                    <a:prstGeom prst="rect">
                      <a:avLst/>
                    </a:prstGeom>
                    <a:noFill/>
                    <a:ln>
                      <a:noFill/>
                    </a:ln>
                  </pic:spPr>
                </pic:pic>
              </a:graphicData>
            </a:graphic>
          </wp:inline>
        </w:drawing>
      </w:r>
    </w:p>
    <w:p w14:paraId="1DE4CE6E" w14:textId="77777777" w:rsidR="00D04052" w:rsidRDefault="00D04052" w:rsidP="00D04052">
      <w:pPr>
        <w:jc w:val="center"/>
        <w:rPr>
          <w:rFonts w:ascii="Times New Roman" w:hAnsi="Times New Roman" w:cs="Times New Roman"/>
          <w:b/>
          <w:sz w:val="24"/>
          <w:szCs w:val="24"/>
        </w:rPr>
      </w:pPr>
    </w:p>
    <w:p w14:paraId="6DD01924" w14:textId="77777777" w:rsidR="00D04052" w:rsidRDefault="00D04052" w:rsidP="00A71C90">
      <w:pPr>
        <w:jc w:val="both"/>
        <w:rPr>
          <w:rFonts w:ascii="Times New Roman" w:hAnsi="Times New Roman" w:cs="Times New Roman"/>
          <w:b/>
          <w:sz w:val="24"/>
          <w:szCs w:val="24"/>
        </w:rPr>
      </w:pPr>
    </w:p>
    <w:p w14:paraId="63616958" w14:textId="77777777" w:rsidR="00F729BC" w:rsidRPr="00976F50" w:rsidRDefault="009E785F"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lastRenderedPageBreak/>
        <w:t>E</w:t>
      </w:r>
      <w:r w:rsidR="00F729BC" w:rsidRPr="00976F50">
        <w:rPr>
          <w:rFonts w:ascii="Times New Roman" w:hAnsi="Times New Roman" w:cs="Times New Roman"/>
          <w:b/>
          <w:i/>
          <w:smallCaps/>
          <w:sz w:val="28"/>
          <w:szCs w:val="28"/>
        </w:rPr>
        <w:t>xecução de contratos</w:t>
      </w:r>
    </w:p>
    <w:p w14:paraId="2B134B22" w14:textId="77777777" w:rsidR="006A2BA5" w:rsidRDefault="003E5B03" w:rsidP="00DF1336">
      <w:pPr>
        <w:ind w:firstLine="851"/>
        <w:jc w:val="both"/>
        <w:rPr>
          <w:rFonts w:ascii="Times New Roman" w:hAnsi="Times New Roman" w:cs="Times New Roman"/>
          <w:sz w:val="24"/>
          <w:szCs w:val="24"/>
        </w:rPr>
      </w:pPr>
      <w:r w:rsidRPr="006A2BA5">
        <w:rPr>
          <w:rFonts w:ascii="Times New Roman" w:hAnsi="Times New Roman" w:cs="Times New Roman"/>
          <w:sz w:val="24"/>
          <w:szCs w:val="24"/>
        </w:rPr>
        <w:t>Este indicador afere</w:t>
      </w:r>
      <w:r w:rsidR="00F729BC" w:rsidRPr="006A2BA5">
        <w:rPr>
          <w:rFonts w:ascii="Times New Roman" w:hAnsi="Times New Roman" w:cs="Times New Roman"/>
          <w:sz w:val="24"/>
          <w:szCs w:val="24"/>
        </w:rPr>
        <w:t xml:space="preserve"> o tempo e o custo para a resolução de disputas comerciais através de um tribunal de primeira instância local, bem como a qualidade dos processos judiciais, determinando se uma economia adota uma série de boas práticas de forma a promover a qualidade e eficiência do sistema judicial. </w:t>
      </w:r>
    </w:p>
    <w:p w14:paraId="1E361BFD" w14:textId="77777777" w:rsidR="00DF1336" w:rsidRPr="006A2BA5" w:rsidRDefault="00F729BC" w:rsidP="00DF1336">
      <w:pPr>
        <w:ind w:firstLine="851"/>
        <w:jc w:val="both"/>
        <w:rPr>
          <w:rFonts w:ascii="Times New Roman" w:hAnsi="Times New Roman" w:cs="Times New Roman"/>
          <w:b/>
          <w:sz w:val="24"/>
          <w:szCs w:val="24"/>
        </w:rPr>
      </w:pPr>
      <w:r w:rsidRPr="006A2BA5">
        <w:rPr>
          <w:rFonts w:ascii="Times New Roman" w:hAnsi="Times New Roman" w:cs="Times New Roman"/>
          <w:sz w:val="24"/>
          <w:szCs w:val="24"/>
        </w:rPr>
        <w:t>Os dados são obtidos através do estudo dos códigos de processo civil e de outros regulamentos judiciais, bem como através de questionários preenchidos por juízes e advogados especializados no tema.</w:t>
      </w:r>
      <w:r w:rsidR="006A2BA5" w:rsidRPr="006A2BA5">
        <w:rPr>
          <w:rFonts w:ascii="Times New Roman" w:hAnsi="Times New Roman" w:cs="Times New Roman"/>
          <w:sz w:val="24"/>
          <w:szCs w:val="24"/>
        </w:rPr>
        <w:t xml:space="preserve"> Vale ressaltar que houve uma mudança tecnológica até</w:t>
      </w:r>
      <w:r w:rsidR="006A2BA5">
        <w:rPr>
          <w:rFonts w:ascii="Times New Roman" w:hAnsi="Times New Roman" w:cs="Times New Roman"/>
          <w:sz w:val="24"/>
          <w:szCs w:val="24"/>
        </w:rPr>
        <w:t xml:space="preserve"> a partir de 2016 atualizado somente para 2015 o que sugere uma cautela nas análises dos dados históricos apresentados no Gráfico 26 e o Gráfico 27.</w:t>
      </w:r>
    </w:p>
    <w:p w14:paraId="1CDC7B13" w14:textId="77777777" w:rsidR="00DF1336" w:rsidRPr="00C24D7E" w:rsidRDefault="00646188" w:rsidP="00DF1336">
      <w:pPr>
        <w:ind w:firstLine="851"/>
        <w:jc w:val="both"/>
        <w:rPr>
          <w:rFonts w:ascii="Times New Roman" w:hAnsi="Times New Roman" w:cs="Times New Roman"/>
          <w:smallCaps/>
          <w:sz w:val="24"/>
          <w:szCs w:val="24"/>
        </w:rPr>
      </w:pPr>
      <w:r w:rsidRPr="00C24D7E">
        <w:rPr>
          <w:rFonts w:ascii="Times New Roman" w:hAnsi="Times New Roman" w:cs="Times New Roman"/>
          <w:b/>
          <w:smallCaps/>
          <w:sz w:val="24"/>
          <w:szCs w:val="24"/>
        </w:rPr>
        <w:t>Gráfico 26</w:t>
      </w:r>
      <w:r w:rsidR="00DF1336" w:rsidRPr="00C24D7E">
        <w:rPr>
          <w:rFonts w:ascii="Times New Roman" w:hAnsi="Times New Roman" w:cs="Times New Roman"/>
          <w:b/>
          <w:smallCaps/>
          <w:sz w:val="24"/>
          <w:szCs w:val="24"/>
        </w:rPr>
        <w:t xml:space="preserve"> – </w:t>
      </w:r>
      <w:r w:rsidR="00DF1336" w:rsidRPr="00C24D7E">
        <w:rPr>
          <w:rFonts w:ascii="Times New Roman" w:hAnsi="Times New Roman" w:cs="Times New Roman"/>
          <w:smallCaps/>
          <w:sz w:val="24"/>
          <w:szCs w:val="24"/>
        </w:rPr>
        <w:t>Execuções de Contratos - Brasil</w:t>
      </w:r>
    </w:p>
    <w:p w14:paraId="516A4A4A" w14:textId="77777777" w:rsidR="00DF1336" w:rsidRDefault="007C2CB1" w:rsidP="007C2CB1">
      <w:pPr>
        <w:ind w:hanging="426"/>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14:anchorId="2FB7EA7D" wp14:editId="3DAB94DA">
            <wp:extent cx="4667535" cy="2993447"/>
            <wp:effectExtent l="0" t="0" r="0" b="0"/>
            <wp:docPr id="53" name="Imagem 53" descr="C:\Users\Samsung\Desktop\Trabalho\diretorio\Diretório_R\INDICADORES BRASIL\Execução de Contr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msung\Desktop\Trabalho\diretorio\Diretório_R\INDICADORES BRASIL\Execução de Contrato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535" cy="2993447"/>
                    </a:xfrm>
                    <a:prstGeom prst="rect">
                      <a:avLst/>
                    </a:prstGeom>
                    <a:noFill/>
                    <a:ln>
                      <a:noFill/>
                    </a:ln>
                  </pic:spPr>
                </pic:pic>
              </a:graphicData>
            </a:graphic>
          </wp:inline>
        </w:drawing>
      </w:r>
    </w:p>
    <w:p w14:paraId="75B0D02C" w14:textId="77777777" w:rsidR="007C2CB1" w:rsidRPr="00C24D7E" w:rsidRDefault="00DF1336" w:rsidP="00DF1336">
      <w:pPr>
        <w:ind w:firstLine="851"/>
        <w:jc w:val="both"/>
        <w:rPr>
          <w:rFonts w:ascii="Times New Roman" w:hAnsi="Times New Roman" w:cs="Times New Roman"/>
          <w:smallCaps/>
          <w:sz w:val="24"/>
          <w:szCs w:val="24"/>
        </w:rPr>
      </w:pPr>
      <w:r w:rsidRPr="00C24D7E">
        <w:rPr>
          <w:rFonts w:ascii="Times New Roman" w:hAnsi="Times New Roman" w:cs="Times New Roman"/>
          <w:b/>
          <w:smallCaps/>
          <w:sz w:val="24"/>
          <w:szCs w:val="24"/>
        </w:rPr>
        <w:t xml:space="preserve">Gráfico </w:t>
      </w:r>
      <w:r w:rsidR="00646188" w:rsidRPr="00C24D7E">
        <w:rPr>
          <w:rFonts w:ascii="Times New Roman" w:hAnsi="Times New Roman" w:cs="Times New Roman"/>
          <w:b/>
          <w:smallCaps/>
          <w:sz w:val="24"/>
          <w:szCs w:val="24"/>
        </w:rPr>
        <w:t>27</w:t>
      </w:r>
      <w:r w:rsidRPr="00C24D7E">
        <w:rPr>
          <w:rFonts w:ascii="Times New Roman" w:hAnsi="Times New Roman" w:cs="Times New Roman"/>
          <w:b/>
          <w:smallCaps/>
          <w:sz w:val="24"/>
          <w:szCs w:val="24"/>
        </w:rPr>
        <w:t xml:space="preserve"> – </w:t>
      </w:r>
      <w:r w:rsidRPr="00C24D7E">
        <w:rPr>
          <w:rFonts w:ascii="Times New Roman" w:hAnsi="Times New Roman" w:cs="Times New Roman"/>
          <w:smallCaps/>
          <w:sz w:val="24"/>
          <w:szCs w:val="24"/>
        </w:rPr>
        <w:t xml:space="preserve">Execuções de Contratos </w:t>
      </w:r>
      <w:r w:rsidR="007C2CB1" w:rsidRPr="00C24D7E">
        <w:rPr>
          <w:rFonts w:ascii="Times New Roman" w:hAnsi="Times New Roman" w:cs="Times New Roman"/>
          <w:smallCaps/>
          <w:sz w:val="24"/>
          <w:szCs w:val="24"/>
        </w:rPr>
        <w:t>–</w:t>
      </w:r>
      <w:r w:rsidR="00C24D7E" w:rsidRPr="00C24D7E">
        <w:rPr>
          <w:rFonts w:ascii="Times New Roman" w:hAnsi="Times New Roman" w:cs="Times New Roman"/>
          <w:smallCaps/>
          <w:sz w:val="24"/>
          <w:szCs w:val="24"/>
        </w:rPr>
        <w:t>OCDE/BRICS/Brasil</w:t>
      </w:r>
    </w:p>
    <w:p w14:paraId="1B2F1947" w14:textId="77777777" w:rsidR="007C2CB1" w:rsidRPr="00DF1336" w:rsidRDefault="007C2CB1" w:rsidP="006A2BA5">
      <w:pPr>
        <w:ind w:hanging="709"/>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7A7A480F" wp14:editId="402B519F">
            <wp:extent cx="6530454" cy="2930178"/>
            <wp:effectExtent l="0" t="0" r="3810" b="3810"/>
            <wp:docPr id="54" name="Imagem 54" descr="C:\Users\Samsung\Desktop\Trabalho\diretorio\Diretório_R\OCDE_BRICS\Execução de contr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msung\Desktop\Trabalho\diretorio\Diretório_R\OCDE_BRICS\Execução de contrato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84661" cy="2954500"/>
                    </a:xfrm>
                    <a:prstGeom prst="rect">
                      <a:avLst/>
                    </a:prstGeom>
                    <a:noFill/>
                    <a:ln>
                      <a:noFill/>
                    </a:ln>
                  </pic:spPr>
                </pic:pic>
              </a:graphicData>
            </a:graphic>
          </wp:inline>
        </w:drawing>
      </w:r>
    </w:p>
    <w:p w14:paraId="78E984D8" w14:textId="77777777" w:rsidR="001F6862" w:rsidRPr="00976F50" w:rsidRDefault="00C92609" w:rsidP="00F17A0E">
      <w:pPr>
        <w:pStyle w:val="PargrafodaLista"/>
        <w:numPr>
          <w:ilvl w:val="1"/>
          <w:numId w:val="4"/>
        </w:numPr>
        <w:jc w:val="both"/>
        <w:rPr>
          <w:rFonts w:ascii="Times New Roman" w:hAnsi="Times New Roman" w:cs="Times New Roman"/>
          <w:b/>
          <w:i/>
          <w:smallCaps/>
          <w:sz w:val="28"/>
          <w:szCs w:val="28"/>
        </w:rPr>
      </w:pPr>
      <w:r w:rsidRPr="00976F50">
        <w:rPr>
          <w:rFonts w:ascii="Times New Roman" w:hAnsi="Times New Roman" w:cs="Times New Roman"/>
          <w:b/>
          <w:i/>
          <w:smallCaps/>
          <w:sz w:val="28"/>
          <w:szCs w:val="28"/>
        </w:rPr>
        <w:lastRenderedPageBreak/>
        <w:t>R</w:t>
      </w:r>
      <w:r w:rsidR="00D04052" w:rsidRPr="00976F50">
        <w:rPr>
          <w:rFonts w:ascii="Times New Roman" w:hAnsi="Times New Roman" w:cs="Times New Roman"/>
          <w:b/>
          <w:i/>
          <w:smallCaps/>
          <w:sz w:val="28"/>
          <w:szCs w:val="28"/>
        </w:rPr>
        <w:t>esolução de insolvência</w:t>
      </w:r>
    </w:p>
    <w:p w14:paraId="319A3A52" w14:textId="77777777" w:rsidR="00D04052" w:rsidRPr="00DF1336" w:rsidRDefault="004D677F" w:rsidP="00DF1336">
      <w:pPr>
        <w:ind w:firstLine="851"/>
        <w:jc w:val="both"/>
        <w:rPr>
          <w:rFonts w:ascii="Times New Roman" w:hAnsi="Times New Roman" w:cs="Times New Roman"/>
          <w:sz w:val="24"/>
          <w:szCs w:val="24"/>
        </w:rPr>
      </w:pPr>
      <w:r>
        <w:rPr>
          <w:rFonts w:ascii="Times New Roman" w:hAnsi="Times New Roman" w:cs="Times New Roman"/>
          <w:sz w:val="24"/>
          <w:szCs w:val="24"/>
        </w:rPr>
        <w:t>Neste indicador é analisado</w:t>
      </w:r>
      <w:r w:rsidR="00DF1336" w:rsidRPr="00DF1336">
        <w:rPr>
          <w:rFonts w:ascii="Times New Roman" w:hAnsi="Times New Roman" w:cs="Times New Roman"/>
          <w:sz w:val="24"/>
          <w:szCs w:val="24"/>
        </w:rPr>
        <w:t xml:space="preserve"> a duração, o custo e os resultados dos procedimentos de insolvência envolvendo as empresas nacionais, assim como a robustez do regime jurídico aplicável aos processos de liquidação e reorganização de empresas. Os dados são provenientes das respostas à pesquisa fornecidas por especialistas em insolvência e verificados através de um estudo das leis e normas vigentes, bem como de informações públicas sobre regimes de falência</w:t>
      </w:r>
      <w:r w:rsidR="00912955">
        <w:rPr>
          <w:rStyle w:val="Refdenotaderodap"/>
          <w:rFonts w:ascii="Times New Roman" w:hAnsi="Times New Roman" w:cs="Times New Roman"/>
          <w:sz w:val="24"/>
          <w:szCs w:val="24"/>
        </w:rPr>
        <w:footnoteReference w:id="21"/>
      </w:r>
      <w:r w:rsidR="00DF1336" w:rsidRPr="00DF1336">
        <w:rPr>
          <w:rFonts w:ascii="Times New Roman" w:hAnsi="Times New Roman" w:cs="Times New Roman"/>
          <w:sz w:val="24"/>
          <w:szCs w:val="24"/>
        </w:rPr>
        <w:t>.</w:t>
      </w:r>
      <w:r w:rsidR="006A6F1A">
        <w:rPr>
          <w:rFonts w:ascii="Times New Roman" w:hAnsi="Times New Roman" w:cs="Times New Roman"/>
          <w:sz w:val="24"/>
          <w:szCs w:val="24"/>
        </w:rPr>
        <w:t xml:space="preserve"> Oportuno observar que a partir de 2015 houve mudança de metodologia com dados atualizados somente para 2014, ou seja, a prudência permite analisar as informações com a perspectiva de mudança metodológica.</w:t>
      </w:r>
    </w:p>
    <w:p w14:paraId="04BC2C57" w14:textId="77777777" w:rsidR="00A71C90" w:rsidRPr="00706FB8" w:rsidRDefault="00D757AA" w:rsidP="00A71C90">
      <w:pPr>
        <w:jc w:val="both"/>
        <w:rPr>
          <w:rFonts w:ascii="Times New Roman" w:hAnsi="Times New Roman" w:cs="Times New Roman"/>
          <w:smallCaps/>
          <w:sz w:val="24"/>
          <w:szCs w:val="24"/>
        </w:rPr>
      </w:pPr>
      <w:r w:rsidRPr="00706FB8">
        <w:rPr>
          <w:rFonts w:ascii="Times New Roman" w:hAnsi="Times New Roman" w:cs="Times New Roman"/>
          <w:b/>
          <w:smallCaps/>
          <w:sz w:val="24"/>
          <w:szCs w:val="24"/>
        </w:rPr>
        <w:t>Gráf</w:t>
      </w:r>
      <w:r w:rsidR="00646188" w:rsidRPr="00706FB8">
        <w:rPr>
          <w:rFonts w:ascii="Times New Roman" w:hAnsi="Times New Roman" w:cs="Times New Roman"/>
          <w:b/>
          <w:smallCaps/>
          <w:sz w:val="24"/>
          <w:szCs w:val="24"/>
        </w:rPr>
        <w:t>ico 28</w:t>
      </w:r>
      <w:r w:rsidR="00A71C90" w:rsidRPr="00706FB8">
        <w:rPr>
          <w:rFonts w:ascii="Times New Roman" w:hAnsi="Times New Roman" w:cs="Times New Roman"/>
          <w:b/>
          <w:smallCaps/>
          <w:sz w:val="24"/>
          <w:szCs w:val="24"/>
        </w:rPr>
        <w:t xml:space="preserve"> – </w:t>
      </w:r>
      <w:r w:rsidR="00A71C90" w:rsidRPr="00706FB8">
        <w:rPr>
          <w:rFonts w:ascii="Times New Roman" w:hAnsi="Times New Roman" w:cs="Times New Roman"/>
          <w:smallCaps/>
          <w:sz w:val="24"/>
          <w:szCs w:val="24"/>
        </w:rPr>
        <w:t>Resolução</w:t>
      </w:r>
      <w:r w:rsidR="00D6656B">
        <w:rPr>
          <w:rFonts w:ascii="Times New Roman" w:hAnsi="Times New Roman" w:cs="Times New Roman"/>
          <w:smallCaps/>
          <w:sz w:val="24"/>
          <w:szCs w:val="24"/>
        </w:rPr>
        <w:t xml:space="preserve"> de I</w:t>
      </w:r>
      <w:r w:rsidR="00A71C90" w:rsidRPr="00706FB8">
        <w:rPr>
          <w:rFonts w:ascii="Times New Roman" w:hAnsi="Times New Roman" w:cs="Times New Roman"/>
          <w:smallCaps/>
          <w:sz w:val="24"/>
          <w:szCs w:val="24"/>
        </w:rPr>
        <w:t>nsolvência</w:t>
      </w:r>
      <w:r w:rsidR="00706FB8">
        <w:rPr>
          <w:rFonts w:ascii="Times New Roman" w:hAnsi="Times New Roman" w:cs="Times New Roman"/>
          <w:smallCaps/>
          <w:sz w:val="24"/>
          <w:szCs w:val="24"/>
        </w:rPr>
        <w:t xml:space="preserve"> -  Brasil</w:t>
      </w:r>
    </w:p>
    <w:p w14:paraId="41FDC332" w14:textId="77777777" w:rsidR="007C2CB1" w:rsidRDefault="007C2CB1" w:rsidP="00A71C90">
      <w:pPr>
        <w:jc w:val="both"/>
        <w:rPr>
          <w:rFonts w:ascii="Times New Roman" w:hAnsi="Times New Roman" w:cs="Times New Roman"/>
          <w:sz w:val="24"/>
          <w:szCs w:val="24"/>
        </w:rPr>
      </w:pPr>
    </w:p>
    <w:p w14:paraId="3F363AD8" w14:textId="77777777" w:rsidR="007C2CB1" w:rsidRDefault="007C2CB1" w:rsidP="00A71C90">
      <w:pPr>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8E7296F" wp14:editId="372D7E03">
            <wp:extent cx="4715302" cy="3017793"/>
            <wp:effectExtent l="0" t="0" r="9525" b="0"/>
            <wp:docPr id="55" name="Imagem 55" descr="C:\Users\Samsung\Desktop\Trabalho\diretorio\Diretório_R\INDICADORES BRASIL\Resolução de Insolv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amsung\Desktop\Trabalho\diretorio\Diretório_R\INDICADORES BRASIL\Resolução de Insolvênci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9149" cy="3020255"/>
                    </a:xfrm>
                    <a:prstGeom prst="rect">
                      <a:avLst/>
                    </a:prstGeom>
                    <a:noFill/>
                    <a:ln>
                      <a:noFill/>
                    </a:ln>
                  </pic:spPr>
                </pic:pic>
              </a:graphicData>
            </a:graphic>
          </wp:inline>
        </w:drawing>
      </w:r>
    </w:p>
    <w:p w14:paraId="1E7C369B" w14:textId="77777777" w:rsidR="001A75E7" w:rsidRPr="00706FB8" w:rsidRDefault="00646188" w:rsidP="001A75E7">
      <w:pPr>
        <w:jc w:val="both"/>
        <w:rPr>
          <w:rFonts w:ascii="Times New Roman" w:hAnsi="Times New Roman" w:cs="Times New Roman"/>
          <w:smallCaps/>
          <w:sz w:val="24"/>
          <w:szCs w:val="24"/>
        </w:rPr>
      </w:pPr>
      <w:r w:rsidRPr="00706FB8">
        <w:rPr>
          <w:rFonts w:ascii="Times New Roman" w:hAnsi="Times New Roman" w:cs="Times New Roman"/>
          <w:b/>
          <w:smallCaps/>
          <w:sz w:val="24"/>
          <w:szCs w:val="24"/>
        </w:rPr>
        <w:t>Gráfico 29</w:t>
      </w:r>
      <w:r w:rsidR="001A75E7" w:rsidRPr="00706FB8">
        <w:rPr>
          <w:rFonts w:ascii="Times New Roman" w:hAnsi="Times New Roman" w:cs="Times New Roman"/>
          <w:b/>
          <w:smallCaps/>
          <w:sz w:val="24"/>
          <w:szCs w:val="24"/>
        </w:rPr>
        <w:t xml:space="preserve"> – </w:t>
      </w:r>
      <w:r w:rsidR="00D6656B">
        <w:rPr>
          <w:rFonts w:ascii="Times New Roman" w:hAnsi="Times New Roman" w:cs="Times New Roman"/>
          <w:smallCaps/>
          <w:sz w:val="24"/>
          <w:szCs w:val="24"/>
        </w:rPr>
        <w:t>Resolução de I</w:t>
      </w:r>
      <w:r w:rsidR="001A75E7" w:rsidRPr="00706FB8">
        <w:rPr>
          <w:rFonts w:ascii="Times New Roman" w:hAnsi="Times New Roman" w:cs="Times New Roman"/>
          <w:smallCaps/>
          <w:sz w:val="24"/>
          <w:szCs w:val="24"/>
        </w:rPr>
        <w:t>nsolvência</w:t>
      </w:r>
      <w:r w:rsidR="00706FB8">
        <w:rPr>
          <w:rFonts w:ascii="Times New Roman" w:hAnsi="Times New Roman" w:cs="Times New Roman"/>
          <w:smallCaps/>
          <w:sz w:val="24"/>
          <w:szCs w:val="24"/>
        </w:rPr>
        <w:t xml:space="preserve"> -  OCDE/BRICS/Brasil</w:t>
      </w:r>
    </w:p>
    <w:p w14:paraId="1E478C63" w14:textId="77777777" w:rsidR="007C2CB1" w:rsidRDefault="007C2CB1" w:rsidP="006A6F1A">
      <w:pPr>
        <w:ind w:hanging="1134"/>
        <w:jc w:val="right"/>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67480823" wp14:editId="516D18C1">
            <wp:extent cx="5311035" cy="2380602"/>
            <wp:effectExtent l="0" t="0" r="4445" b="1270"/>
            <wp:docPr id="56" name="Imagem 56" descr="C:\Users\Samsung\Desktop\Trabalho\diretorio\Diretório_R\OCDE_BRICS\Resolução de insolv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amsung\Desktop\Trabalho\diretorio\Diretório_R\OCDE_BRICS\Resolução de insolvênci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44586" cy="2395641"/>
                    </a:xfrm>
                    <a:prstGeom prst="rect">
                      <a:avLst/>
                    </a:prstGeom>
                    <a:noFill/>
                    <a:ln>
                      <a:noFill/>
                    </a:ln>
                  </pic:spPr>
                </pic:pic>
              </a:graphicData>
            </a:graphic>
          </wp:inline>
        </w:drawing>
      </w:r>
    </w:p>
    <w:p w14:paraId="39E16EA8" w14:textId="77777777" w:rsidR="00171465" w:rsidRPr="00D6656B" w:rsidRDefault="00171465" w:rsidP="00F17A0E">
      <w:pPr>
        <w:pStyle w:val="PargrafodaLista"/>
        <w:numPr>
          <w:ilvl w:val="0"/>
          <w:numId w:val="4"/>
        </w:numPr>
        <w:jc w:val="both"/>
        <w:rPr>
          <w:rFonts w:ascii="Times New Roman" w:hAnsi="Times New Roman" w:cs="Times New Roman"/>
          <w:b/>
          <w:smallCaps/>
          <w:sz w:val="24"/>
          <w:szCs w:val="24"/>
        </w:rPr>
      </w:pPr>
      <w:r w:rsidRPr="00D6656B">
        <w:rPr>
          <w:rFonts w:ascii="Times New Roman" w:hAnsi="Times New Roman" w:cs="Times New Roman"/>
          <w:b/>
          <w:smallCaps/>
          <w:sz w:val="24"/>
          <w:szCs w:val="24"/>
        </w:rPr>
        <w:lastRenderedPageBreak/>
        <w:t>Reformas e a Medida Provisória  n° 881</w:t>
      </w:r>
    </w:p>
    <w:p w14:paraId="185F01D1"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Ao longo das últimas décadas, ocorreu o aumento de</w:t>
      </w:r>
      <w:r w:rsidRPr="00000C18">
        <w:rPr>
          <w:rFonts w:ascii="Times New Roman" w:hAnsi="Times New Roman" w:cs="Times New Roman"/>
          <w:sz w:val="24"/>
          <w:szCs w:val="24"/>
        </w:rPr>
        <w:t xml:space="preserve"> reformas regulatórias </w:t>
      </w:r>
      <w:r>
        <w:rPr>
          <w:rFonts w:ascii="Times New Roman" w:hAnsi="Times New Roman" w:cs="Times New Roman"/>
          <w:sz w:val="24"/>
          <w:szCs w:val="24"/>
        </w:rPr>
        <w:t>em países em desenvolvimento, incluindo o Brasil, reformas estas que são relatadas detalhadas também no Relatório Doing Businnes.</w:t>
      </w:r>
      <w:r w:rsidR="00352AFA">
        <w:rPr>
          <w:rFonts w:ascii="Times New Roman" w:hAnsi="Times New Roman" w:cs="Times New Roman"/>
          <w:sz w:val="24"/>
          <w:szCs w:val="24"/>
        </w:rPr>
        <w:t xml:space="preserve"> </w:t>
      </w:r>
      <w:r>
        <w:rPr>
          <w:rFonts w:ascii="Times New Roman" w:hAnsi="Times New Roman" w:cs="Times New Roman"/>
          <w:sz w:val="24"/>
          <w:szCs w:val="24"/>
        </w:rPr>
        <w:t>Com o tempo, os próprios governos adotaram estes indicadores do Relatório Doing Business como</w:t>
      </w:r>
      <w:r w:rsidR="00352AFA">
        <w:rPr>
          <w:rFonts w:ascii="Times New Roman" w:hAnsi="Times New Roman" w:cs="Times New Roman"/>
          <w:sz w:val="24"/>
          <w:szCs w:val="24"/>
        </w:rPr>
        <w:t xml:space="preserve"> insumo para a implementação de </w:t>
      </w:r>
      <w:r>
        <w:rPr>
          <w:rFonts w:ascii="Times New Roman" w:hAnsi="Times New Roman" w:cs="Times New Roman"/>
          <w:sz w:val="24"/>
          <w:szCs w:val="24"/>
        </w:rPr>
        <w:t>reformas econômicas, ou seja, os indicadores são usados</w:t>
      </w:r>
      <w:r w:rsidRPr="00000C18">
        <w:rPr>
          <w:rFonts w:ascii="Times New Roman" w:hAnsi="Times New Roman" w:cs="Times New Roman"/>
          <w:sz w:val="24"/>
          <w:szCs w:val="24"/>
        </w:rPr>
        <w:t xml:space="preserve"> como medidas de referência para o sucesso</w:t>
      </w:r>
      <w:r w:rsidR="00C24D7E">
        <w:rPr>
          <w:rFonts w:ascii="Times New Roman" w:hAnsi="Times New Roman" w:cs="Times New Roman"/>
          <w:sz w:val="24"/>
          <w:szCs w:val="24"/>
        </w:rPr>
        <w:t xml:space="preserve"> dos formuladores de políticas</w:t>
      </w:r>
      <w:r w:rsidR="00C24D7E">
        <w:rPr>
          <w:rFonts w:ascii="Times New Roman" w:hAnsi="Times New Roman" w:cs="Times New Roman"/>
          <w:sz w:val="28"/>
          <w:szCs w:val="28"/>
        </w:rPr>
        <w:t>.</w:t>
      </w:r>
    </w:p>
    <w:p w14:paraId="0FD58027"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 xml:space="preserve">Do ponto de vista acadêmico, </w:t>
      </w:r>
      <w:r w:rsidRPr="00000C18">
        <w:rPr>
          <w:rFonts w:ascii="Times New Roman" w:hAnsi="Times New Roman" w:cs="Times New Roman"/>
          <w:sz w:val="24"/>
          <w:szCs w:val="24"/>
        </w:rPr>
        <w:t>a ligação entre o nível de reformas e o crescimento</w:t>
      </w:r>
      <w:r>
        <w:rPr>
          <w:rFonts w:ascii="Times New Roman" w:hAnsi="Times New Roman" w:cs="Times New Roman"/>
          <w:sz w:val="24"/>
          <w:szCs w:val="24"/>
        </w:rPr>
        <w:t xml:space="preserve"> </w:t>
      </w:r>
      <w:r w:rsidRPr="00000C18">
        <w:rPr>
          <w:rFonts w:ascii="Times New Roman" w:hAnsi="Times New Roman" w:cs="Times New Roman"/>
          <w:sz w:val="24"/>
          <w:szCs w:val="24"/>
        </w:rPr>
        <w:t>está recebendo interesse renovado</w:t>
      </w:r>
      <w:r w:rsidR="00D41AC4">
        <w:rPr>
          <w:rFonts w:ascii="Times New Roman" w:hAnsi="Times New Roman" w:cs="Times New Roman"/>
          <w:sz w:val="24"/>
          <w:szCs w:val="24"/>
        </w:rPr>
        <w:t xml:space="preserve"> </w:t>
      </w:r>
      <w:r>
        <w:rPr>
          <w:rStyle w:val="Refdenotaderodap"/>
          <w:rFonts w:ascii="Times New Roman" w:hAnsi="Times New Roman" w:cs="Times New Roman"/>
          <w:sz w:val="24"/>
          <w:szCs w:val="24"/>
        </w:rPr>
        <w:footnoteReference w:id="22"/>
      </w:r>
      <w:r w:rsidRPr="00000C18">
        <w:rPr>
          <w:rFonts w:ascii="Times New Roman" w:hAnsi="Times New Roman" w:cs="Times New Roman"/>
          <w:sz w:val="24"/>
          <w:szCs w:val="24"/>
        </w:rPr>
        <w:t xml:space="preserve">. </w:t>
      </w:r>
      <w:r w:rsidR="00D41AC4">
        <w:rPr>
          <w:rFonts w:ascii="Times New Roman" w:hAnsi="Times New Roman" w:cs="Times New Roman"/>
          <w:sz w:val="24"/>
          <w:szCs w:val="24"/>
        </w:rPr>
        <w:t>Em estudo feito por Haidar</w:t>
      </w:r>
      <w:r w:rsidR="00D41AC4">
        <w:rPr>
          <w:rStyle w:val="Refdenotaderodap"/>
          <w:rFonts w:ascii="Times New Roman" w:hAnsi="Times New Roman" w:cs="Times New Roman"/>
          <w:sz w:val="24"/>
          <w:szCs w:val="24"/>
        </w:rPr>
        <w:footnoteReference w:id="23"/>
      </w:r>
      <w:r>
        <w:rPr>
          <w:rFonts w:ascii="Times New Roman" w:hAnsi="Times New Roman" w:cs="Times New Roman"/>
          <w:sz w:val="24"/>
          <w:szCs w:val="24"/>
        </w:rPr>
        <w:t>, usando dados de reformas microeconômicas testa a hipótese que reformas regulatórias aumenta o crescimento. As</w:t>
      </w:r>
      <w:r w:rsidRPr="00000C18">
        <w:rPr>
          <w:rFonts w:ascii="Times New Roman" w:hAnsi="Times New Roman" w:cs="Times New Roman"/>
          <w:sz w:val="24"/>
          <w:szCs w:val="24"/>
        </w:rPr>
        <w:t xml:space="preserve"> conclusões confirmam que uma expansão das reformas microeconômi</w:t>
      </w:r>
      <w:r w:rsidR="00C24D7E">
        <w:rPr>
          <w:rFonts w:ascii="Times New Roman" w:hAnsi="Times New Roman" w:cs="Times New Roman"/>
          <w:sz w:val="24"/>
          <w:szCs w:val="24"/>
        </w:rPr>
        <w:t>cas deve aumentar o crescimento</w:t>
      </w:r>
      <w:r w:rsidR="00C24D7E">
        <w:rPr>
          <w:rFonts w:ascii="Times New Roman" w:hAnsi="Times New Roman" w:cs="Times New Roman"/>
          <w:sz w:val="28"/>
          <w:szCs w:val="28"/>
        </w:rPr>
        <w:t>.</w:t>
      </w:r>
    </w:p>
    <w:p w14:paraId="0CA207C0"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 xml:space="preserve">De modo mais formal, o </w:t>
      </w:r>
      <w:r w:rsidR="00352AFA">
        <w:rPr>
          <w:rFonts w:ascii="Times New Roman" w:hAnsi="Times New Roman" w:cs="Times New Roman"/>
          <w:sz w:val="24"/>
          <w:szCs w:val="24"/>
        </w:rPr>
        <w:t>artigo</w:t>
      </w:r>
      <w:r>
        <w:rPr>
          <w:rFonts w:ascii="Times New Roman" w:hAnsi="Times New Roman" w:cs="Times New Roman"/>
          <w:sz w:val="24"/>
          <w:szCs w:val="24"/>
        </w:rPr>
        <w:t xml:space="preserve"> </w:t>
      </w:r>
      <w:r w:rsidR="00352AFA">
        <w:rPr>
          <w:rFonts w:ascii="Times New Roman" w:hAnsi="Times New Roman" w:cs="Times New Roman"/>
          <w:sz w:val="24"/>
          <w:szCs w:val="24"/>
        </w:rPr>
        <w:t>mostra</w:t>
      </w:r>
      <w:r>
        <w:rPr>
          <w:rFonts w:ascii="Times New Roman" w:hAnsi="Times New Roman" w:cs="Times New Roman"/>
          <w:sz w:val="24"/>
          <w:szCs w:val="24"/>
        </w:rPr>
        <w:t xml:space="preserve"> que, no</w:t>
      </w:r>
      <w:r w:rsidRPr="00000C18">
        <w:rPr>
          <w:rFonts w:ascii="Times New Roman" w:hAnsi="Times New Roman" w:cs="Times New Roman"/>
          <w:sz w:val="24"/>
          <w:szCs w:val="24"/>
        </w:rPr>
        <w:t xml:space="preserve"> período 2006-2010, há evidências estatisticamente significativas, em 172 países, para a resposta do crescimento econômico às reformas regulatórias dos negócios. </w:t>
      </w:r>
      <w:r w:rsidR="00352AFA">
        <w:rPr>
          <w:rFonts w:ascii="Times New Roman" w:hAnsi="Times New Roman" w:cs="Times New Roman"/>
          <w:sz w:val="24"/>
          <w:szCs w:val="24"/>
        </w:rPr>
        <w:t>A</w:t>
      </w:r>
      <w:r>
        <w:rPr>
          <w:rFonts w:ascii="Times New Roman" w:hAnsi="Times New Roman" w:cs="Times New Roman"/>
          <w:sz w:val="24"/>
          <w:szCs w:val="24"/>
        </w:rPr>
        <w:t>lega</w:t>
      </w:r>
      <w:r w:rsidR="00352AFA">
        <w:rPr>
          <w:rFonts w:ascii="Times New Roman" w:hAnsi="Times New Roman" w:cs="Times New Roman"/>
          <w:sz w:val="24"/>
          <w:szCs w:val="24"/>
        </w:rPr>
        <w:t>-se</w:t>
      </w:r>
      <w:r>
        <w:rPr>
          <w:rFonts w:ascii="Times New Roman" w:hAnsi="Times New Roman" w:cs="Times New Roman"/>
          <w:sz w:val="24"/>
          <w:szCs w:val="24"/>
        </w:rPr>
        <w:t xml:space="preserve"> que há</w:t>
      </w:r>
      <w:r w:rsidRPr="00000C18">
        <w:rPr>
          <w:rFonts w:ascii="Times New Roman" w:hAnsi="Times New Roman" w:cs="Times New Roman"/>
          <w:sz w:val="24"/>
          <w:szCs w:val="24"/>
        </w:rPr>
        <w:t xml:space="preserve"> evidências bastante robustas de impactos positivos de reformas regulatórias e esses impactos estimados são consideráveis ​​e </w:t>
      </w:r>
      <w:r>
        <w:rPr>
          <w:rFonts w:ascii="Times New Roman" w:hAnsi="Times New Roman" w:cs="Times New Roman"/>
          <w:sz w:val="24"/>
          <w:szCs w:val="24"/>
        </w:rPr>
        <w:t>plausíveis</w:t>
      </w:r>
      <w:r w:rsidRPr="00000C18">
        <w:rPr>
          <w:rFonts w:ascii="Times New Roman" w:hAnsi="Times New Roman" w:cs="Times New Roman"/>
          <w:sz w:val="24"/>
          <w:szCs w:val="24"/>
        </w:rPr>
        <w:t>. Cada reforma adicional durante 2006-2010 está associada, em média, com um aumento de</w:t>
      </w:r>
      <w:r w:rsidR="00C24D7E">
        <w:rPr>
          <w:rFonts w:ascii="Times New Roman" w:hAnsi="Times New Roman" w:cs="Times New Roman"/>
          <w:sz w:val="24"/>
          <w:szCs w:val="24"/>
        </w:rPr>
        <w:t xml:space="preserve"> 0,15% no crescimento econômico</w:t>
      </w:r>
      <w:r w:rsidR="00C24D7E">
        <w:rPr>
          <w:rFonts w:ascii="Times New Roman" w:hAnsi="Times New Roman" w:cs="Times New Roman"/>
          <w:sz w:val="28"/>
          <w:szCs w:val="28"/>
        </w:rPr>
        <w:t>.</w:t>
      </w:r>
    </w:p>
    <w:p w14:paraId="3F101157"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Cabe mencionar, no período analisado pelo artigo</w:t>
      </w:r>
      <w:r w:rsidRPr="00000C18">
        <w:rPr>
          <w:rFonts w:ascii="Times New Roman" w:hAnsi="Times New Roman" w:cs="Times New Roman"/>
          <w:sz w:val="24"/>
          <w:szCs w:val="24"/>
        </w:rPr>
        <w:t>, o início da crise econômica global levou a uma queda no crescimento econômico global. No entanto, a medida em que o crescimento econômico diminuiu diferiu entre os países que reformaram</w:t>
      </w:r>
      <w:r>
        <w:rPr>
          <w:rFonts w:ascii="Times New Roman" w:hAnsi="Times New Roman" w:cs="Times New Roman"/>
          <w:sz w:val="24"/>
          <w:szCs w:val="24"/>
        </w:rPr>
        <w:t xml:space="preserve"> em</w:t>
      </w:r>
      <w:r w:rsidRPr="00000C18">
        <w:rPr>
          <w:rFonts w:ascii="Times New Roman" w:hAnsi="Times New Roman" w:cs="Times New Roman"/>
          <w:sz w:val="24"/>
          <w:szCs w:val="24"/>
        </w:rPr>
        <w:t xml:space="preserve"> pelo menos uma área durante os 3 anos que precederam a recente crise financeira </w:t>
      </w:r>
      <w:r w:rsidR="00C24D7E">
        <w:rPr>
          <w:rFonts w:ascii="Times New Roman" w:hAnsi="Times New Roman" w:cs="Times New Roman"/>
          <w:sz w:val="24"/>
          <w:szCs w:val="24"/>
        </w:rPr>
        <w:t>para aqueles que não o fizeram</w:t>
      </w:r>
      <w:r w:rsidR="00C24D7E">
        <w:rPr>
          <w:rFonts w:ascii="Times New Roman" w:hAnsi="Times New Roman" w:cs="Times New Roman"/>
          <w:sz w:val="28"/>
          <w:szCs w:val="28"/>
        </w:rPr>
        <w:t>.</w:t>
      </w:r>
    </w:p>
    <w:p w14:paraId="6676001C"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Nesse sentido, sob a limitação das informações obtida apenas com os dados</w:t>
      </w:r>
      <w:r w:rsidRPr="00000C18">
        <w:rPr>
          <w:rFonts w:ascii="Times New Roman" w:hAnsi="Times New Roman" w:cs="Times New Roman"/>
          <w:sz w:val="24"/>
          <w:szCs w:val="24"/>
        </w:rPr>
        <w:t xml:space="preserve"> </w:t>
      </w:r>
      <w:r>
        <w:rPr>
          <w:rFonts w:ascii="Times New Roman" w:hAnsi="Times New Roman" w:cs="Times New Roman"/>
          <w:sz w:val="24"/>
          <w:szCs w:val="24"/>
        </w:rPr>
        <w:t>de</w:t>
      </w:r>
      <w:r w:rsidRPr="00000C18">
        <w:rPr>
          <w:rFonts w:ascii="Times New Roman" w:hAnsi="Times New Roman" w:cs="Times New Roman"/>
          <w:sz w:val="24"/>
          <w:szCs w:val="24"/>
        </w:rPr>
        <w:t xml:space="preserve"> reformas regulatórias de microempresas do projeto Doing Business do Banco Mundial, </w:t>
      </w:r>
      <w:r>
        <w:rPr>
          <w:rFonts w:ascii="Times New Roman" w:hAnsi="Times New Roman" w:cs="Times New Roman"/>
          <w:sz w:val="24"/>
          <w:szCs w:val="24"/>
        </w:rPr>
        <w:t>o autor conjectura</w:t>
      </w:r>
      <w:r w:rsidR="00352AFA">
        <w:rPr>
          <w:rFonts w:ascii="Times New Roman" w:hAnsi="Times New Roman" w:cs="Times New Roman"/>
          <w:sz w:val="24"/>
          <w:szCs w:val="24"/>
        </w:rPr>
        <w:t>,</w:t>
      </w:r>
      <w:r>
        <w:rPr>
          <w:rFonts w:ascii="Times New Roman" w:hAnsi="Times New Roman" w:cs="Times New Roman"/>
          <w:sz w:val="24"/>
          <w:szCs w:val="24"/>
        </w:rPr>
        <w:t xml:space="preserve"> que estas reformas </w:t>
      </w:r>
      <w:r w:rsidRPr="00000C18">
        <w:rPr>
          <w:rFonts w:ascii="Times New Roman" w:hAnsi="Times New Roman" w:cs="Times New Roman"/>
          <w:sz w:val="24"/>
          <w:szCs w:val="24"/>
        </w:rPr>
        <w:t>podem ter ajudado a mitigar os efeitos da crise global de 2008 no crescimento econômico. Os países com mais reformas regulatórias nos negócios tiveram taxas de crescimento econômico mais altas</w:t>
      </w:r>
      <w:r w:rsidR="00FE63CA">
        <w:rPr>
          <w:rStyle w:val="Refdenotaderodap"/>
          <w:rFonts w:ascii="Times New Roman" w:hAnsi="Times New Roman" w:cs="Times New Roman"/>
          <w:sz w:val="24"/>
          <w:szCs w:val="24"/>
        </w:rPr>
        <w:footnoteReference w:id="24"/>
      </w:r>
      <w:r w:rsidRPr="00000C18">
        <w:rPr>
          <w:rFonts w:ascii="Times New Roman" w:hAnsi="Times New Roman" w:cs="Times New Roman"/>
          <w:sz w:val="24"/>
          <w:szCs w:val="24"/>
        </w:rPr>
        <w:t>. Pesquisas adicionais</w:t>
      </w:r>
      <w:r w:rsidR="00352AFA">
        <w:rPr>
          <w:rFonts w:ascii="Times New Roman" w:hAnsi="Times New Roman" w:cs="Times New Roman"/>
          <w:sz w:val="24"/>
          <w:szCs w:val="24"/>
        </w:rPr>
        <w:t xml:space="preserve"> com modelo contrafactuais</w:t>
      </w:r>
      <w:r w:rsidRPr="00000C18">
        <w:rPr>
          <w:rFonts w:ascii="Times New Roman" w:hAnsi="Times New Roman" w:cs="Times New Roman"/>
          <w:sz w:val="24"/>
          <w:szCs w:val="24"/>
        </w:rPr>
        <w:t xml:space="preserve"> podem analisar se os países que se reformaram mais antes da recente crise econômica e financeira </w:t>
      </w:r>
      <w:r w:rsidR="00C24D7E">
        <w:rPr>
          <w:rFonts w:ascii="Times New Roman" w:hAnsi="Times New Roman" w:cs="Times New Roman"/>
          <w:sz w:val="24"/>
          <w:szCs w:val="24"/>
        </w:rPr>
        <w:t>foram menos afetados pela crise</w:t>
      </w:r>
      <w:r w:rsidR="00C24D7E">
        <w:rPr>
          <w:rFonts w:ascii="Times New Roman" w:hAnsi="Times New Roman" w:cs="Times New Roman"/>
          <w:sz w:val="28"/>
          <w:szCs w:val="28"/>
        </w:rPr>
        <w:t>.</w:t>
      </w:r>
    </w:p>
    <w:p w14:paraId="57EF1347"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 xml:space="preserve">No caso Brasileiro, desde que foi criado, o Brasil realizou 22 duas reformas sendo que cinco delas foram de Abertura de Empresa, nenhuma em Obtenção de Alvará de construção, uma em obtenção de energia, nenhuma em registro de propriedade, Três em Obtenção de Crédito, nenhuma em proteção aos investidores minoritários, um referente ao pagamento de impostos, seis relacionados ao Comércio entre fronteiras, cinco de execução de contratos e </w:t>
      </w:r>
      <w:r w:rsidR="00C24D7E">
        <w:rPr>
          <w:rFonts w:ascii="Times New Roman" w:hAnsi="Times New Roman" w:cs="Times New Roman"/>
          <w:sz w:val="24"/>
          <w:szCs w:val="24"/>
        </w:rPr>
        <w:t>uma de resolução de insolvência</w:t>
      </w:r>
      <w:r w:rsidR="00C24D7E">
        <w:rPr>
          <w:rFonts w:ascii="Times New Roman" w:hAnsi="Times New Roman" w:cs="Times New Roman"/>
          <w:sz w:val="28"/>
          <w:szCs w:val="28"/>
        </w:rPr>
        <w:t>.</w:t>
      </w:r>
    </w:p>
    <w:p w14:paraId="09C37439" w14:textId="77777777" w:rsidR="00171465" w:rsidRDefault="00171465" w:rsidP="00171465">
      <w:pPr>
        <w:ind w:firstLine="851"/>
        <w:jc w:val="both"/>
        <w:rPr>
          <w:rFonts w:ascii="Times New Roman" w:hAnsi="Times New Roman" w:cs="Times New Roman"/>
          <w:sz w:val="24"/>
          <w:szCs w:val="24"/>
        </w:rPr>
      </w:pPr>
      <w:r>
        <w:rPr>
          <w:rFonts w:ascii="Times New Roman" w:hAnsi="Times New Roman" w:cs="Times New Roman"/>
          <w:sz w:val="24"/>
          <w:szCs w:val="24"/>
        </w:rPr>
        <w:lastRenderedPageBreak/>
        <w:t>Ainda sobre o número totais de reformas contabilizadas pelo Banco Mundial, comparando-se com os países que compõe, o BRICS, o Brasil só fica na frente da África do Sul que realizou o número total de 16 reformas. A Índia realizou 43 reformas regulatórias desde a criação do Indicador; Rússia realizou 15, e a</w:t>
      </w:r>
      <w:r w:rsidR="00C24D7E">
        <w:rPr>
          <w:rFonts w:ascii="Times New Roman" w:hAnsi="Times New Roman" w:cs="Times New Roman"/>
          <w:sz w:val="24"/>
          <w:szCs w:val="24"/>
        </w:rPr>
        <w:t xml:space="preserve"> China 34 reformas regulatórias</w:t>
      </w:r>
      <w:r w:rsidR="00C24D7E">
        <w:rPr>
          <w:rFonts w:ascii="Times New Roman" w:hAnsi="Times New Roman" w:cs="Times New Roman"/>
          <w:sz w:val="28"/>
          <w:szCs w:val="28"/>
        </w:rPr>
        <w:t>.</w:t>
      </w:r>
      <w:r>
        <w:rPr>
          <w:rFonts w:ascii="Times New Roman" w:hAnsi="Times New Roman" w:cs="Times New Roman"/>
          <w:sz w:val="24"/>
          <w:szCs w:val="24"/>
        </w:rPr>
        <w:t xml:space="preserve">  </w:t>
      </w:r>
    </w:p>
    <w:p w14:paraId="2A4E51A0" w14:textId="77777777" w:rsidR="00C24D7E" w:rsidRDefault="00171465" w:rsidP="00171465">
      <w:pPr>
        <w:ind w:firstLine="851"/>
        <w:jc w:val="both"/>
        <w:rPr>
          <w:rFonts w:ascii="Times New Roman" w:hAnsi="Times New Roman" w:cs="Times New Roman"/>
          <w:sz w:val="24"/>
          <w:szCs w:val="24"/>
        </w:rPr>
      </w:pPr>
      <w:r>
        <w:rPr>
          <w:rFonts w:ascii="Times New Roman" w:hAnsi="Times New Roman" w:cs="Times New Roman"/>
          <w:sz w:val="24"/>
          <w:szCs w:val="24"/>
        </w:rPr>
        <w:t>No Brasil, a mudança legislativa mais recentemente elaborada para melhorar de maneira geral o ambiente de negócios foi a denominada MP da liberdade econômica (Medida Provisória n°</w:t>
      </w:r>
      <w:r w:rsidRPr="007A76D3">
        <w:rPr>
          <w:rFonts w:ascii="Times New Roman" w:hAnsi="Times New Roman" w:cs="Times New Roman"/>
          <w:sz w:val="24"/>
          <w:szCs w:val="24"/>
        </w:rPr>
        <w:t xml:space="preserve"> 881/2019</w:t>
      </w:r>
      <w:r>
        <w:rPr>
          <w:rFonts w:ascii="Times New Roman" w:hAnsi="Times New Roman" w:cs="Times New Roman"/>
          <w:sz w:val="24"/>
          <w:szCs w:val="24"/>
        </w:rPr>
        <w:t>).</w:t>
      </w:r>
      <w:r w:rsidRPr="007A76D3">
        <w:rPr>
          <w:rFonts w:ascii="Times New Roman" w:hAnsi="Times New Roman" w:cs="Times New Roman"/>
          <w:sz w:val="24"/>
          <w:szCs w:val="24"/>
        </w:rPr>
        <w:t xml:space="preserve"> </w:t>
      </w:r>
      <w:r>
        <w:rPr>
          <w:rFonts w:ascii="Times New Roman" w:hAnsi="Times New Roman" w:cs="Times New Roman"/>
          <w:sz w:val="24"/>
          <w:szCs w:val="24"/>
        </w:rPr>
        <w:t>Não cabe neste trabalho tratar, obviamente, de questões jurídicas da Medida provisória e seus reflexos, fazendo, portanto, uma breve explicação do que pode</w:t>
      </w:r>
      <w:r w:rsidR="00C24D7E">
        <w:rPr>
          <w:rFonts w:ascii="Times New Roman" w:hAnsi="Times New Roman" w:cs="Times New Roman"/>
          <w:sz w:val="24"/>
          <w:szCs w:val="24"/>
        </w:rPr>
        <w:t>ria ser seus efeitos econômicos</w:t>
      </w:r>
      <w:r w:rsidR="00C24D7E">
        <w:rPr>
          <w:rFonts w:ascii="Times New Roman" w:hAnsi="Times New Roman" w:cs="Times New Roman"/>
          <w:sz w:val="28"/>
          <w:szCs w:val="28"/>
        </w:rPr>
        <w:t>.</w:t>
      </w:r>
      <w:r>
        <w:rPr>
          <w:rFonts w:ascii="Times New Roman" w:hAnsi="Times New Roman" w:cs="Times New Roman"/>
          <w:sz w:val="24"/>
          <w:szCs w:val="24"/>
        </w:rPr>
        <w:t xml:space="preserve"> </w:t>
      </w:r>
    </w:p>
    <w:p w14:paraId="199E3354"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Nesse sentido, os objetivos desta nova legislação, dentre outros, são: Redução da burocracia e de algumas restrições regulatórias para o exercício profissional de baixo impacto; redução de barreiras à entrada; aumenta eficiência e isonomia de decisões administrativas; redução dos custos associados a abertura de empre</w:t>
      </w:r>
      <w:r w:rsidR="00C24D7E">
        <w:rPr>
          <w:rFonts w:ascii="Times New Roman" w:hAnsi="Times New Roman" w:cs="Times New Roman"/>
          <w:sz w:val="24"/>
          <w:szCs w:val="24"/>
        </w:rPr>
        <w:t>sas e maior segurança jurídica</w:t>
      </w:r>
      <w:r w:rsidR="00C24D7E">
        <w:rPr>
          <w:rFonts w:ascii="Times New Roman" w:hAnsi="Times New Roman" w:cs="Times New Roman"/>
          <w:sz w:val="28"/>
          <w:szCs w:val="28"/>
        </w:rPr>
        <w:t>.</w:t>
      </w:r>
    </w:p>
    <w:p w14:paraId="6523ECF0"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 xml:space="preserve"> Assim, em um estudo recente do Ministério da Economia avalia o impacto</w:t>
      </w:r>
      <w:r w:rsidRPr="007A76D3">
        <w:rPr>
          <w:rFonts w:ascii="Times New Roman" w:hAnsi="Times New Roman" w:cs="Times New Roman"/>
          <w:sz w:val="24"/>
          <w:szCs w:val="24"/>
        </w:rPr>
        <w:t xml:space="preserve"> potencial sobre o PIB per capita e o emprego</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5"/>
      </w:r>
      <w:r>
        <w:rPr>
          <w:rFonts w:ascii="Times New Roman" w:hAnsi="Times New Roman" w:cs="Times New Roman"/>
          <w:sz w:val="24"/>
          <w:szCs w:val="24"/>
        </w:rPr>
        <w:t xml:space="preserve"> </w:t>
      </w:r>
      <w:r w:rsidRPr="00EB493B">
        <w:rPr>
          <w:rFonts w:ascii="Times New Roman" w:hAnsi="Times New Roman" w:cs="Times New Roman"/>
          <w:sz w:val="24"/>
          <w:szCs w:val="24"/>
        </w:rPr>
        <w:t>A hipótese adotada</w:t>
      </w:r>
      <w:r>
        <w:rPr>
          <w:rFonts w:ascii="Times New Roman" w:hAnsi="Times New Roman" w:cs="Times New Roman"/>
          <w:sz w:val="24"/>
          <w:szCs w:val="24"/>
        </w:rPr>
        <w:t xml:space="preserve"> pela publicação</w:t>
      </w:r>
      <w:r w:rsidRPr="00EB493B">
        <w:rPr>
          <w:rFonts w:ascii="Times New Roman" w:hAnsi="Times New Roman" w:cs="Times New Roman"/>
          <w:sz w:val="24"/>
          <w:szCs w:val="24"/>
        </w:rPr>
        <w:t xml:space="preserve"> é de que os </w:t>
      </w:r>
      <w:r>
        <w:rPr>
          <w:rFonts w:ascii="Times New Roman" w:hAnsi="Times New Roman" w:cs="Times New Roman"/>
          <w:sz w:val="24"/>
          <w:szCs w:val="24"/>
        </w:rPr>
        <w:t>“</w:t>
      </w:r>
      <w:r w:rsidRPr="00EB493B">
        <w:rPr>
          <w:rFonts w:ascii="Times New Roman" w:hAnsi="Times New Roman" w:cs="Times New Roman"/>
          <w:sz w:val="24"/>
          <w:szCs w:val="24"/>
        </w:rPr>
        <w:t>indicadores</w:t>
      </w:r>
      <w:r>
        <w:rPr>
          <w:rFonts w:ascii="Times New Roman" w:hAnsi="Times New Roman" w:cs="Times New Roman"/>
          <w:sz w:val="24"/>
          <w:szCs w:val="24"/>
        </w:rPr>
        <w:t xml:space="preserve"> </w:t>
      </w:r>
      <w:r w:rsidRPr="00EB493B">
        <w:rPr>
          <w:rFonts w:ascii="Times New Roman" w:hAnsi="Times New Roman" w:cs="Times New Roman"/>
          <w:sz w:val="24"/>
          <w:szCs w:val="24"/>
        </w:rPr>
        <w:t>brasileiros deverão se aproximar do nível médio de países selecionados, que apresentam desempenho muito</w:t>
      </w:r>
      <w:r>
        <w:rPr>
          <w:rFonts w:ascii="Times New Roman" w:hAnsi="Times New Roman" w:cs="Times New Roman"/>
          <w:sz w:val="24"/>
          <w:szCs w:val="24"/>
        </w:rPr>
        <w:t xml:space="preserve"> </w:t>
      </w:r>
      <w:r w:rsidRPr="00EB493B">
        <w:rPr>
          <w:rFonts w:ascii="Times New Roman" w:hAnsi="Times New Roman" w:cs="Times New Roman"/>
          <w:sz w:val="24"/>
          <w:szCs w:val="24"/>
        </w:rPr>
        <w:t xml:space="preserve">superior em </w:t>
      </w:r>
      <w:r>
        <w:rPr>
          <w:rFonts w:ascii="Times New Roman" w:hAnsi="Times New Roman" w:cs="Times New Roman"/>
          <w:sz w:val="24"/>
          <w:szCs w:val="24"/>
        </w:rPr>
        <w:t>todas as dimensões consideradas”. Contudo, o estudo utilizado para esta estimativa é do ranking de liberdade econômica da Heritage Foundantion.  A publicação do Ministério da Fazenda estima, também, que o</w:t>
      </w:r>
      <w:r w:rsidRPr="00EB493B">
        <w:rPr>
          <w:rFonts w:ascii="Times New Roman" w:hAnsi="Times New Roman" w:cs="Times New Roman"/>
          <w:sz w:val="24"/>
          <w:szCs w:val="24"/>
        </w:rPr>
        <w:t xml:space="preserve"> </w:t>
      </w:r>
      <w:r>
        <w:rPr>
          <w:rFonts w:ascii="Times New Roman" w:hAnsi="Times New Roman" w:cs="Times New Roman"/>
          <w:sz w:val="24"/>
          <w:szCs w:val="24"/>
        </w:rPr>
        <w:t>“</w:t>
      </w:r>
      <w:r w:rsidRPr="00EB493B">
        <w:rPr>
          <w:rFonts w:ascii="Times New Roman" w:hAnsi="Times New Roman" w:cs="Times New Roman"/>
          <w:sz w:val="24"/>
          <w:szCs w:val="24"/>
        </w:rPr>
        <w:t>Brasil subiria mais de 100 posições</w:t>
      </w:r>
      <w:r>
        <w:rPr>
          <w:rFonts w:ascii="Times New Roman" w:hAnsi="Times New Roman" w:cs="Times New Roman"/>
          <w:sz w:val="24"/>
          <w:szCs w:val="24"/>
        </w:rPr>
        <w:t xml:space="preserve"> </w:t>
      </w:r>
      <w:r w:rsidRPr="00EB493B">
        <w:rPr>
          <w:rFonts w:ascii="Times New Roman" w:hAnsi="Times New Roman" w:cs="Times New Roman"/>
          <w:sz w:val="24"/>
          <w:szCs w:val="24"/>
        </w:rPr>
        <w:t xml:space="preserve">no ranking </w:t>
      </w:r>
      <w:r>
        <w:rPr>
          <w:rFonts w:ascii="Times New Roman" w:hAnsi="Times New Roman" w:cs="Times New Roman"/>
          <w:sz w:val="24"/>
          <w:szCs w:val="24"/>
        </w:rPr>
        <w:t>citado</w:t>
      </w:r>
      <w:r w:rsidRPr="00EB493B">
        <w:rPr>
          <w:rFonts w:ascii="Times New Roman" w:hAnsi="Times New Roman" w:cs="Times New Roman"/>
          <w:sz w:val="24"/>
          <w:szCs w:val="24"/>
        </w:rPr>
        <w:t xml:space="preserve"> em relação à posição de 2019</w:t>
      </w:r>
      <w:r w:rsidR="00C24D7E">
        <w:rPr>
          <w:rFonts w:ascii="Times New Roman" w:hAnsi="Times New Roman" w:cs="Times New Roman"/>
          <w:sz w:val="28"/>
          <w:szCs w:val="28"/>
        </w:rPr>
        <w:t>.</w:t>
      </w:r>
    </w:p>
    <w:p w14:paraId="2E45A1B5"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Além disso, ainda de acordo com a mesma publicação,</w:t>
      </w:r>
      <w:r w:rsidRPr="00EB493B">
        <w:rPr>
          <w:rFonts w:ascii="Times New Roman" w:hAnsi="Times New Roman" w:cs="Times New Roman"/>
          <w:sz w:val="24"/>
          <w:szCs w:val="24"/>
        </w:rPr>
        <w:t xml:space="preserve"> o efeito potencial da </w:t>
      </w:r>
      <w:r>
        <w:rPr>
          <w:rFonts w:ascii="Times New Roman" w:hAnsi="Times New Roman" w:cs="Times New Roman"/>
          <w:sz w:val="24"/>
          <w:szCs w:val="24"/>
        </w:rPr>
        <w:t xml:space="preserve">Medida Provisória </w:t>
      </w:r>
      <w:r w:rsidRPr="00EB493B">
        <w:rPr>
          <w:rFonts w:ascii="Times New Roman" w:hAnsi="Times New Roman" w:cs="Times New Roman"/>
          <w:sz w:val="24"/>
          <w:szCs w:val="24"/>
        </w:rPr>
        <w:t>“seria um ganho no longo prazo de 7% no PIB per capita e de</w:t>
      </w:r>
      <w:r>
        <w:rPr>
          <w:rFonts w:ascii="Times New Roman" w:hAnsi="Times New Roman" w:cs="Times New Roman"/>
          <w:sz w:val="24"/>
          <w:szCs w:val="24"/>
        </w:rPr>
        <w:t xml:space="preserve"> </w:t>
      </w:r>
      <w:r w:rsidRPr="00EB493B">
        <w:rPr>
          <w:rFonts w:ascii="Times New Roman" w:hAnsi="Times New Roman" w:cs="Times New Roman"/>
          <w:sz w:val="24"/>
          <w:szCs w:val="24"/>
        </w:rPr>
        <w:t>4% na população ocupada</w:t>
      </w:r>
      <w:r>
        <w:rPr>
          <w:rFonts w:ascii="Times New Roman" w:hAnsi="Times New Roman" w:cs="Times New Roman"/>
          <w:sz w:val="24"/>
          <w:szCs w:val="24"/>
        </w:rPr>
        <w:t>”, definindo como longo prazo o período de 10 a 15 anos, e, portanto, com o feito anual de 0,4% a 0,7% acréscimos médios anuais</w:t>
      </w:r>
      <w:r w:rsidR="00C24D7E">
        <w:rPr>
          <w:rFonts w:ascii="Times New Roman" w:hAnsi="Times New Roman" w:cs="Times New Roman"/>
          <w:sz w:val="28"/>
          <w:szCs w:val="28"/>
        </w:rPr>
        <w:t>.</w:t>
      </w:r>
    </w:p>
    <w:p w14:paraId="40597385" w14:textId="77777777" w:rsidR="00171465" w:rsidRDefault="00171465" w:rsidP="00171465">
      <w:pPr>
        <w:ind w:firstLine="851"/>
        <w:jc w:val="both"/>
        <w:rPr>
          <w:rFonts w:ascii="Times New Roman" w:hAnsi="Times New Roman" w:cs="Times New Roman"/>
          <w:sz w:val="24"/>
          <w:szCs w:val="24"/>
        </w:rPr>
      </w:pPr>
    </w:p>
    <w:p w14:paraId="42B19C31" w14:textId="77777777" w:rsidR="00171465" w:rsidRPr="00D6656B" w:rsidRDefault="00BD6EDB" w:rsidP="00BD6EDB">
      <w:pPr>
        <w:pStyle w:val="PargrafodaLista"/>
        <w:numPr>
          <w:ilvl w:val="0"/>
          <w:numId w:val="4"/>
        </w:numPr>
        <w:jc w:val="both"/>
        <w:rPr>
          <w:rFonts w:ascii="Times New Roman" w:hAnsi="Times New Roman" w:cs="Times New Roman"/>
          <w:b/>
          <w:smallCaps/>
          <w:sz w:val="24"/>
          <w:szCs w:val="24"/>
        </w:rPr>
      </w:pPr>
      <w:r w:rsidRPr="00D6656B">
        <w:rPr>
          <w:rFonts w:ascii="Times New Roman" w:hAnsi="Times New Roman" w:cs="Times New Roman"/>
          <w:b/>
          <w:smallCaps/>
          <w:sz w:val="24"/>
          <w:szCs w:val="24"/>
        </w:rPr>
        <w:t>Considerações finais</w:t>
      </w:r>
    </w:p>
    <w:p w14:paraId="32C1ECB4" w14:textId="77777777" w:rsidR="00171465" w:rsidRPr="00C24D7E" w:rsidRDefault="009F7516" w:rsidP="00171465">
      <w:pPr>
        <w:ind w:firstLine="851"/>
        <w:jc w:val="both"/>
        <w:rPr>
          <w:rFonts w:ascii="Times New Roman" w:hAnsi="Times New Roman" w:cs="Times New Roman"/>
          <w:sz w:val="28"/>
          <w:szCs w:val="28"/>
        </w:rPr>
      </w:pPr>
      <w:r>
        <w:rPr>
          <w:rFonts w:ascii="Times New Roman" w:hAnsi="Times New Roman" w:cs="Times New Roman"/>
          <w:sz w:val="24"/>
          <w:szCs w:val="24"/>
        </w:rPr>
        <w:t>A agenda de melhora do ambiente de negócios como base para o aumento da produtividade, competição e crescimento econômico está latente hoje no Brasil. A</w:t>
      </w:r>
      <w:r w:rsidR="00171465" w:rsidRPr="00FC528C">
        <w:rPr>
          <w:rFonts w:ascii="Times New Roman" w:hAnsi="Times New Roman" w:cs="Times New Roman"/>
          <w:sz w:val="24"/>
          <w:szCs w:val="24"/>
        </w:rPr>
        <w:t xml:space="preserve">o reconhecer a importância da criação de novos negócios para o </w:t>
      </w:r>
      <w:r w:rsidR="00171465">
        <w:rPr>
          <w:rFonts w:ascii="Times New Roman" w:hAnsi="Times New Roman" w:cs="Times New Roman"/>
          <w:sz w:val="24"/>
          <w:szCs w:val="24"/>
        </w:rPr>
        <w:t>a recuperação econômica brasileira</w:t>
      </w:r>
      <w:r w:rsidR="00171465" w:rsidRPr="00FC528C">
        <w:rPr>
          <w:rFonts w:ascii="Times New Roman" w:hAnsi="Times New Roman" w:cs="Times New Roman"/>
          <w:sz w:val="24"/>
          <w:szCs w:val="24"/>
        </w:rPr>
        <w:t>,</w:t>
      </w:r>
      <w:r w:rsidR="00171465">
        <w:rPr>
          <w:rFonts w:ascii="Times New Roman" w:hAnsi="Times New Roman" w:cs="Times New Roman"/>
          <w:sz w:val="24"/>
          <w:szCs w:val="24"/>
        </w:rPr>
        <w:t xml:space="preserve"> este trabalhado traz de forma descritiva um panorama do ambiente institucional a partir do relatório Doing Business e seus indicadores a fim de subsidiar,</w:t>
      </w:r>
      <w:r w:rsidR="00171465" w:rsidRPr="00FC528C">
        <w:rPr>
          <w:rFonts w:ascii="Times New Roman" w:hAnsi="Times New Roman" w:cs="Times New Roman"/>
          <w:sz w:val="24"/>
          <w:szCs w:val="24"/>
        </w:rPr>
        <w:t xml:space="preserve"> o aprimoramento de políticas públicas que incentivem o crescimento da realização de negócios</w:t>
      </w:r>
      <w:r w:rsidR="00C24D7E">
        <w:rPr>
          <w:rFonts w:ascii="Times New Roman" w:hAnsi="Times New Roman" w:cs="Times New Roman"/>
          <w:sz w:val="28"/>
          <w:szCs w:val="28"/>
        </w:rPr>
        <w:t>.</w:t>
      </w:r>
    </w:p>
    <w:p w14:paraId="54A27441" w14:textId="77777777" w:rsidR="00171465" w:rsidRPr="00C24D7E" w:rsidRDefault="00171465" w:rsidP="00171465">
      <w:pPr>
        <w:ind w:firstLine="851"/>
        <w:jc w:val="both"/>
        <w:rPr>
          <w:rFonts w:ascii="Times New Roman" w:hAnsi="Times New Roman" w:cs="Times New Roman"/>
          <w:sz w:val="28"/>
          <w:szCs w:val="28"/>
        </w:rPr>
      </w:pPr>
      <w:r>
        <w:rPr>
          <w:rFonts w:ascii="Times New Roman" w:hAnsi="Times New Roman" w:cs="Times New Roman"/>
          <w:sz w:val="24"/>
          <w:szCs w:val="24"/>
        </w:rPr>
        <w:t xml:space="preserve">Ainda há espaço para a melhora da política microeconômica brasileira no geral e em relação ao do ambiente de negócios em particular. Isto posto, há uma expectativa </w:t>
      </w:r>
      <w:r>
        <w:rPr>
          <w:rFonts w:ascii="Times New Roman" w:hAnsi="Times New Roman" w:cs="Times New Roman"/>
          <w:sz w:val="24"/>
          <w:szCs w:val="24"/>
        </w:rPr>
        <w:lastRenderedPageBreak/>
        <w:t>positiva de que as reformas</w:t>
      </w:r>
      <w:r w:rsidR="00BD6EDB">
        <w:rPr>
          <w:rFonts w:ascii="Times New Roman" w:hAnsi="Times New Roman" w:cs="Times New Roman"/>
          <w:sz w:val="24"/>
          <w:szCs w:val="24"/>
        </w:rPr>
        <w:t xml:space="preserve"> propostas </w:t>
      </w:r>
      <w:r>
        <w:rPr>
          <w:rFonts w:ascii="Times New Roman" w:hAnsi="Times New Roman" w:cs="Times New Roman"/>
          <w:sz w:val="24"/>
          <w:szCs w:val="24"/>
        </w:rPr>
        <w:t>recentemente possam aumentar a produtividade e criar uma estrutura institucional capaz de viabilizar uma melhor promoção da concorrência, atração de investimento, aumento empreendedorismo, maior segurança jurídica que seja capaz de sustentar um crescimento de longo praz</w:t>
      </w:r>
      <w:r w:rsidR="00C24D7E">
        <w:rPr>
          <w:rFonts w:ascii="Times New Roman" w:hAnsi="Times New Roman" w:cs="Times New Roman"/>
          <w:sz w:val="24"/>
          <w:szCs w:val="24"/>
        </w:rPr>
        <w:t>o um crescimento de longo prazo</w:t>
      </w:r>
      <w:r w:rsidR="00C24D7E">
        <w:rPr>
          <w:rFonts w:ascii="Times New Roman" w:hAnsi="Times New Roman" w:cs="Times New Roman"/>
          <w:sz w:val="28"/>
          <w:szCs w:val="28"/>
        </w:rPr>
        <w:t>.</w:t>
      </w:r>
    </w:p>
    <w:p w14:paraId="7752CAA9" w14:textId="77777777" w:rsidR="00B91F0F" w:rsidRDefault="00B91F0F" w:rsidP="00171465">
      <w:pPr>
        <w:ind w:firstLine="851"/>
        <w:jc w:val="both"/>
        <w:rPr>
          <w:rFonts w:ascii="Times New Roman" w:hAnsi="Times New Roman" w:cs="Times New Roman"/>
          <w:sz w:val="24"/>
          <w:szCs w:val="24"/>
        </w:rPr>
      </w:pPr>
    </w:p>
    <w:p w14:paraId="3E35A88F" w14:textId="77777777" w:rsidR="00544207" w:rsidRPr="00AD6235" w:rsidRDefault="00AD6235" w:rsidP="00AD6235">
      <w:pPr>
        <w:pStyle w:val="PargrafodaLista"/>
        <w:numPr>
          <w:ilvl w:val="0"/>
          <w:numId w:val="4"/>
        </w:numPr>
        <w:jc w:val="both"/>
        <w:rPr>
          <w:rFonts w:ascii="Times New Roman" w:hAnsi="Times New Roman" w:cs="Times New Roman"/>
          <w:b/>
          <w:smallCaps/>
          <w:sz w:val="24"/>
          <w:szCs w:val="24"/>
        </w:rPr>
      </w:pPr>
      <w:r w:rsidRPr="00AD6235">
        <w:rPr>
          <w:rFonts w:ascii="Times New Roman" w:hAnsi="Times New Roman" w:cs="Times New Roman"/>
          <w:b/>
          <w:smallCaps/>
          <w:sz w:val="24"/>
          <w:szCs w:val="24"/>
        </w:rPr>
        <w:t>Referências Bibliográficas</w:t>
      </w:r>
    </w:p>
    <w:p w14:paraId="2B9056D5" w14:textId="77777777" w:rsidR="00544207" w:rsidRPr="00544207" w:rsidRDefault="00544207" w:rsidP="00A74CB8">
      <w:pPr>
        <w:pStyle w:val="Textodenotaderodap"/>
        <w:spacing w:after="240"/>
        <w:rPr>
          <w:rFonts w:ascii="Times New Roman" w:hAnsi="Times New Roman" w:cs="Times New Roman"/>
          <w:sz w:val="24"/>
          <w:szCs w:val="24"/>
        </w:rPr>
      </w:pPr>
    </w:p>
    <w:p w14:paraId="5B5FFDE6" w14:textId="77777777" w:rsidR="00862159" w:rsidRDefault="00544207" w:rsidP="00A74CB8">
      <w:pPr>
        <w:pStyle w:val="Textodenotaderodap"/>
        <w:spacing w:after="240"/>
        <w:rPr>
          <w:rFonts w:ascii="Times New Roman" w:hAnsi="Times New Roman" w:cs="Times New Roman"/>
          <w:sz w:val="24"/>
          <w:szCs w:val="24"/>
        </w:rPr>
      </w:pPr>
      <w:r w:rsidRPr="00544207">
        <w:rPr>
          <w:rFonts w:ascii="Times New Roman" w:hAnsi="Times New Roman" w:cs="Times New Roman"/>
          <w:sz w:val="24"/>
          <w:szCs w:val="24"/>
        </w:rPr>
        <w:t>ACEMOGLU, Daron &amp; Johnson, Simon &amp; Robinson, James A., 2005. "</w:t>
      </w:r>
      <w:r w:rsidRPr="005021F6">
        <w:rPr>
          <w:rFonts w:ascii="Times New Roman" w:hAnsi="Times New Roman" w:cs="Times New Roman"/>
          <w:sz w:val="24"/>
          <w:szCs w:val="24"/>
        </w:rPr>
        <w:t>Institutions as a Fundamental Cause of Long-Run Growth</w:t>
      </w:r>
      <w:r w:rsidRPr="00544207">
        <w:rPr>
          <w:rFonts w:ascii="Times New Roman" w:hAnsi="Times New Roman" w:cs="Times New Roman"/>
          <w:b/>
          <w:sz w:val="24"/>
          <w:szCs w:val="24"/>
        </w:rPr>
        <w:t>,</w:t>
      </w:r>
      <w:r w:rsidRPr="00544207">
        <w:rPr>
          <w:rFonts w:ascii="Times New Roman" w:hAnsi="Times New Roman" w:cs="Times New Roman"/>
          <w:sz w:val="24"/>
          <w:szCs w:val="24"/>
        </w:rPr>
        <w:t>" Handbook of Economic Growth,in: Philippe Aghion &amp; Steven Durlauf (ed</w:t>
      </w:r>
      <w:r w:rsidRPr="005021F6">
        <w:rPr>
          <w:rFonts w:ascii="Times New Roman" w:hAnsi="Times New Roman" w:cs="Times New Roman"/>
          <w:b/>
          <w:sz w:val="24"/>
          <w:szCs w:val="24"/>
        </w:rPr>
        <w:t>.), Handbook of Economic Growth, edition 1, volume 1</w:t>
      </w:r>
      <w:r w:rsidR="005021F6">
        <w:rPr>
          <w:rFonts w:ascii="Times New Roman" w:hAnsi="Times New Roman" w:cs="Times New Roman"/>
          <w:sz w:val="24"/>
          <w:szCs w:val="24"/>
        </w:rPr>
        <w:t>, C</w:t>
      </w:r>
      <w:r w:rsidRPr="00544207">
        <w:rPr>
          <w:rFonts w:ascii="Times New Roman" w:hAnsi="Times New Roman" w:cs="Times New Roman"/>
          <w:sz w:val="24"/>
          <w:szCs w:val="24"/>
        </w:rPr>
        <w:t>hapter 6, pages 385-472 Elsevier.</w:t>
      </w:r>
    </w:p>
    <w:p w14:paraId="0C9C3634" w14:textId="77777777" w:rsidR="00544207" w:rsidRDefault="00544207" w:rsidP="00A74CB8">
      <w:pPr>
        <w:spacing w:after="240"/>
        <w:rPr>
          <w:rFonts w:ascii="Times New Roman" w:hAnsi="Times New Roman" w:cs="Times New Roman"/>
          <w:sz w:val="24"/>
          <w:szCs w:val="24"/>
        </w:rPr>
      </w:pPr>
      <w:r w:rsidRPr="00544207">
        <w:rPr>
          <w:rFonts w:ascii="Times New Roman" w:hAnsi="Times New Roman" w:cs="Times New Roman"/>
          <w:sz w:val="24"/>
          <w:szCs w:val="24"/>
        </w:rPr>
        <w:t xml:space="preserve">BRASIL. Ministério da Economia. Secretaria de Política Econômica. Nota informativa: </w:t>
      </w:r>
      <w:r w:rsidRPr="00A74CB8">
        <w:rPr>
          <w:rFonts w:ascii="Times New Roman" w:hAnsi="Times New Roman" w:cs="Times New Roman"/>
          <w:b/>
          <w:sz w:val="24"/>
          <w:szCs w:val="24"/>
        </w:rPr>
        <w:t>MP da Liberdade Econômica: impacto potencial sobre o PIB per capita e o emprego. Julho de 2019</w:t>
      </w:r>
      <w:r w:rsidRPr="00544207">
        <w:rPr>
          <w:rFonts w:ascii="Times New Roman" w:hAnsi="Times New Roman" w:cs="Times New Roman"/>
          <w:sz w:val="24"/>
          <w:szCs w:val="24"/>
        </w:rPr>
        <w:t xml:space="preserve">. Disponível em: </w:t>
      </w:r>
      <w:hyperlink r:id="rId37" w:history="1">
        <w:r w:rsidRPr="003F378B">
          <w:rPr>
            <w:rStyle w:val="Hyperlink"/>
            <w:rFonts w:ascii="Times New Roman" w:hAnsi="Times New Roman" w:cs="Times New Roman"/>
            <w:sz w:val="24"/>
            <w:szCs w:val="24"/>
          </w:rPr>
          <w:t>http://www.economia.gov.br/central-de-conteudos/publicacoes/notas-informativas/2019/ni_mp_liberdade_economica.pdf</w:t>
        </w:r>
      </w:hyperlink>
    </w:p>
    <w:p w14:paraId="5FD80D9B" w14:textId="77777777" w:rsidR="00544207" w:rsidRPr="00AD6235" w:rsidRDefault="00862159" w:rsidP="00A74CB8">
      <w:pPr>
        <w:spacing w:after="240"/>
        <w:rPr>
          <w:rFonts w:ascii="Times New Roman" w:hAnsi="Times New Roman" w:cs="Times New Roman"/>
          <w:sz w:val="24"/>
          <w:szCs w:val="24"/>
        </w:rPr>
      </w:pPr>
      <w:r w:rsidRPr="00AD6235">
        <w:rPr>
          <w:rFonts w:ascii="Times New Roman" w:hAnsi="Times New Roman" w:cs="Times New Roman"/>
          <w:sz w:val="24"/>
          <w:szCs w:val="24"/>
        </w:rPr>
        <w:t>CAVALCANTE, L. R. Ambiente d</w:t>
      </w:r>
      <w:r w:rsidR="00544207" w:rsidRPr="00AD6235">
        <w:rPr>
          <w:rFonts w:ascii="Times New Roman" w:hAnsi="Times New Roman" w:cs="Times New Roman"/>
          <w:sz w:val="24"/>
          <w:szCs w:val="24"/>
        </w:rPr>
        <w:t xml:space="preserve">e Negócios, Investimentos e Produtividade. </w:t>
      </w:r>
      <w:r w:rsidR="00544207" w:rsidRPr="00AD6235">
        <w:rPr>
          <w:rFonts w:ascii="Times New Roman" w:hAnsi="Times New Roman" w:cs="Times New Roman"/>
          <w:b/>
          <w:bCs/>
          <w:sz w:val="24"/>
          <w:szCs w:val="24"/>
        </w:rPr>
        <w:t>Instituto de Pesquisa Econômica Aplicada</w:t>
      </w:r>
      <w:r w:rsidR="00544207" w:rsidRPr="00AD6235">
        <w:rPr>
          <w:rFonts w:ascii="Times New Roman" w:hAnsi="Times New Roman" w:cs="Times New Roman"/>
          <w:sz w:val="24"/>
          <w:szCs w:val="24"/>
        </w:rPr>
        <w:t>, v. 2130, n. 1415–4765, 2015.</w:t>
      </w:r>
      <w:r w:rsidR="00AD6235" w:rsidRPr="00AD6235">
        <w:rPr>
          <w:rFonts w:ascii="Times New Roman" w:hAnsi="Times New Roman" w:cs="Times New Roman"/>
          <w:sz w:val="24"/>
          <w:szCs w:val="24"/>
        </w:rPr>
        <w:t xml:space="preserve"> </w:t>
      </w:r>
      <w:hyperlink r:id="rId38" w:history="1">
        <w:r w:rsidR="00AD6235" w:rsidRPr="00AD6235">
          <w:rPr>
            <w:rStyle w:val="Hyperlink"/>
            <w:rFonts w:ascii="Times New Roman" w:hAnsi="Times New Roman" w:cs="Times New Roman"/>
            <w:sz w:val="24"/>
            <w:szCs w:val="24"/>
          </w:rPr>
          <w:t>http://www.ipea.gov.br/portal/images/stories/PDFs/TDs/td_2130f.pdf</w:t>
        </w:r>
      </w:hyperlink>
    </w:p>
    <w:p w14:paraId="7E8ECD4B" w14:textId="77777777" w:rsidR="00544207" w:rsidRDefault="00A74CB8" w:rsidP="00A74CB8">
      <w:pPr>
        <w:spacing w:after="240"/>
        <w:rPr>
          <w:rFonts w:ascii="Times New Roman" w:hAnsi="Times New Roman" w:cs="Times New Roman"/>
          <w:sz w:val="24"/>
          <w:szCs w:val="24"/>
        </w:rPr>
      </w:pPr>
      <w:r w:rsidRPr="00544207">
        <w:rPr>
          <w:rFonts w:ascii="Times New Roman" w:hAnsi="Times New Roman" w:cs="Times New Roman"/>
          <w:sz w:val="24"/>
          <w:szCs w:val="24"/>
        </w:rPr>
        <w:t>HAIDAR</w:t>
      </w:r>
      <w:r w:rsidR="00544207" w:rsidRPr="00544207">
        <w:rPr>
          <w:rFonts w:ascii="Times New Roman" w:hAnsi="Times New Roman" w:cs="Times New Roman"/>
          <w:sz w:val="24"/>
          <w:szCs w:val="24"/>
        </w:rPr>
        <w:t xml:space="preserve">, J.I. The impact of business regulatory reforms on economic growth. </w:t>
      </w:r>
      <w:r w:rsidR="00544207" w:rsidRPr="00544207">
        <w:rPr>
          <w:rFonts w:ascii="Times New Roman" w:hAnsi="Times New Roman" w:cs="Times New Roman"/>
          <w:b/>
          <w:sz w:val="24"/>
          <w:szCs w:val="24"/>
        </w:rPr>
        <w:t>Journal of The Japanese and International Economies</w:t>
      </w:r>
      <w:r w:rsidR="00544207" w:rsidRPr="00544207">
        <w:rPr>
          <w:rFonts w:ascii="Times New Roman" w:hAnsi="Times New Roman" w:cs="Times New Roman"/>
          <w:sz w:val="24"/>
          <w:szCs w:val="24"/>
        </w:rPr>
        <w:t>. s 26 (2012) 285–307.</w:t>
      </w:r>
    </w:p>
    <w:p w14:paraId="4766BC38" w14:textId="77777777" w:rsidR="00544207" w:rsidRPr="00167789" w:rsidRDefault="00544207" w:rsidP="00A74CB8">
      <w:pPr>
        <w:pStyle w:val="Textodenotaderodap"/>
        <w:spacing w:after="240"/>
        <w:rPr>
          <w:rFonts w:ascii="Times New Roman" w:hAnsi="Times New Roman" w:cs="Times New Roman"/>
          <w:sz w:val="24"/>
          <w:szCs w:val="24"/>
        </w:rPr>
      </w:pPr>
      <w:r w:rsidRPr="00167789">
        <w:rPr>
          <w:rFonts w:ascii="Times New Roman" w:hAnsi="Times New Roman" w:cs="Times New Roman"/>
          <w:sz w:val="24"/>
          <w:szCs w:val="24"/>
        </w:rPr>
        <w:t xml:space="preserve">MATION, L. F. Comparações internacionais de produtividade e impactos do ambiente de negócios. In: DE NEGRI, F.; CAVALCANTE, L. R. </w:t>
      </w:r>
      <w:r w:rsidRPr="00167789">
        <w:rPr>
          <w:rFonts w:ascii="Times New Roman" w:hAnsi="Times New Roman" w:cs="Times New Roman"/>
          <w:b/>
          <w:sz w:val="24"/>
          <w:szCs w:val="24"/>
        </w:rPr>
        <w:t>Produtividade no Brasil: desempenho e determinantes</w:t>
      </w:r>
      <w:r w:rsidRPr="00167789">
        <w:rPr>
          <w:rFonts w:ascii="Times New Roman" w:hAnsi="Times New Roman" w:cs="Times New Roman"/>
          <w:sz w:val="24"/>
          <w:szCs w:val="24"/>
        </w:rPr>
        <w:t>. Brasília: ABDI/Ipea, 2014.</w:t>
      </w:r>
      <w:r w:rsidR="00167789" w:rsidRPr="00167789">
        <w:rPr>
          <w:rFonts w:ascii="Times New Roman" w:hAnsi="Times New Roman" w:cs="Times New Roman"/>
          <w:sz w:val="24"/>
          <w:szCs w:val="24"/>
        </w:rPr>
        <w:t xml:space="preserve"> Disponível em : </w:t>
      </w:r>
      <w:hyperlink r:id="rId39" w:history="1">
        <w:r w:rsidR="00167789" w:rsidRPr="00167789">
          <w:rPr>
            <w:rStyle w:val="Hyperlink"/>
            <w:rFonts w:ascii="Times New Roman" w:hAnsi="Times New Roman" w:cs="Times New Roman"/>
            <w:sz w:val="24"/>
            <w:szCs w:val="24"/>
          </w:rPr>
          <w:t>http://ipea.gov.br/portal/index.php?option=com_content&amp;view=article&amp;id=23986</w:t>
        </w:r>
      </w:hyperlink>
    </w:p>
    <w:p w14:paraId="4B4F817E" w14:textId="77777777" w:rsidR="00A74CB8" w:rsidRDefault="00544207" w:rsidP="00A74CB8">
      <w:pPr>
        <w:pStyle w:val="Textodenotaderodap"/>
        <w:spacing w:after="240"/>
        <w:rPr>
          <w:rFonts w:ascii="Times New Roman" w:hAnsi="Times New Roman" w:cs="Times New Roman"/>
          <w:sz w:val="24"/>
          <w:szCs w:val="24"/>
        </w:rPr>
      </w:pPr>
      <w:r w:rsidRPr="00544207">
        <w:rPr>
          <w:rFonts w:ascii="Times New Roman" w:hAnsi="Times New Roman" w:cs="Times New Roman"/>
          <w:sz w:val="24"/>
          <w:szCs w:val="24"/>
        </w:rPr>
        <w:t>Gillanders</w:t>
      </w:r>
      <w:r w:rsidR="00A74CB8">
        <w:rPr>
          <w:rFonts w:ascii="Times New Roman" w:hAnsi="Times New Roman" w:cs="Times New Roman"/>
          <w:sz w:val="24"/>
          <w:szCs w:val="24"/>
        </w:rPr>
        <w:t xml:space="preserve">. </w:t>
      </w:r>
      <w:r w:rsidR="00A74CB8" w:rsidRPr="00544207">
        <w:rPr>
          <w:rFonts w:ascii="Times New Roman" w:hAnsi="Times New Roman" w:cs="Times New Roman"/>
          <w:sz w:val="24"/>
          <w:szCs w:val="24"/>
        </w:rPr>
        <w:t>Robert</w:t>
      </w:r>
      <w:r w:rsidR="00A74CB8">
        <w:rPr>
          <w:rFonts w:ascii="Times New Roman" w:hAnsi="Times New Roman" w:cs="Times New Roman"/>
          <w:sz w:val="24"/>
          <w:szCs w:val="24"/>
        </w:rPr>
        <w:t>,</w:t>
      </w:r>
      <w:r w:rsidRPr="00544207">
        <w:rPr>
          <w:rFonts w:ascii="Times New Roman" w:hAnsi="Times New Roman" w:cs="Times New Roman"/>
          <w:sz w:val="24"/>
          <w:szCs w:val="24"/>
        </w:rPr>
        <w:t xml:space="preserve"> </w:t>
      </w:r>
      <w:r w:rsidR="00A74CB8" w:rsidRPr="00544207">
        <w:rPr>
          <w:rFonts w:ascii="Times New Roman" w:hAnsi="Times New Roman" w:cs="Times New Roman"/>
          <w:sz w:val="24"/>
          <w:szCs w:val="24"/>
        </w:rPr>
        <w:t>WHELAN</w:t>
      </w:r>
      <w:r w:rsidR="00A74CB8">
        <w:rPr>
          <w:rFonts w:ascii="Times New Roman" w:hAnsi="Times New Roman" w:cs="Times New Roman"/>
          <w:sz w:val="24"/>
          <w:szCs w:val="24"/>
        </w:rPr>
        <w:t>. K</w:t>
      </w:r>
      <w:r w:rsidRPr="00544207">
        <w:rPr>
          <w:rFonts w:ascii="Times New Roman" w:hAnsi="Times New Roman" w:cs="Times New Roman"/>
          <w:sz w:val="24"/>
          <w:szCs w:val="24"/>
        </w:rPr>
        <w:t>. "Open For Business? Institutions, Business Environment and Economic Development," Kyklos, Wiley Blackwell, vol.</w:t>
      </w:r>
      <w:r w:rsidR="00A74CB8">
        <w:rPr>
          <w:rFonts w:ascii="Times New Roman" w:hAnsi="Times New Roman" w:cs="Times New Roman"/>
          <w:sz w:val="24"/>
          <w:szCs w:val="24"/>
        </w:rPr>
        <w:t xml:space="preserve"> 67(4), pages 535-558, November</w:t>
      </w:r>
      <w:r w:rsidR="00A74CB8" w:rsidRPr="00544207">
        <w:rPr>
          <w:rFonts w:ascii="Times New Roman" w:hAnsi="Times New Roman" w:cs="Times New Roman"/>
          <w:sz w:val="24"/>
          <w:szCs w:val="24"/>
        </w:rPr>
        <w:t>, 2014</w:t>
      </w:r>
    </w:p>
    <w:p w14:paraId="44278DBF" w14:textId="77777777" w:rsidR="00544207" w:rsidRPr="00544207" w:rsidRDefault="00544207" w:rsidP="00A74CB8">
      <w:pPr>
        <w:spacing w:after="240"/>
        <w:rPr>
          <w:rFonts w:ascii="Times New Roman" w:hAnsi="Times New Roman" w:cs="Times New Roman"/>
          <w:sz w:val="24"/>
          <w:szCs w:val="24"/>
        </w:rPr>
      </w:pPr>
      <w:r w:rsidRPr="00544207">
        <w:rPr>
          <w:rFonts w:ascii="Times New Roman" w:hAnsi="Times New Roman" w:cs="Times New Roman"/>
          <w:sz w:val="24"/>
          <w:szCs w:val="24"/>
        </w:rPr>
        <w:t xml:space="preserve">WHITE, S. Donor approaches to improving the business environment for small enterprises. </w:t>
      </w:r>
      <w:r w:rsidRPr="00544207">
        <w:rPr>
          <w:rFonts w:ascii="Times New Roman" w:hAnsi="Times New Roman" w:cs="Times New Roman"/>
          <w:b/>
          <w:sz w:val="24"/>
          <w:szCs w:val="24"/>
        </w:rPr>
        <w:t>Working Group on Enabling Environment Committee of Donor Agencies for Small Enterprise Development</w:t>
      </w:r>
      <w:r w:rsidRPr="00544207">
        <w:rPr>
          <w:rFonts w:ascii="Times New Roman" w:hAnsi="Times New Roman" w:cs="Times New Roman"/>
          <w:sz w:val="24"/>
          <w:szCs w:val="24"/>
        </w:rPr>
        <w:t>. July, 2014.</w:t>
      </w:r>
    </w:p>
    <w:p w14:paraId="3C75C376" w14:textId="77777777" w:rsidR="00544207" w:rsidRDefault="00544207" w:rsidP="00A74CB8">
      <w:pPr>
        <w:pStyle w:val="Textodenotaderodap"/>
        <w:spacing w:after="240"/>
        <w:rPr>
          <w:rFonts w:ascii="Times New Roman" w:hAnsi="Times New Roman" w:cs="Times New Roman"/>
          <w:sz w:val="24"/>
          <w:szCs w:val="24"/>
        </w:rPr>
      </w:pPr>
      <w:r w:rsidRPr="00544207">
        <w:rPr>
          <w:rFonts w:ascii="Times New Roman" w:hAnsi="Times New Roman" w:cs="Times New Roman"/>
          <w:sz w:val="24"/>
          <w:szCs w:val="24"/>
        </w:rPr>
        <w:t xml:space="preserve">ZIRRA, A. Recent Developments of International Business Environment. </w:t>
      </w:r>
      <w:r w:rsidRPr="00544207">
        <w:rPr>
          <w:rFonts w:ascii="Times New Roman" w:hAnsi="Times New Roman" w:cs="Times New Roman"/>
          <w:b/>
          <w:bCs/>
          <w:sz w:val="24"/>
          <w:szCs w:val="24"/>
        </w:rPr>
        <w:t>Romanian Economic Business Review</w:t>
      </w:r>
      <w:r w:rsidRPr="00544207">
        <w:rPr>
          <w:rFonts w:ascii="Times New Roman" w:hAnsi="Times New Roman" w:cs="Times New Roman"/>
          <w:sz w:val="24"/>
          <w:szCs w:val="24"/>
        </w:rPr>
        <w:t>, v. 10, n. 4, p. 69–80, 2015.</w:t>
      </w:r>
    </w:p>
    <w:p w14:paraId="0CD84F00" w14:textId="77777777" w:rsidR="00E95BA3" w:rsidRDefault="00E95BA3" w:rsidP="00202F3F">
      <w:pPr>
        <w:jc w:val="both"/>
        <w:rPr>
          <w:rFonts w:ascii="Times New Roman" w:hAnsi="Times New Roman" w:cs="Times New Roman"/>
          <w:sz w:val="24"/>
          <w:szCs w:val="24"/>
        </w:rPr>
      </w:pPr>
    </w:p>
    <w:p w14:paraId="615B7144" w14:textId="77777777" w:rsidR="00E95BA3" w:rsidRDefault="00E95BA3" w:rsidP="00544207">
      <w:pPr>
        <w:pStyle w:val="Textodenotaderodap"/>
        <w:rPr>
          <w:rFonts w:ascii="Times New Roman" w:hAnsi="Times New Roman" w:cs="Times New Roman"/>
          <w:sz w:val="24"/>
          <w:szCs w:val="24"/>
        </w:rPr>
      </w:pPr>
    </w:p>
    <w:p w14:paraId="0C15155F" w14:textId="77777777" w:rsidR="00E95BA3" w:rsidRDefault="00E95BA3" w:rsidP="00202F3F">
      <w:pPr>
        <w:jc w:val="both"/>
        <w:rPr>
          <w:rFonts w:ascii="Times New Roman" w:hAnsi="Times New Roman" w:cs="Times New Roman"/>
          <w:sz w:val="24"/>
          <w:szCs w:val="24"/>
        </w:rPr>
      </w:pPr>
    </w:p>
    <w:p w14:paraId="1FE1A4EC" w14:textId="77777777" w:rsidR="00E95BA3" w:rsidRDefault="00E95BA3" w:rsidP="00202F3F">
      <w:pPr>
        <w:jc w:val="both"/>
        <w:rPr>
          <w:rFonts w:ascii="Times New Roman" w:hAnsi="Times New Roman" w:cs="Times New Roman"/>
          <w:sz w:val="24"/>
          <w:szCs w:val="24"/>
        </w:rPr>
      </w:pPr>
    </w:p>
    <w:p w14:paraId="2E80A92F" w14:textId="77777777" w:rsidR="00E95BA3" w:rsidRDefault="00E95BA3" w:rsidP="00202F3F">
      <w:pPr>
        <w:jc w:val="both"/>
        <w:rPr>
          <w:rFonts w:ascii="Times New Roman" w:hAnsi="Times New Roman" w:cs="Times New Roman"/>
          <w:sz w:val="24"/>
          <w:szCs w:val="24"/>
        </w:rPr>
      </w:pPr>
    </w:p>
    <w:p w14:paraId="18E73370" w14:textId="77777777" w:rsidR="00E95BA3" w:rsidRDefault="00E95BA3" w:rsidP="00202F3F">
      <w:pPr>
        <w:jc w:val="both"/>
        <w:rPr>
          <w:rFonts w:ascii="Times New Roman" w:hAnsi="Times New Roman" w:cs="Times New Roman"/>
          <w:sz w:val="24"/>
          <w:szCs w:val="24"/>
        </w:rPr>
      </w:pPr>
    </w:p>
    <w:p w14:paraId="78AD0E79" w14:textId="77777777" w:rsidR="00E95BA3" w:rsidRDefault="00E95BA3" w:rsidP="00202F3F">
      <w:pPr>
        <w:jc w:val="both"/>
        <w:rPr>
          <w:rFonts w:ascii="Times New Roman" w:hAnsi="Times New Roman" w:cs="Times New Roman"/>
          <w:sz w:val="24"/>
          <w:szCs w:val="24"/>
        </w:rPr>
      </w:pPr>
    </w:p>
    <w:p w14:paraId="22114067" w14:textId="77777777" w:rsidR="00E95BA3" w:rsidRDefault="00E95BA3" w:rsidP="00202F3F">
      <w:pPr>
        <w:jc w:val="both"/>
        <w:rPr>
          <w:rFonts w:ascii="Times New Roman" w:hAnsi="Times New Roman" w:cs="Times New Roman"/>
          <w:sz w:val="24"/>
          <w:szCs w:val="24"/>
        </w:rPr>
      </w:pPr>
    </w:p>
    <w:p w14:paraId="0AE0806B" w14:textId="77777777" w:rsidR="00E95BA3" w:rsidRDefault="00E95BA3" w:rsidP="00202F3F">
      <w:pPr>
        <w:jc w:val="both"/>
        <w:rPr>
          <w:rFonts w:ascii="Times New Roman" w:hAnsi="Times New Roman" w:cs="Times New Roman"/>
          <w:sz w:val="24"/>
          <w:szCs w:val="24"/>
        </w:rPr>
      </w:pPr>
    </w:p>
    <w:p w14:paraId="61AB49E8" w14:textId="77777777" w:rsidR="00E95BA3" w:rsidRDefault="00E95BA3" w:rsidP="00202F3F">
      <w:pPr>
        <w:jc w:val="both"/>
        <w:rPr>
          <w:rFonts w:ascii="Times New Roman" w:hAnsi="Times New Roman" w:cs="Times New Roman"/>
          <w:sz w:val="24"/>
          <w:szCs w:val="24"/>
        </w:rPr>
      </w:pPr>
    </w:p>
    <w:p w14:paraId="033F3C9A" w14:textId="77777777" w:rsidR="00E95BA3" w:rsidRDefault="00E95BA3" w:rsidP="00202F3F">
      <w:pPr>
        <w:jc w:val="both"/>
        <w:rPr>
          <w:rFonts w:ascii="Times New Roman" w:hAnsi="Times New Roman" w:cs="Times New Roman"/>
          <w:sz w:val="24"/>
          <w:szCs w:val="24"/>
        </w:rPr>
      </w:pPr>
    </w:p>
    <w:p w14:paraId="2C0481F7" w14:textId="77777777" w:rsidR="00E95BA3" w:rsidRDefault="00E95BA3" w:rsidP="00202F3F">
      <w:pPr>
        <w:jc w:val="both"/>
        <w:rPr>
          <w:rFonts w:ascii="Times New Roman" w:hAnsi="Times New Roman" w:cs="Times New Roman"/>
          <w:sz w:val="24"/>
          <w:szCs w:val="24"/>
        </w:rPr>
      </w:pPr>
    </w:p>
    <w:p w14:paraId="43FAA60B" w14:textId="77777777" w:rsidR="00E95BA3" w:rsidRDefault="00E95BA3" w:rsidP="00202F3F">
      <w:pPr>
        <w:jc w:val="both"/>
        <w:rPr>
          <w:rFonts w:ascii="Times New Roman" w:hAnsi="Times New Roman" w:cs="Times New Roman"/>
          <w:sz w:val="24"/>
          <w:szCs w:val="24"/>
        </w:rPr>
      </w:pPr>
    </w:p>
    <w:p w14:paraId="01C0BF27" w14:textId="77777777" w:rsidR="006A4B0A" w:rsidRPr="006A4B0A" w:rsidRDefault="006A4B0A" w:rsidP="006A4B0A">
      <w:pPr>
        <w:jc w:val="both"/>
        <w:rPr>
          <w:rFonts w:ascii="Times New Roman" w:hAnsi="Times New Roman" w:cs="Times New Roman"/>
          <w:sz w:val="24"/>
          <w:szCs w:val="24"/>
        </w:rPr>
      </w:pPr>
    </w:p>
    <w:sectPr w:rsidR="006A4B0A" w:rsidRPr="006A4B0A" w:rsidSect="005779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222E3" w14:textId="77777777" w:rsidR="00B37615" w:rsidRDefault="00B37615" w:rsidP="005779CF">
      <w:pPr>
        <w:spacing w:after="0" w:line="240" w:lineRule="auto"/>
      </w:pPr>
      <w:r>
        <w:separator/>
      </w:r>
    </w:p>
  </w:endnote>
  <w:endnote w:type="continuationSeparator" w:id="0">
    <w:p w14:paraId="5421408C" w14:textId="77777777" w:rsidR="00B37615" w:rsidRDefault="00B37615" w:rsidP="00577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F91C4" w14:textId="77777777" w:rsidR="00B37615" w:rsidRDefault="00B37615" w:rsidP="005779CF">
      <w:pPr>
        <w:spacing w:after="0" w:line="240" w:lineRule="auto"/>
      </w:pPr>
      <w:r>
        <w:separator/>
      </w:r>
    </w:p>
  </w:footnote>
  <w:footnote w:type="continuationSeparator" w:id="0">
    <w:p w14:paraId="5A28A65F" w14:textId="77777777" w:rsidR="00B37615" w:rsidRDefault="00B37615" w:rsidP="005779CF">
      <w:pPr>
        <w:spacing w:after="0" w:line="240" w:lineRule="auto"/>
      </w:pPr>
      <w:r>
        <w:continuationSeparator/>
      </w:r>
    </w:p>
  </w:footnote>
  <w:footnote w:id="1">
    <w:p w14:paraId="7AF30C68" w14:textId="77777777" w:rsidR="002878A8" w:rsidRPr="001E5759" w:rsidRDefault="002878A8">
      <w:pPr>
        <w:pStyle w:val="Textodenotaderodap"/>
        <w:rPr>
          <w:rFonts w:cstheme="minorHAnsi"/>
        </w:rPr>
      </w:pPr>
      <w:r w:rsidRPr="00687A33">
        <w:rPr>
          <w:rStyle w:val="Refdenotaderodap"/>
          <w:rFonts w:ascii="Times New Roman" w:hAnsi="Times New Roman" w:cs="Times New Roman"/>
        </w:rPr>
        <w:footnoteRef/>
      </w:r>
      <w:r w:rsidRPr="00687A33">
        <w:rPr>
          <w:rFonts w:ascii="Times New Roman" w:hAnsi="Times New Roman" w:cs="Times New Roman"/>
        </w:rPr>
        <w:t xml:space="preserve"> </w:t>
      </w:r>
      <w:r w:rsidR="00480E56">
        <w:rPr>
          <w:rFonts w:cstheme="minorHAnsi"/>
        </w:rPr>
        <w:t>ACEMOGLU</w:t>
      </w:r>
      <w:r w:rsidRPr="001E5759">
        <w:rPr>
          <w:rFonts w:cstheme="minorHAnsi"/>
        </w:rPr>
        <w:t>, Daron &amp; Johnson, Simon &amp; Robinson, James A., 2005. "</w:t>
      </w:r>
      <w:r w:rsidRPr="001E5759">
        <w:rPr>
          <w:rFonts w:cstheme="minorHAnsi"/>
          <w:b/>
        </w:rPr>
        <w:t>Institutions as a Fundamental Cause of Long-Run Growth,</w:t>
      </w:r>
      <w:r w:rsidRPr="001E5759">
        <w:rPr>
          <w:rFonts w:cstheme="minorHAnsi"/>
        </w:rPr>
        <w:t>" Handbook of Economic Growth,in: Philippe Aghion &amp; Steven Durlauf (ed.), Handbook of Economic Growth, edition 1, volume 1, chapter 6, pages 385-472 Elsevier.</w:t>
      </w:r>
    </w:p>
  </w:footnote>
  <w:footnote w:id="2">
    <w:p w14:paraId="592FDD3A" w14:textId="77777777" w:rsidR="003D6805" w:rsidRPr="001E5759" w:rsidRDefault="003D6805">
      <w:pPr>
        <w:pStyle w:val="Textodenotaderodap"/>
        <w:rPr>
          <w:rFonts w:cstheme="minorHAnsi"/>
        </w:rPr>
      </w:pPr>
      <w:r w:rsidRPr="001E5759">
        <w:rPr>
          <w:rStyle w:val="Refdenotaderodap"/>
          <w:rFonts w:cstheme="minorHAnsi"/>
        </w:rPr>
        <w:footnoteRef/>
      </w:r>
      <w:r w:rsidRPr="001E5759">
        <w:rPr>
          <w:rFonts w:cstheme="minorHAnsi"/>
        </w:rPr>
        <w:t xml:space="preserve"> </w:t>
      </w:r>
      <w:r w:rsidR="00D41AC4" w:rsidRPr="00D41AC4">
        <w:rPr>
          <w:rFonts w:cstheme="minorHAnsi"/>
        </w:rPr>
        <w:t xml:space="preserve">  Ibidem, Ibid.</w:t>
      </w:r>
    </w:p>
  </w:footnote>
  <w:footnote w:id="3">
    <w:p w14:paraId="1C46E632" w14:textId="77777777" w:rsidR="003D6805" w:rsidRPr="001E5759" w:rsidRDefault="003D6805">
      <w:pPr>
        <w:pStyle w:val="Textodenotaderodap"/>
        <w:rPr>
          <w:rFonts w:cstheme="minorHAnsi"/>
        </w:rPr>
      </w:pPr>
      <w:r w:rsidRPr="001E5759">
        <w:rPr>
          <w:rStyle w:val="Refdenotaderodap"/>
          <w:rFonts w:cstheme="minorHAnsi"/>
        </w:rPr>
        <w:footnoteRef/>
      </w:r>
      <w:r w:rsidRPr="001E5759">
        <w:rPr>
          <w:rFonts w:cstheme="minorHAnsi"/>
        </w:rPr>
        <w:t xml:space="preserve"> ZIRRA, A. Recent Developments of International Business Environment. </w:t>
      </w:r>
      <w:r w:rsidRPr="001E5759">
        <w:rPr>
          <w:rFonts w:cstheme="minorHAnsi"/>
          <w:b/>
          <w:bCs/>
        </w:rPr>
        <w:t>Romanian Economic Business Review</w:t>
      </w:r>
      <w:r w:rsidRPr="001E5759">
        <w:rPr>
          <w:rFonts w:cstheme="minorHAnsi"/>
        </w:rPr>
        <w:t>, v. 10, n. 4, p. 69–80, 2015.</w:t>
      </w:r>
    </w:p>
  </w:footnote>
  <w:footnote w:id="4">
    <w:p w14:paraId="66F9C3C2" w14:textId="77777777" w:rsidR="00480E56" w:rsidRDefault="00480E56" w:rsidP="00165758">
      <w:pPr>
        <w:pStyle w:val="Textodenotaderodap"/>
      </w:pPr>
      <w:r>
        <w:rPr>
          <w:rStyle w:val="Refdenotaderodap"/>
        </w:rPr>
        <w:footnoteRef/>
      </w:r>
      <w:r>
        <w:t xml:space="preserve"> </w:t>
      </w:r>
      <w:r w:rsidRPr="00480E56">
        <w:t xml:space="preserve">WHITE, S. </w:t>
      </w:r>
      <w:r w:rsidR="00165758">
        <w:t>Donor approaches to improving the business environment for small enterprises</w:t>
      </w:r>
      <w:r w:rsidRPr="00480E56">
        <w:t>.</w:t>
      </w:r>
      <w:r w:rsidR="00165758" w:rsidRPr="00165758">
        <w:t xml:space="preserve"> </w:t>
      </w:r>
      <w:r w:rsidR="00165758" w:rsidRPr="00165758">
        <w:rPr>
          <w:b/>
        </w:rPr>
        <w:t>Working Group on Enabling Environment Committee of Donor Agencies for Small Enterprise Development</w:t>
      </w:r>
      <w:r w:rsidR="00165758">
        <w:t>. July, 2014</w:t>
      </w:r>
      <w:r w:rsidRPr="00480E56">
        <w:t>.</w:t>
      </w:r>
    </w:p>
  </w:footnote>
  <w:footnote w:id="5">
    <w:p w14:paraId="16D7E124" w14:textId="77777777" w:rsidR="00BA3F65" w:rsidRPr="00D37611" w:rsidRDefault="00BA3F65" w:rsidP="001E5759">
      <w:pPr>
        <w:pStyle w:val="Textodenotaderodap"/>
        <w:jc w:val="both"/>
        <w:rPr>
          <w:rFonts w:cstheme="minorHAnsi"/>
        </w:rPr>
      </w:pPr>
      <w:r w:rsidRPr="001E5759">
        <w:rPr>
          <w:rStyle w:val="Refdenotaderodap"/>
          <w:rFonts w:cstheme="minorHAnsi"/>
          <w:sz w:val="24"/>
          <w:szCs w:val="24"/>
        </w:rPr>
        <w:footnoteRef/>
      </w:r>
      <w:r w:rsidRPr="001E5759">
        <w:rPr>
          <w:rFonts w:cstheme="minorHAnsi"/>
          <w:sz w:val="24"/>
          <w:szCs w:val="24"/>
        </w:rPr>
        <w:t xml:space="preserve"> </w:t>
      </w:r>
      <w:r w:rsidRPr="00D37611">
        <w:rPr>
          <w:rFonts w:cstheme="minorHAnsi"/>
        </w:rPr>
        <w:t xml:space="preserve">Apesar deste estudo ter como objeto de análise os indicadores </w:t>
      </w:r>
      <w:r w:rsidRPr="00D37611">
        <w:rPr>
          <w:rFonts w:cstheme="minorHAnsi"/>
          <w:i/>
        </w:rPr>
        <w:t>Doing Business</w:t>
      </w:r>
      <w:r w:rsidRPr="00D37611">
        <w:rPr>
          <w:rFonts w:cstheme="minorHAnsi"/>
        </w:rPr>
        <w:t xml:space="preserve"> do Banco Mundial, outros indicadores internacionais também medem a qualidade institucional dos países, tais como o </w:t>
      </w:r>
      <w:r w:rsidRPr="00D37611">
        <w:rPr>
          <w:rFonts w:cstheme="minorHAnsi"/>
          <w:i/>
        </w:rPr>
        <w:t>Global Competitiveness Index</w:t>
      </w:r>
      <w:r w:rsidRPr="00D37611">
        <w:rPr>
          <w:rFonts w:cstheme="minorHAnsi"/>
        </w:rPr>
        <w:t xml:space="preserve">, do Fórum Econômico Mundial e o </w:t>
      </w:r>
      <w:r w:rsidRPr="00D37611">
        <w:rPr>
          <w:rFonts w:cstheme="minorHAnsi"/>
          <w:i/>
        </w:rPr>
        <w:t>Index of Economic freedom</w:t>
      </w:r>
      <w:r w:rsidRPr="00D37611">
        <w:rPr>
          <w:rFonts w:cstheme="minorHAnsi"/>
        </w:rPr>
        <w:t xml:space="preserve"> da Heritage Foundation</w:t>
      </w:r>
      <w:r w:rsidR="003D6805" w:rsidRPr="00D37611">
        <w:rPr>
          <w:rFonts w:cstheme="minorHAnsi"/>
        </w:rPr>
        <w:t>.</w:t>
      </w:r>
    </w:p>
  </w:footnote>
  <w:footnote w:id="6">
    <w:p w14:paraId="72E4D8A0" w14:textId="77777777" w:rsidR="00D37611" w:rsidRPr="00D37611" w:rsidRDefault="00D37611">
      <w:pPr>
        <w:pStyle w:val="Textodenotaderodap"/>
      </w:pPr>
      <w:r w:rsidRPr="00D37611">
        <w:rPr>
          <w:rStyle w:val="Refdenotaderodap"/>
        </w:rPr>
        <w:footnoteRef/>
      </w:r>
      <w:r w:rsidRPr="00D37611">
        <w:t xml:space="preserve"> Robert Gillanders &amp; Karl Whelan, 2014. "Open For Business? Institutions, Business Environment and Economic Development," Kyklos, Wiley Blackwell, vol. 67(4), pages 535-558, November.</w:t>
      </w:r>
    </w:p>
  </w:footnote>
  <w:footnote w:id="7">
    <w:p w14:paraId="505754F4" w14:textId="77777777" w:rsidR="003D6805" w:rsidRPr="00D37611" w:rsidRDefault="003D6805">
      <w:pPr>
        <w:pStyle w:val="Textodenotaderodap"/>
        <w:rPr>
          <w:rFonts w:cstheme="minorHAnsi"/>
        </w:rPr>
      </w:pPr>
      <w:r w:rsidRPr="00D37611">
        <w:rPr>
          <w:rStyle w:val="Refdenotaderodap"/>
          <w:rFonts w:cstheme="minorHAnsi"/>
        </w:rPr>
        <w:footnoteRef/>
      </w:r>
      <w:r w:rsidRPr="00D37611">
        <w:rPr>
          <w:rFonts w:cstheme="minorHAnsi"/>
        </w:rPr>
        <w:t xml:space="preserve"> </w:t>
      </w:r>
      <w:r w:rsidR="00544207">
        <w:rPr>
          <w:rFonts w:cstheme="minorHAnsi"/>
        </w:rPr>
        <w:t>M</w:t>
      </w:r>
      <w:r w:rsidRPr="00D37611">
        <w:rPr>
          <w:rFonts w:cstheme="minorHAnsi"/>
        </w:rPr>
        <w:t xml:space="preserve">ATION, L. F. Comparações internacionais de produtividade e impactos do ambiente de negócios. In: DE NEGRI, F.; CAVALCANTE, L. R. </w:t>
      </w:r>
      <w:r w:rsidRPr="00D37611">
        <w:rPr>
          <w:rFonts w:cstheme="minorHAnsi"/>
          <w:b/>
        </w:rPr>
        <w:t>Produtividade no Brasil: desempenho e determinantes</w:t>
      </w:r>
      <w:r w:rsidRPr="00D37611">
        <w:rPr>
          <w:rFonts w:cstheme="minorHAnsi"/>
        </w:rPr>
        <w:t>. Brasília: ABDI/Ipea, 2014.</w:t>
      </w:r>
    </w:p>
  </w:footnote>
  <w:footnote w:id="8">
    <w:p w14:paraId="416304F5" w14:textId="77777777" w:rsidR="001E5759" w:rsidRDefault="001E5759">
      <w:pPr>
        <w:pStyle w:val="Textodenotaderodap"/>
      </w:pPr>
      <w:r w:rsidRPr="00D37611">
        <w:rPr>
          <w:rStyle w:val="Refdenotaderodap"/>
          <w:rFonts w:cstheme="minorHAnsi"/>
        </w:rPr>
        <w:footnoteRef/>
      </w:r>
      <w:r w:rsidRPr="00D37611">
        <w:rPr>
          <w:rFonts w:cstheme="minorHAnsi"/>
        </w:rPr>
        <w:t xml:space="preserve"> CAVALCANTE, L. R. Ambiente De Negócios, Investimentos E Produtividade. </w:t>
      </w:r>
      <w:r w:rsidRPr="00D37611">
        <w:rPr>
          <w:rFonts w:cstheme="minorHAnsi"/>
          <w:b/>
          <w:bCs/>
        </w:rPr>
        <w:t>Instituto de Pesquisa Econômica Aplicada</w:t>
      </w:r>
      <w:r w:rsidRPr="00D37611">
        <w:rPr>
          <w:rFonts w:cstheme="minorHAnsi"/>
        </w:rPr>
        <w:t>, v. 2130, n. 1415–4765, 2015.</w:t>
      </w:r>
    </w:p>
  </w:footnote>
  <w:footnote w:id="9">
    <w:p w14:paraId="0EC20F90" w14:textId="77777777" w:rsidR="00BA3F65" w:rsidRPr="001E5759" w:rsidRDefault="00BA3F65">
      <w:pPr>
        <w:pStyle w:val="Textodenotaderodap"/>
        <w:rPr>
          <w:rFonts w:cstheme="minorHAnsi"/>
        </w:rPr>
      </w:pPr>
      <w:r w:rsidRPr="001E5759">
        <w:rPr>
          <w:rStyle w:val="Refdenotaderodap"/>
          <w:rFonts w:cstheme="minorHAnsi"/>
        </w:rPr>
        <w:footnoteRef/>
      </w:r>
      <w:r w:rsidRPr="001E5759">
        <w:rPr>
          <w:rFonts w:cstheme="minorHAnsi"/>
        </w:rPr>
        <w:t xml:space="preserve"> Regulamentação do mercado de trabalho não se incorpora ao cálculo final do relatório, apresentando-se apenas como um indicador complementar</w:t>
      </w:r>
    </w:p>
  </w:footnote>
  <w:footnote w:id="10">
    <w:p w14:paraId="45DBB1A6" w14:textId="77777777" w:rsidR="005E65BB" w:rsidRDefault="005E65BB">
      <w:pPr>
        <w:pStyle w:val="Textodenotaderodap"/>
      </w:pPr>
      <w:r>
        <w:rPr>
          <w:rStyle w:val="Refdenotaderodap"/>
        </w:rPr>
        <w:footnoteRef/>
      </w:r>
      <w:r>
        <w:t xml:space="preserve"> Estas categorias por faixa de renda são fornecidas pela própria base de dados do Doing Business de Banco Mundial</w:t>
      </w:r>
    </w:p>
  </w:footnote>
  <w:footnote w:id="11">
    <w:p w14:paraId="183AF8D6" w14:textId="77777777" w:rsidR="00BA3F65" w:rsidRDefault="00BA3F65">
      <w:pPr>
        <w:pStyle w:val="Textodenotaderodap"/>
      </w:pPr>
      <w:r>
        <w:rPr>
          <w:rStyle w:val="Refdenotaderodap"/>
        </w:rPr>
        <w:footnoteRef/>
      </w:r>
      <w:r>
        <w:t xml:space="preserve"> A metodologia do DB adota no Brasil o registro</w:t>
      </w:r>
      <w:r w:rsidRPr="00C50B86">
        <w:t xml:space="preserve"> sociedade de responsabilidade limitada</w:t>
      </w:r>
      <w:r>
        <w:t xml:space="preserve">. </w:t>
      </w:r>
    </w:p>
  </w:footnote>
  <w:footnote w:id="12">
    <w:p w14:paraId="2968E0D1" w14:textId="77777777" w:rsidR="00BA3F65" w:rsidRDefault="00BA3F65">
      <w:pPr>
        <w:pStyle w:val="Textodenotaderodap"/>
      </w:pPr>
      <w:r>
        <w:rPr>
          <w:rStyle w:val="Refdenotaderodap"/>
        </w:rPr>
        <w:footnoteRef/>
      </w:r>
      <w:r>
        <w:t xml:space="preserve"> </w:t>
      </w:r>
      <w:hyperlink r:id="rId1" w:history="1">
        <w:r>
          <w:rPr>
            <w:rStyle w:val="Hyperlink"/>
          </w:rPr>
          <w:t>http://portugues.doingbusiness.org/pt/methodology/starting-a-business</w:t>
        </w:r>
      </w:hyperlink>
    </w:p>
  </w:footnote>
  <w:footnote w:id="13">
    <w:p w14:paraId="378578CF" w14:textId="77777777" w:rsidR="00BA3F65" w:rsidRDefault="00BA3F65">
      <w:pPr>
        <w:pStyle w:val="Textodenotaderodap"/>
      </w:pPr>
      <w:r>
        <w:rPr>
          <w:rStyle w:val="Refdenotaderodap"/>
        </w:rPr>
        <w:footnoteRef/>
      </w:r>
      <w:r>
        <w:t xml:space="preserve"> A metodologia usada usa como observação homens e mulheres casados</w:t>
      </w:r>
    </w:p>
  </w:footnote>
  <w:footnote w:id="14">
    <w:p w14:paraId="16787099" w14:textId="77777777" w:rsidR="00BA3F65" w:rsidRDefault="00BA3F65" w:rsidP="007A6CB4">
      <w:pPr>
        <w:pStyle w:val="Textodenotaderodap"/>
      </w:pPr>
      <w:r>
        <w:rPr>
          <w:rStyle w:val="Refdenotaderodap"/>
        </w:rPr>
        <w:footnoteRef/>
      </w:r>
      <w:r>
        <w:t xml:space="preserve"> </w:t>
      </w:r>
      <w:hyperlink r:id="rId2" w:history="1">
        <w:r>
          <w:rPr>
            <w:rStyle w:val="Hyperlink"/>
          </w:rPr>
          <w:t>http://www.redesim.gov.br/copy_of_conheca-a-redesim</w:t>
        </w:r>
      </w:hyperlink>
    </w:p>
  </w:footnote>
  <w:footnote w:id="15">
    <w:p w14:paraId="2584576E" w14:textId="77777777" w:rsidR="00B700AC" w:rsidRDefault="00B700AC">
      <w:pPr>
        <w:pStyle w:val="Textodenotaderodap"/>
      </w:pPr>
      <w:r>
        <w:rPr>
          <w:rStyle w:val="Refdenotaderodap"/>
        </w:rPr>
        <w:footnoteRef/>
      </w:r>
      <w:r>
        <w:t xml:space="preserve"> </w:t>
      </w:r>
      <w:hyperlink r:id="rId3" w:history="1">
        <w:r w:rsidRPr="006B1498">
          <w:rPr>
            <w:rStyle w:val="Hyperlink"/>
          </w:rPr>
          <w:t>https://www.worldbank.org/en/news/press-release/2018/10/31/doing-business-report-china-carries-out-record-business-reforms-edges-into-top-50-economies</w:t>
        </w:r>
      </w:hyperlink>
      <w:r>
        <w:t xml:space="preserve"> </w:t>
      </w:r>
    </w:p>
  </w:footnote>
  <w:footnote w:id="16">
    <w:p w14:paraId="611AD320" w14:textId="77777777" w:rsidR="00BA3F65" w:rsidRDefault="00BA3F65">
      <w:pPr>
        <w:pStyle w:val="Textodenotaderodap"/>
      </w:pPr>
      <w:r>
        <w:rPr>
          <w:rStyle w:val="Refdenotaderodap"/>
        </w:rPr>
        <w:footnoteRef/>
      </w:r>
      <w:r>
        <w:t xml:space="preserve"> </w:t>
      </w:r>
      <w:hyperlink r:id="rId4" w:anchor="DB_dwcp" w:history="1">
        <w:r>
          <w:rPr>
            <w:rStyle w:val="Hyperlink"/>
          </w:rPr>
          <w:t>http://portugues.doingbusiness.org/pt/data/exploreeconomies/brazil#DB_dwcp</w:t>
        </w:r>
      </w:hyperlink>
    </w:p>
  </w:footnote>
  <w:footnote w:id="17">
    <w:p w14:paraId="5D226D5B" w14:textId="77777777" w:rsidR="00BA3F65" w:rsidRDefault="00BA3F65">
      <w:pPr>
        <w:pStyle w:val="Textodenotaderodap"/>
      </w:pPr>
      <w:r>
        <w:rPr>
          <w:rStyle w:val="Refdenotaderodap"/>
        </w:rPr>
        <w:footnoteRef/>
      </w:r>
      <w:r>
        <w:t xml:space="preserve"> </w:t>
      </w:r>
      <w:hyperlink r:id="rId5" w:history="1">
        <w:r>
          <w:rPr>
            <w:rStyle w:val="Hyperlink"/>
          </w:rPr>
          <w:t>http://portugues.doingbusiness.org/pt/methodology/paying-taxes</w:t>
        </w:r>
      </w:hyperlink>
    </w:p>
  </w:footnote>
  <w:footnote w:id="18">
    <w:p w14:paraId="0CCA2A22" w14:textId="77777777" w:rsidR="00D373E7" w:rsidRDefault="00D373E7">
      <w:pPr>
        <w:pStyle w:val="Textodenotaderodap"/>
      </w:pPr>
      <w:r>
        <w:rPr>
          <w:rStyle w:val="Refdenotaderodap"/>
        </w:rPr>
        <w:footnoteRef/>
      </w:r>
      <w:r>
        <w:t xml:space="preserve"> A metodologia de cálculo tributário total é feita com métricas específica para este indicador o que pode ser conferido na bibliografia acima</w:t>
      </w:r>
    </w:p>
  </w:footnote>
  <w:footnote w:id="19">
    <w:p w14:paraId="42BF074F" w14:textId="77777777" w:rsidR="00BA3F65" w:rsidRDefault="00BA3F65">
      <w:pPr>
        <w:pStyle w:val="Textodenotaderodap"/>
      </w:pPr>
      <w:r>
        <w:rPr>
          <w:rStyle w:val="Refdenotaderodap"/>
        </w:rPr>
        <w:footnoteRef/>
      </w:r>
      <w:r>
        <w:t xml:space="preserve"> </w:t>
      </w:r>
      <w:hyperlink r:id="rId6" w:history="1">
        <w:r>
          <w:rPr>
            <w:rStyle w:val="Hyperlink"/>
          </w:rPr>
          <w:t>http://portugues.doingbusiness.org/pt/methodology/trading-across-borders</w:t>
        </w:r>
      </w:hyperlink>
    </w:p>
  </w:footnote>
  <w:footnote w:id="20">
    <w:p w14:paraId="35883AF1" w14:textId="77777777" w:rsidR="00AA6403" w:rsidRDefault="00AA6403">
      <w:pPr>
        <w:pStyle w:val="Textodenotaderodap"/>
      </w:pPr>
      <w:r>
        <w:rPr>
          <w:rStyle w:val="Refdenotaderodap"/>
        </w:rPr>
        <w:footnoteRef/>
      </w:r>
      <w:r>
        <w:t xml:space="preserve"> Houve uma mudança metodológica a partir de 2016 com os dados atualizados com a nova metodologia somente em 2015. Por isso a análise histórica a partir de 2010 merece prudência</w:t>
      </w:r>
    </w:p>
  </w:footnote>
  <w:footnote w:id="21">
    <w:p w14:paraId="4649EFD7" w14:textId="77777777" w:rsidR="00BA3F65" w:rsidRDefault="00BA3F65">
      <w:pPr>
        <w:pStyle w:val="Textodenotaderodap"/>
      </w:pPr>
      <w:r>
        <w:rPr>
          <w:rStyle w:val="Refdenotaderodap"/>
        </w:rPr>
        <w:footnoteRef/>
      </w:r>
      <w:r>
        <w:t xml:space="preserve"> </w:t>
      </w:r>
      <w:hyperlink r:id="rId7" w:history="1">
        <w:r>
          <w:rPr>
            <w:rStyle w:val="Hyperlink"/>
          </w:rPr>
          <w:t>http://portugues.doingbusiness.org/pt/methodology/resolving-insolvency</w:t>
        </w:r>
      </w:hyperlink>
    </w:p>
  </w:footnote>
  <w:footnote w:id="22">
    <w:p w14:paraId="1D82DF1A" w14:textId="77777777" w:rsidR="00171465" w:rsidRDefault="00171465" w:rsidP="00171465">
      <w:pPr>
        <w:pStyle w:val="Textodenotaderodap"/>
      </w:pPr>
      <w:r>
        <w:rPr>
          <w:rStyle w:val="Refdenotaderodap"/>
        </w:rPr>
        <w:footnoteRef/>
      </w:r>
      <w:r>
        <w:t xml:space="preserve"> Haidar, J.I. The impact of business regulatory reforms on economic growth. </w:t>
      </w:r>
      <w:r w:rsidRPr="00B11E0A">
        <w:rPr>
          <w:b/>
        </w:rPr>
        <w:t>Journal of The Japanese and International Economies</w:t>
      </w:r>
      <w:r>
        <w:t xml:space="preserve">. </w:t>
      </w:r>
      <w:r w:rsidRPr="000233E3">
        <w:t>s 26 (2012) 285–307</w:t>
      </w:r>
      <w:r>
        <w:t xml:space="preserve">. </w:t>
      </w:r>
      <w:hyperlink r:id="rId8" w:history="1">
        <w:r>
          <w:rPr>
            <w:rStyle w:val="Hyperlink"/>
          </w:rPr>
          <w:t>http://scholar.harvard.edu/files/haidar/files/jjie_0.pdf?m=1439597425</w:t>
        </w:r>
      </w:hyperlink>
    </w:p>
  </w:footnote>
  <w:footnote w:id="23">
    <w:p w14:paraId="40B5B3AC" w14:textId="77777777" w:rsidR="00D41AC4" w:rsidRDefault="00D41AC4">
      <w:pPr>
        <w:pStyle w:val="Textodenotaderodap"/>
      </w:pPr>
      <w:r>
        <w:rPr>
          <w:rStyle w:val="Refdenotaderodap"/>
        </w:rPr>
        <w:footnoteRef/>
      </w:r>
      <w:r>
        <w:t xml:space="preserve"> </w:t>
      </w:r>
      <w:r w:rsidR="00FE63CA" w:rsidRPr="00D41AC4">
        <w:rPr>
          <w:rFonts w:cstheme="minorHAnsi"/>
        </w:rPr>
        <w:t xml:space="preserve">  Ibidem, Ibid.</w:t>
      </w:r>
    </w:p>
  </w:footnote>
  <w:footnote w:id="24">
    <w:p w14:paraId="15BAB56A" w14:textId="77777777" w:rsidR="00FE63CA" w:rsidRDefault="00FE63CA">
      <w:pPr>
        <w:pStyle w:val="Textodenotaderodap"/>
      </w:pPr>
      <w:r>
        <w:rPr>
          <w:rStyle w:val="Refdenotaderodap"/>
        </w:rPr>
        <w:footnoteRef/>
      </w:r>
      <w:r>
        <w:t xml:space="preserve"> </w:t>
      </w:r>
      <w:r w:rsidRPr="00D41AC4">
        <w:rPr>
          <w:rFonts w:cstheme="minorHAnsi"/>
        </w:rPr>
        <w:t xml:space="preserve">  Ibidem, Ibid.</w:t>
      </w:r>
    </w:p>
  </w:footnote>
  <w:footnote w:id="25">
    <w:p w14:paraId="36CE5483" w14:textId="77777777" w:rsidR="00171465" w:rsidRDefault="00171465" w:rsidP="00171465">
      <w:pPr>
        <w:pStyle w:val="Textodenotaderodap"/>
      </w:pPr>
      <w:r>
        <w:rPr>
          <w:rStyle w:val="Refdenotaderodap"/>
        </w:rPr>
        <w:footnoteRef/>
      </w:r>
      <w:r>
        <w:t xml:space="preserve"> Nota informativa: MP da Liberdade Econômica: impacto potencial sobre o PIB per capita e o emprego. Ministério da Economia. Julho de 2019. Disponível em: </w:t>
      </w:r>
      <w:hyperlink r:id="rId9" w:history="1">
        <w:r>
          <w:rPr>
            <w:rStyle w:val="Hyperlink"/>
          </w:rPr>
          <w:t>http://www.economia.gov.br/central-de-conteudos/publicacoes/notas-informativas/2019/ni_mp_liberdade_economica.pdf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3EE9"/>
    <w:multiLevelType w:val="hybridMultilevel"/>
    <w:tmpl w:val="636A626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ED1178"/>
    <w:multiLevelType w:val="multilevel"/>
    <w:tmpl w:val="ECD42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5252521"/>
    <w:multiLevelType w:val="hybridMultilevel"/>
    <w:tmpl w:val="04DA723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C037E91"/>
    <w:multiLevelType w:val="hybridMultilevel"/>
    <w:tmpl w:val="A9606E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F044D4"/>
    <w:multiLevelType w:val="multilevel"/>
    <w:tmpl w:val="ECD42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BE"/>
    <w:rsid w:val="00000C18"/>
    <w:rsid w:val="00001428"/>
    <w:rsid w:val="00014303"/>
    <w:rsid w:val="000233A3"/>
    <w:rsid w:val="000233E3"/>
    <w:rsid w:val="000323A0"/>
    <w:rsid w:val="000363CF"/>
    <w:rsid w:val="00047ED6"/>
    <w:rsid w:val="0006346C"/>
    <w:rsid w:val="00065184"/>
    <w:rsid w:val="00073300"/>
    <w:rsid w:val="00077E25"/>
    <w:rsid w:val="00082BE1"/>
    <w:rsid w:val="000848A5"/>
    <w:rsid w:val="00092AFC"/>
    <w:rsid w:val="00097BAF"/>
    <w:rsid w:val="000A24CF"/>
    <w:rsid w:val="000D4EC8"/>
    <w:rsid w:val="000E3F51"/>
    <w:rsid w:val="000E424A"/>
    <w:rsid w:val="000E4E07"/>
    <w:rsid w:val="000F0EB7"/>
    <w:rsid w:val="000F2C7C"/>
    <w:rsid w:val="000F5283"/>
    <w:rsid w:val="001152D1"/>
    <w:rsid w:val="00122648"/>
    <w:rsid w:val="00122AD4"/>
    <w:rsid w:val="00122E22"/>
    <w:rsid w:val="0013264C"/>
    <w:rsid w:val="0013545C"/>
    <w:rsid w:val="00147109"/>
    <w:rsid w:val="001512EE"/>
    <w:rsid w:val="00164939"/>
    <w:rsid w:val="00165758"/>
    <w:rsid w:val="0016635B"/>
    <w:rsid w:val="00167789"/>
    <w:rsid w:val="00167ECE"/>
    <w:rsid w:val="00171465"/>
    <w:rsid w:val="00175F04"/>
    <w:rsid w:val="0018113B"/>
    <w:rsid w:val="00183545"/>
    <w:rsid w:val="00190207"/>
    <w:rsid w:val="00195015"/>
    <w:rsid w:val="001965D1"/>
    <w:rsid w:val="001A21C3"/>
    <w:rsid w:val="001A75E7"/>
    <w:rsid w:val="001C1B35"/>
    <w:rsid w:val="001C2B35"/>
    <w:rsid w:val="001D1ED6"/>
    <w:rsid w:val="001D5EE1"/>
    <w:rsid w:val="001D6D3F"/>
    <w:rsid w:val="001D751D"/>
    <w:rsid w:val="001E2CB6"/>
    <w:rsid w:val="001E5759"/>
    <w:rsid w:val="001F0BC9"/>
    <w:rsid w:val="001F3BDC"/>
    <w:rsid w:val="001F6862"/>
    <w:rsid w:val="00202F3F"/>
    <w:rsid w:val="00203C9B"/>
    <w:rsid w:val="00212ADD"/>
    <w:rsid w:val="002139AD"/>
    <w:rsid w:val="00215297"/>
    <w:rsid w:val="00215A66"/>
    <w:rsid w:val="00215FAC"/>
    <w:rsid w:val="0023239C"/>
    <w:rsid w:val="00240816"/>
    <w:rsid w:val="002433CE"/>
    <w:rsid w:val="002470F9"/>
    <w:rsid w:val="002630EE"/>
    <w:rsid w:val="002637C2"/>
    <w:rsid w:val="002644BE"/>
    <w:rsid w:val="00277481"/>
    <w:rsid w:val="00285AA7"/>
    <w:rsid w:val="002878A8"/>
    <w:rsid w:val="0029076A"/>
    <w:rsid w:val="002938AA"/>
    <w:rsid w:val="00296AD9"/>
    <w:rsid w:val="002B0AEA"/>
    <w:rsid w:val="002C0193"/>
    <w:rsid w:val="002C0A87"/>
    <w:rsid w:val="002D286C"/>
    <w:rsid w:val="002D3B91"/>
    <w:rsid w:val="002E3993"/>
    <w:rsid w:val="003076EB"/>
    <w:rsid w:val="003153B8"/>
    <w:rsid w:val="00315C20"/>
    <w:rsid w:val="0031745A"/>
    <w:rsid w:val="003243B0"/>
    <w:rsid w:val="0032492A"/>
    <w:rsid w:val="0032765F"/>
    <w:rsid w:val="0032789D"/>
    <w:rsid w:val="00335646"/>
    <w:rsid w:val="00351D8B"/>
    <w:rsid w:val="003520B1"/>
    <w:rsid w:val="00352AFA"/>
    <w:rsid w:val="0036243A"/>
    <w:rsid w:val="00363068"/>
    <w:rsid w:val="003661DB"/>
    <w:rsid w:val="003703CD"/>
    <w:rsid w:val="0037198A"/>
    <w:rsid w:val="00374A8D"/>
    <w:rsid w:val="003757BA"/>
    <w:rsid w:val="00380564"/>
    <w:rsid w:val="00382CF6"/>
    <w:rsid w:val="00391A18"/>
    <w:rsid w:val="00397E03"/>
    <w:rsid w:val="003A1C94"/>
    <w:rsid w:val="003D6805"/>
    <w:rsid w:val="003E5B03"/>
    <w:rsid w:val="003E5C06"/>
    <w:rsid w:val="003E745A"/>
    <w:rsid w:val="003F5217"/>
    <w:rsid w:val="003F7342"/>
    <w:rsid w:val="003F7B0F"/>
    <w:rsid w:val="00405E45"/>
    <w:rsid w:val="00411D49"/>
    <w:rsid w:val="00414FF0"/>
    <w:rsid w:val="00415CF3"/>
    <w:rsid w:val="00420747"/>
    <w:rsid w:val="00421EB2"/>
    <w:rsid w:val="00425BBF"/>
    <w:rsid w:val="0043314F"/>
    <w:rsid w:val="00433319"/>
    <w:rsid w:val="0043658A"/>
    <w:rsid w:val="00436E75"/>
    <w:rsid w:val="0045093B"/>
    <w:rsid w:val="0045161B"/>
    <w:rsid w:val="004647D0"/>
    <w:rsid w:val="00472539"/>
    <w:rsid w:val="00473F00"/>
    <w:rsid w:val="00476414"/>
    <w:rsid w:val="00480E56"/>
    <w:rsid w:val="00482A10"/>
    <w:rsid w:val="00482A7D"/>
    <w:rsid w:val="004842C2"/>
    <w:rsid w:val="00486E53"/>
    <w:rsid w:val="0048727A"/>
    <w:rsid w:val="004A27C1"/>
    <w:rsid w:val="004A28F2"/>
    <w:rsid w:val="004C6509"/>
    <w:rsid w:val="004D0D08"/>
    <w:rsid w:val="004D677F"/>
    <w:rsid w:val="004E59BE"/>
    <w:rsid w:val="004E5A37"/>
    <w:rsid w:val="004F5C5D"/>
    <w:rsid w:val="005021F6"/>
    <w:rsid w:val="00510253"/>
    <w:rsid w:val="00511D80"/>
    <w:rsid w:val="00513345"/>
    <w:rsid w:val="00516CD7"/>
    <w:rsid w:val="00527042"/>
    <w:rsid w:val="00527932"/>
    <w:rsid w:val="0053395D"/>
    <w:rsid w:val="005347F9"/>
    <w:rsid w:val="00542C33"/>
    <w:rsid w:val="00544207"/>
    <w:rsid w:val="00550F19"/>
    <w:rsid w:val="00551D32"/>
    <w:rsid w:val="0055371A"/>
    <w:rsid w:val="0055419A"/>
    <w:rsid w:val="00556797"/>
    <w:rsid w:val="0056064F"/>
    <w:rsid w:val="005640A4"/>
    <w:rsid w:val="00564330"/>
    <w:rsid w:val="005779CF"/>
    <w:rsid w:val="0058084E"/>
    <w:rsid w:val="0058351E"/>
    <w:rsid w:val="00596F0E"/>
    <w:rsid w:val="00597900"/>
    <w:rsid w:val="005A04AA"/>
    <w:rsid w:val="005B0BAB"/>
    <w:rsid w:val="005B2EE6"/>
    <w:rsid w:val="005D0539"/>
    <w:rsid w:val="005D17C8"/>
    <w:rsid w:val="005D430C"/>
    <w:rsid w:val="005D6FF6"/>
    <w:rsid w:val="005E65BB"/>
    <w:rsid w:val="005F6C1F"/>
    <w:rsid w:val="00600AC0"/>
    <w:rsid w:val="0060690E"/>
    <w:rsid w:val="00615019"/>
    <w:rsid w:val="00622D2D"/>
    <w:rsid w:val="00634204"/>
    <w:rsid w:val="00643B10"/>
    <w:rsid w:val="00646188"/>
    <w:rsid w:val="00650C51"/>
    <w:rsid w:val="0065134D"/>
    <w:rsid w:val="0066048D"/>
    <w:rsid w:val="00670D20"/>
    <w:rsid w:val="00685C97"/>
    <w:rsid w:val="006870F2"/>
    <w:rsid w:val="00687A33"/>
    <w:rsid w:val="00687B69"/>
    <w:rsid w:val="00690D59"/>
    <w:rsid w:val="006947CD"/>
    <w:rsid w:val="0069580A"/>
    <w:rsid w:val="006966AE"/>
    <w:rsid w:val="006A2BA5"/>
    <w:rsid w:val="006A4B0A"/>
    <w:rsid w:val="006A6F1A"/>
    <w:rsid w:val="006A7C27"/>
    <w:rsid w:val="006B0F80"/>
    <w:rsid w:val="006D47E7"/>
    <w:rsid w:val="006E7126"/>
    <w:rsid w:val="006F1C63"/>
    <w:rsid w:val="006F2255"/>
    <w:rsid w:val="006F4723"/>
    <w:rsid w:val="00702D0A"/>
    <w:rsid w:val="00704C8C"/>
    <w:rsid w:val="00706FB8"/>
    <w:rsid w:val="00711701"/>
    <w:rsid w:val="007153B7"/>
    <w:rsid w:val="00717E06"/>
    <w:rsid w:val="00736515"/>
    <w:rsid w:val="00742062"/>
    <w:rsid w:val="00744B8D"/>
    <w:rsid w:val="00751CE8"/>
    <w:rsid w:val="00754AB8"/>
    <w:rsid w:val="00755794"/>
    <w:rsid w:val="00757AC4"/>
    <w:rsid w:val="007712A7"/>
    <w:rsid w:val="0077342A"/>
    <w:rsid w:val="007804C1"/>
    <w:rsid w:val="007836AA"/>
    <w:rsid w:val="00785BA7"/>
    <w:rsid w:val="007910F1"/>
    <w:rsid w:val="00791C5A"/>
    <w:rsid w:val="007A18D5"/>
    <w:rsid w:val="007A6CB4"/>
    <w:rsid w:val="007A76D3"/>
    <w:rsid w:val="007B09B0"/>
    <w:rsid w:val="007B232D"/>
    <w:rsid w:val="007B6FB4"/>
    <w:rsid w:val="007C2CB1"/>
    <w:rsid w:val="007D5966"/>
    <w:rsid w:val="007E0F6E"/>
    <w:rsid w:val="007E548F"/>
    <w:rsid w:val="007F6657"/>
    <w:rsid w:val="00800EF1"/>
    <w:rsid w:val="00806AA0"/>
    <w:rsid w:val="00811422"/>
    <w:rsid w:val="00835D28"/>
    <w:rsid w:val="008364A0"/>
    <w:rsid w:val="0084407A"/>
    <w:rsid w:val="00844CEC"/>
    <w:rsid w:val="00853386"/>
    <w:rsid w:val="00862159"/>
    <w:rsid w:val="00862BC2"/>
    <w:rsid w:val="008766A6"/>
    <w:rsid w:val="008769E7"/>
    <w:rsid w:val="00884BCC"/>
    <w:rsid w:val="00885855"/>
    <w:rsid w:val="008919DE"/>
    <w:rsid w:val="008947C6"/>
    <w:rsid w:val="008A1213"/>
    <w:rsid w:val="008A50B7"/>
    <w:rsid w:val="008B084F"/>
    <w:rsid w:val="008B503F"/>
    <w:rsid w:val="008C2CAA"/>
    <w:rsid w:val="008C5FA5"/>
    <w:rsid w:val="008C7B2F"/>
    <w:rsid w:val="008D2259"/>
    <w:rsid w:val="008D4E2C"/>
    <w:rsid w:val="008D5EE3"/>
    <w:rsid w:val="008D7418"/>
    <w:rsid w:val="008E4638"/>
    <w:rsid w:val="008F0100"/>
    <w:rsid w:val="008F1BDF"/>
    <w:rsid w:val="008F50A7"/>
    <w:rsid w:val="00900FE1"/>
    <w:rsid w:val="00912955"/>
    <w:rsid w:val="009216FD"/>
    <w:rsid w:val="00932DB3"/>
    <w:rsid w:val="00942231"/>
    <w:rsid w:val="00945351"/>
    <w:rsid w:val="00957D77"/>
    <w:rsid w:val="009662DB"/>
    <w:rsid w:val="00976F50"/>
    <w:rsid w:val="00977C65"/>
    <w:rsid w:val="009A7C26"/>
    <w:rsid w:val="009B021D"/>
    <w:rsid w:val="009B0ED0"/>
    <w:rsid w:val="009C2FF6"/>
    <w:rsid w:val="009C427A"/>
    <w:rsid w:val="009D3A61"/>
    <w:rsid w:val="009E208D"/>
    <w:rsid w:val="009E785F"/>
    <w:rsid w:val="009F7516"/>
    <w:rsid w:val="00A037BA"/>
    <w:rsid w:val="00A03DA2"/>
    <w:rsid w:val="00A13396"/>
    <w:rsid w:val="00A13DCF"/>
    <w:rsid w:val="00A13E92"/>
    <w:rsid w:val="00A40656"/>
    <w:rsid w:val="00A5399B"/>
    <w:rsid w:val="00A56A0E"/>
    <w:rsid w:val="00A5700A"/>
    <w:rsid w:val="00A715D2"/>
    <w:rsid w:val="00A71C90"/>
    <w:rsid w:val="00A74CB8"/>
    <w:rsid w:val="00A839D1"/>
    <w:rsid w:val="00A876A9"/>
    <w:rsid w:val="00AA4149"/>
    <w:rsid w:val="00AA6403"/>
    <w:rsid w:val="00AB49FA"/>
    <w:rsid w:val="00AB614F"/>
    <w:rsid w:val="00AB72E0"/>
    <w:rsid w:val="00AC27A3"/>
    <w:rsid w:val="00AC5BA4"/>
    <w:rsid w:val="00AD04A2"/>
    <w:rsid w:val="00AD2086"/>
    <w:rsid w:val="00AD6235"/>
    <w:rsid w:val="00AD7108"/>
    <w:rsid w:val="00AE080D"/>
    <w:rsid w:val="00AE0CF2"/>
    <w:rsid w:val="00AE53E7"/>
    <w:rsid w:val="00AF005A"/>
    <w:rsid w:val="00AF0468"/>
    <w:rsid w:val="00AF44B8"/>
    <w:rsid w:val="00AF50CF"/>
    <w:rsid w:val="00B03891"/>
    <w:rsid w:val="00B11E0A"/>
    <w:rsid w:val="00B134C7"/>
    <w:rsid w:val="00B21FBF"/>
    <w:rsid w:val="00B24A72"/>
    <w:rsid w:val="00B257C8"/>
    <w:rsid w:val="00B31644"/>
    <w:rsid w:val="00B33F04"/>
    <w:rsid w:val="00B37615"/>
    <w:rsid w:val="00B567E3"/>
    <w:rsid w:val="00B6710A"/>
    <w:rsid w:val="00B700AC"/>
    <w:rsid w:val="00B718FF"/>
    <w:rsid w:val="00B8464D"/>
    <w:rsid w:val="00B91F0F"/>
    <w:rsid w:val="00B93154"/>
    <w:rsid w:val="00B971F7"/>
    <w:rsid w:val="00BA3F65"/>
    <w:rsid w:val="00BB0199"/>
    <w:rsid w:val="00BB1783"/>
    <w:rsid w:val="00BC05E9"/>
    <w:rsid w:val="00BC3B64"/>
    <w:rsid w:val="00BC5ACA"/>
    <w:rsid w:val="00BD4905"/>
    <w:rsid w:val="00BD6EDB"/>
    <w:rsid w:val="00BE2C99"/>
    <w:rsid w:val="00BE4177"/>
    <w:rsid w:val="00BF5E82"/>
    <w:rsid w:val="00C10F97"/>
    <w:rsid w:val="00C24D7E"/>
    <w:rsid w:val="00C351A2"/>
    <w:rsid w:val="00C37B00"/>
    <w:rsid w:val="00C50B86"/>
    <w:rsid w:val="00C52841"/>
    <w:rsid w:val="00C71D12"/>
    <w:rsid w:val="00C72E1D"/>
    <w:rsid w:val="00C73394"/>
    <w:rsid w:val="00C7661E"/>
    <w:rsid w:val="00C81B1A"/>
    <w:rsid w:val="00C840D1"/>
    <w:rsid w:val="00C84DE8"/>
    <w:rsid w:val="00C92609"/>
    <w:rsid w:val="00C94225"/>
    <w:rsid w:val="00C97F01"/>
    <w:rsid w:val="00CA3467"/>
    <w:rsid w:val="00CA57DF"/>
    <w:rsid w:val="00CA621A"/>
    <w:rsid w:val="00CB0BF7"/>
    <w:rsid w:val="00CB4689"/>
    <w:rsid w:val="00CC2B08"/>
    <w:rsid w:val="00CC515B"/>
    <w:rsid w:val="00CC60CE"/>
    <w:rsid w:val="00CD2ACB"/>
    <w:rsid w:val="00CF7AEA"/>
    <w:rsid w:val="00D00465"/>
    <w:rsid w:val="00D027B9"/>
    <w:rsid w:val="00D04052"/>
    <w:rsid w:val="00D045E6"/>
    <w:rsid w:val="00D0645E"/>
    <w:rsid w:val="00D11030"/>
    <w:rsid w:val="00D11079"/>
    <w:rsid w:val="00D1230A"/>
    <w:rsid w:val="00D12D28"/>
    <w:rsid w:val="00D171B6"/>
    <w:rsid w:val="00D218B6"/>
    <w:rsid w:val="00D300DF"/>
    <w:rsid w:val="00D373E7"/>
    <w:rsid w:val="00D37611"/>
    <w:rsid w:val="00D4073F"/>
    <w:rsid w:val="00D41AC4"/>
    <w:rsid w:val="00D51FA3"/>
    <w:rsid w:val="00D55C99"/>
    <w:rsid w:val="00D6656B"/>
    <w:rsid w:val="00D757AA"/>
    <w:rsid w:val="00D76E2D"/>
    <w:rsid w:val="00D817CD"/>
    <w:rsid w:val="00D91B0A"/>
    <w:rsid w:val="00DA1967"/>
    <w:rsid w:val="00DB072E"/>
    <w:rsid w:val="00DB2850"/>
    <w:rsid w:val="00DB752D"/>
    <w:rsid w:val="00DC00CA"/>
    <w:rsid w:val="00DC35E2"/>
    <w:rsid w:val="00DC3854"/>
    <w:rsid w:val="00DC4623"/>
    <w:rsid w:val="00DC5C86"/>
    <w:rsid w:val="00DC5E08"/>
    <w:rsid w:val="00DD733C"/>
    <w:rsid w:val="00DE04C0"/>
    <w:rsid w:val="00DF068C"/>
    <w:rsid w:val="00DF1336"/>
    <w:rsid w:val="00DF38AB"/>
    <w:rsid w:val="00DF42A4"/>
    <w:rsid w:val="00E050EB"/>
    <w:rsid w:val="00E178A2"/>
    <w:rsid w:val="00E24B27"/>
    <w:rsid w:val="00E2772C"/>
    <w:rsid w:val="00E3033C"/>
    <w:rsid w:val="00E3149B"/>
    <w:rsid w:val="00E3786E"/>
    <w:rsid w:val="00E4184F"/>
    <w:rsid w:val="00E45788"/>
    <w:rsid w:val="00E4777C"/>
    <w:rsid w:val="00E505C6"/>
    <w:rsid w:val="00E5355C"/>
    <w:rsid w:val="00E54269"/>
    <w:rsid w:val="00E60530"/>
    <w:rsid w:val="00E63276"/>
    <w:rsid w:val="00E63987"/>
    <w:rsid w:val="00E728A2"/>
    <w:rsid w:val="00E73145"/>
    <w:rsid w:val="00E760CB"/>
    <w:rsid w:val="00E8603E"/>
    <w:rsid w:val="00E93C48"/>
    <w:rsid w:val="00E95BA3"/>
    <w:rsid w:val="00EA1759"/>
    <w:rsid w:val="00EA533B"/>
    <w:rsid w:val="00EB3A1E"/>
    <w:rsid w:val="00EB46FC"/>
    <w:rsid w:val="00EB493B"/>
    <w:rsid w:val="00EC585F"/>
    <w:rsid w:val="00EC5C11"/>
    <w:rsid w:val="00EE0393"/>
    <w:rsid w:val="00EF60EE"/>
    <w:rsid w:val="00EF669C"/>
    <w:rsid w:val="00F07107"/>
    <w:rsid w:val="00F17634"/>
    <w:rsid w:val="00F17A0E"/>
    <w:rsid w:val="00F2644B"/>
    <w:rsid w:val="00F36C16"/>
    <w:rsid w:val="00F43B43"/>
    <w:rsid w:val="00F64E37"/>
    <w:rsid w:val="00F729BC"/>
    <w:rsid w:val="00F9161E"/>
    <w:rsid w:val="00F91839"/>
    <w:rsid w:val="00FB1234"/>
    <w:rsid w:val="00FC25FF"/>
    <w:rsid w:val="00FC3372"/>
    <w:rsid w:val="00FC3E34"/>
    <w:rsid w:val="00FC528C"/>
    <w:rsid w:val="00FD3C3A"/>
    <w:rsid w:val="00FD5ABD"/>
    <w:rsid w:val="00FE0BA5"/>
    <w:rsid w:val="00FE63CA"/>
    <w:rsid w:val="00FF7F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34ACE"/>
  <w15:docId w15:val="{6E8A6DFD-44F3-40F3-9B31-52A22620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4225"/>
    <w:pPr>
      <w:ind w:left="720"/>
      <w:contextualSpacing/>
    </w:pPr>
  </w:style>
  <w:style w:type="table" w:styleId="Tabelacomgrade">
    <w:name w:val="Table Grid"/>
    <w:basedOn w:val="Tabelanormal"/>
    <w:uiPriority w:val="39"/>
    <w:rsid w:val="00702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uiPriority w:val="99"/>
    <w:semiHidden/>
    <w:unhideWhenUsed/>
    <w:rsid w:val="005779C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779CF"/>
    <w:rPr>
      <w:sz w:val="20"/>
      <w:szCs w:val="20"/>
    </w:rPr>
  </w:style>
  <w:style w:type="character" w:styleId="Refdenotadefim">
    <w:name w:val="endnote reference"/>
    <w:basedOn w:val="Fontepargpadro"/>
    <w:uiPriority w:val="99"/>
    <w:semiHidden/>
    <w:unhideWhenUsed/>
    <w:rsid w:val="005779CF"/>
    <w:rPr>
      <w:vertAlign w:val="superscript"/>
    </w:rPr>
  </w:style>
  <w:style w:type="character" w:styleId="Hyperlink">
    <w:name w:val="Hyperlink"/>
    <w:basedOn w:val="Fontepargpadro"/>
    <w:uiPriority w:val="99"/>
    <w:unhideWhenUsed/>
    <w:rsid w:val="00A71C90"/>
    <w:rPr>
      <w:color w:val="0000FF"/>
      <w:u w:val="single"/>
    </w:rPr>
  </w:style>
  <w:style w:type="paragraph" w:styleId="Textodenotaderodap">
    <w:name w:val="footnote text"/>
    <w:basedOn w:val="Normal"/>
    <w:link w:val="TextodenotaderodapChar"/>
    <w:uiPriority w:val="99"/>
    <w:semiHidden/>
    <w:unhideWhenUsed/>
    <w:rsid w:val="00704C8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04C8C"/>
    <w:rPr>
      <w:sz w:val="20"/>
      <w:szCs w:val="20"/>
    </w:rPr>
  </w:style>
  <w:style w:type="character" w:styleId="Refdenotaderodap">
    <w:name w:val="footnote reference"/>
    <w:basedOn w:val="Fontepargpadro"/>
    <w:uiPriority w:val="99"/>
    <w:semiHidden/>
    <w:unhideWhenUsed/>
    <w:rsid w:val="00704C8C"/>
    <w:rPr>
      <w:vertAlign w:val="superscript"/>
    </w:rPr>
  </w:style>
  <w:style w:type="paragraph" w:styleId="Cabealho">
    <w:name w:val="header"/>
    <w:basedOn w:val="Normal"/>
    <w:link w:val="CabealhoChar"/>
    <w:uiPriority w:val="99"/>
    <w:unhideWhenUsed/>
    <w:rsid w:val="000D4E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4EC8"/>
  </w:style>
  <w:style w:type="paragraph" w:styleId="Rodap">
    <w:name w:val="footer"/>
    <w:basedOn w:val="Normal"/>
    <w:link w:val="RodapChar"/>
    <w:uiPriority w:val="99"/>
    <w:unhideWhenUsed/>
    <w:rsid w:val="000D4EC8"/>
    <w:pPr>
      <w:tabs>
        <w:tab w:val="center" w:pos="4252"/>
        <w:tab w:val="right" w:pos="8504"/>
      </w:tabs>
      <w:spacing w:after="0" w:line="240" w:lineRule="auto"/>
    </w:pPr>
  </w:style>
  <w:style w:type="character" w:customStyle="1" w:styleId="RodapChar">
    <w:name w:val="Rodapé Char"/>
    <w:basedOn w:val="Fontepargpadro"/>
    <w:link w:val="Rodap"/>
    <w:uiPriority w:val="99"/>
    <w:rsid w:val="000D4EC8"/>
  </w:style>
  <w:style w:type="character" w:styleId="HiperlinkVisitado">
    <w:name w:val="FollowedHyperlink"/>
    <w:basedOn w:val="Fontepargpadro"/>
    <w:uiPriority w:val="99"/>
    <w:semiHidden/>
    <w:unhideWhenUsed/>
    <w:rsid w:val="00EB46FC"/>
    <w:rPr>
      <w:color w:val="954F72" w:themeColor="followedHyperlink"/>
      <w:u w:val="single"/>
    </w:rPr>
  </w:style>
  <w:style w:type="paragraph" w:styleId="Textodebalo">
    <w:name w:val="Balloon Text"/>
    <w:basedOn w:val="Normal"/>
    <w:link w:val="TextodebaloChar"/>
    <w:uiPriority w:val="99"/>
    <w:semiHidden/>
    <w:unhideWhenUsed/>
    <w:rsid w:val="007B09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B09B0"/>
    <w:rPr>
      <w:rFonts w:ascii="Segoe UI" w:hAnsi="Segoe UI" w:cs="Segoe UI"/>
      <w:sz w:val="18"/>
      <w:szCs w:val="18"/>
    </w:rPr>
  </w:style>
  <w:style w:type="character" w:styleId="Refdecomentrio">
    <w:name w:val="annotation reference"/>
    <w:basedOn w:val="Fontepargpadro"/>
    <w:uiPriority w:val="99"/>
    <w:semiHidden/>
    <w:unhideWhenUsed/>
    <w:rsid w:val="00650C51"/>
    <w:rPr>
      <w:sz w:val="16"/>
      <w:szCs w:val="16"/>
    </w:rPr>
  </w:style>
  <w:style w:type="paragraph" w:styleId="Textodecomentrio">
    <w:name w:val="annotation text"/>
    <w:basedOn w:val="Normal"/>
    <w:link w:val="TextodecomentrioChar"/>
    <w:uiPriority w:val="99"/>
    <w:semiHidden/>
    <w:unhideWhenUsed/>
    <w:rsid w:val="00650C5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50C51"/>
    <w:rPr>
      <w:sz w:val="20"/>
      <w:szCs w:val="20"/>
    </w:rPr>
  </w:style>
  <w:style w:type="paragraph" w:styleId="Assuntodocomentrio">
    <w:name w:val="annotation subject"/>
    <w:basedOn w:val="Textodecomentrio"/>
    <w:next w:val="Textodecomentrio"/>
    <w:link w:val="AssuntodocomentrioChar"/>
    <w:uiPriority w:val="99"/>
    <w:semiHidden/>
    <w:unhideWhenUsed/>
    <w:rsid w:val="00650C51"/>
    <w:rPr>
      <w:b/>
      <w:bCs/>
    </w:rPr>
  </w:style>
  <w:style w:type="character" w:customStyle="1" w:styleId="AssuntodocomentrioChar">
    <w:name w:val="Assunto do comentário Char"/>
    <w:basedOn w:val="TextodecomentrioChar"/>
    <w:link w:val="Assuntodocomentrio"/>
    <w:uiPriority w:val="99"/>
    <w:semiHidden/>
    <w:rsid w:val="00650C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8029">
      <w:bodyDiv w:val="1"/>
      <w:marLeft w:val="0"/>
      <w:marRight w:val="0"/>
      <w:marTop w:val="0"/>
      <w:marBottom w:val="0"/>
      <w:divBdr>
        <w:top w:val="none" w:sz="0" w:space="0" w:color="auto"/>
        <w:left w:val="none" w:sz="0" w:space="0" w:color="auto"/>
        <w:bottom w:val="none" w:sz="0" w:space="0" w:color="auto"/>
        <w:right w:val="none" w:sz="0" w:space="0" w:color="auto"/>
      </w:divBdr>
      <w:divsChild>
        <w:div w:id="1705907795">
          <w:marLeft w:val="0"/>
          <w:marRight w:val="0"/>
          <w:marTop w:val="0"/>
          <w:marBottom w:val="0"/>
          <w:divBdr>
            <w:top w:val="none" w:sz="0" w:space="0" w:color="auto"/>
            <w:left w:val="none" w:sz="0" w:space="0" w:color="auto"/>
            <w:bottom w:val="none" w:sz="0" w:space="0" w:color="auto"/>
            <w:right w:val="none" w:sz="0" w:space="0" w:color="auto"/>
          </w:divBdr>
          <w:divsChild>
            <w:div w:id="720859657">
              <w:marLeft w:val="-225"/>
              <w:marRight w:val="-225"/>
              <w:marTop w:val="0"/>
              <w:marBottom w:val="0"/>
              <w:divBdr>
                <w:top w:val="none" w:sz="0" w:space="0" w:color="auto"/>
                <w:left w:val="none" w:sz="0" w:space="0" w:color="auto"/>
                <w:bottom w:val="none" w:sz="0" w:space="0" w:color="auto"/>
                <w:right w:val="none" w:sz="0" w:space="0" w:color="auto"/>
              </w:divBdr>
              <w:divsChild>
                <w:div w:id="1700081645">
                  <w:marLeft w:val="0"/>
                  <w:marRight w:val="0"/>
                  <w:marTop w:val="0"/>
                  <w:marBottom w:val="0"/>
                  <w:divBdr>
                    <w:top w:val="none" w:sz="0" w:space="0" w:color="auto"/>
                    <w:left w:val="none" w:sz="0" w:space="0" w:color="auto"/>
                    <w:bottom w:val="none" w:sz="0" w:space="0" w:color="auto"/>
                    <w:right w:val="none" w:sz="0" w:space="0" w:color="auto"/>
                  </w:divBdr>
                  <w:divsChild>
                    <w:div w:id="20901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14513">
          <w:marLeft w:val="0"/>
          <w:marRight w:val="0"/>
          <w:marTop w:val="0"/>
          <w:marBottom w:val="0"/>
          <w:divBdr>
            <w:top w:val="none" w:sz="0" w:space="0" w:color="auto"/>
            <w:left w:val="none" w:sz="0" w:space="0" w:color="auto"/>
            <w:bottom w:val="none" w:sz="0" w:space="0" w:color="auto"/>
            <w:right w:val="none" w:sz="0" w:space="0" w:color="auto"/>
          </w:divBdr>
          <w:divsChild>
            <w:div w:id="2035961737">
              <w:marLeft w:val="-225"/>
              <w:marRight w:val="-225"/>
              <w:marTop w:val="0"/>
              <w:marBottom w:val="0"/>
              <w:divBdr>
                <w:top w:val="none" w:sz="0" w:space="0" w:color="auto"/>
                <w:left w:val="none" w:sz="0" w:space="0" w:color="auto"/>
                <w:bottom w:val="none" w:sz="0" w:space="0" w:color="auto"/>
                <w:right w:val="none" w:sz="0" w:space="0" w:color="auto"/>
              </w:divBdr>
              <w:divsChild>
                <w:div w:id="1755972915">
                  <w:marLeft w:val="0"/>
                  <w:marRight w:val="0"/>
                  <w:marTop w:val="0"/>
                  <w:marBottom w:val="0"/>
                  <w:divBdr>
                    <w:top w:val="none" w:sz="0" w:space="0" w:color="auto"/>
                    <w:left w:val="none" w:sz="0" w:space="0" w:color="auto"/>
                    <w:bottom w:val="none" w:sz="0" w:space="0" w:color="auto"/>
                    <w:right w:val="none" w:sz="0" w:space="0" w:color="auto"/>
                  </w:divBdr>
                  <w:divsChild>
                    <w:div w:id="70199135">
                      <w:marLeft w:val="0"/>
                      <w:marRight w:val="0"/>
                      <w:marTop w:val="0"/>
                      <w:marBottom w:val="0"/>
                      <w:divBdr>
                        <w:top w:val="none" w:sz="0" w:space="0" w:color="auto"/>
                        <w:left w:val="none" w:sz="0" w:space="0" w:color="auto"/>
                        <w:bottom w:val="none" w:sz="0" w:space="0" w:color="auto"/>
                        <w:right w:val="none" w:sz="0" w:space="0" w:color="auto"/>
                      </w:divBdr>
                      <w:divsChild>
                        <w:div w:id="1376806706">
                          <w:marLeft w:val="0"/>
                          <w:marRight w:val="0"/>
                          <w:marTop w:val="0"/>
                          <w:marBottom w:val="0"/>
                          <w:divBdr>
                            <w:top w:val="none" w:sz="0" w:space="0" w:color="auto"/>
                            <w:left w:val="none" w:sz="0" w:space="0" w:color="auto"/>
                            <w:bottom w:val="none" w:sz="0" w:space="0" w:color="auto"/>
                            <w:right w:val="none" w:sz="0" w:space="0" w:color="auto"/>
                          </w:divBdr>
                          <w:divsChild>
                            <w:div w:id="2063866997">
                              <w:marLeft w:val="0"/>
                              <w:marRight w:val="0"/>
                              <w:marTop w:val="0"/>
                              <w:marBottom w:val="0"/>
                              <w:divBdr>
                                <w:top w:val="none" w:sz="0" w:space="0" w:color="auto"/>
                                <w:left w:val="none" w:sz="0" w:space="0" w:color="auto"/>
                                <w:bottom w:val="none" w:sz="0" w:space="0" w:color="auto"/>
                                <w:right w:val="none" w:sz="0" w:space="0" w:color="auto"/>
                              </w:divBdr>
                              <w:divsChild>
                                <w:div w:id="1922132739">
                                  <w:marLeft w:val="0"/>
                                  <w:marRight w:val="0"/>
                                  <w:marTop w:val="0"/>
                                  <w:marBottom w:val="0"/>
                                  <w:divBdr>
                                    <w:top w:val="none" w:sz="0" w:space="0" w:color="auto"/>
                                    <w:left w:val="none" w:sz="0" w:space="0" w:color="auto"/>
                                    <w:bottom w:val="none" w:sz="0" w:space="0" w:color="auto"/>
                                    <w:right w:val="none" w:sz="0" w:space="0" w:color="auto"/>
                                  </w:divBdr>
                                  <w:divsChild>
                                    <w:div w:id="18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13343">
      <w:bodyDiv w:val="1"/>
      <w:marLeft w:val="0"/>
      <w:marRight w:val="0"/>
      <w:marTop w:val="0"/>
      <w:marBottom w:val="0"/>
      <w:divBdr>
        <w:top w:val="none" w:sz="0" w:space="0" w:color="auto"/>
        <w:left w:val="none" w:sz="0" w:space="0" w:color="auto"/>
        <w:bottom w:val="none" w:sz="0" w:space="0" w:color="auto"/>
        <w:right w:val="none" w:sz="0" w:space="0" w:color="auto"/>
      </w:divBdr>
      <w:divsChild>
        <w:div w:id="1634561796">
          <w:marLeft w:val="0"/>
          <w:marRight w:val="0"/>
          <w:marTop w:val="0"/>
          <w:marBottom w:val="0"/>
          <w:divBdr>
            <w:top w:val="none" w:sz="0" w:space="0" w:color="auto"/>
            <w:left w:val="none" w:sz="0" w:space="0" w:color="auto"/>
            <w:bottom w:val="none" w:sz="0" w:space="0" w:color="auto"/>
            <w:right w:val="none" w:sz="0" w:space="0" w:color="auto"/>
          </w:divBdr>
          <w:divsChild>
            <w:div w:id="1172794678">
              <w:marLeft w:val="-225"/>
              <w:marRight w:val="-225"/>
              <w:marTop w:val="0"/>
              <w:marBottom w:val="0"/>
              <w:divBdr>
                <w:top w:val="none" w:sz="0" w:space="0" w:color="auto"/>
                <w:left w:val="none" w:sz="0" w:space="0" w:color="auto"/>
                <w:bottom w:val="none" w:sz="0" w:space="0" w:color="auto"/>
                <w:right w:val="none" w:sz="0" w:space="0" w:color="auto"/>
              </w:divBdr>
              <w:divsChild>
                <w:div w:id="1314094781">
                  <w:marLeft w:val="0"/>
                  <w:marRight w:val="0"/>
                  <w:marTop w:val="0"/>
                  <w:marBottom w:val="0"/>
                  <w:divBdr>
                    <w:top w:val="none" w:sz="0" w:space="0" w:color="auto"/>
                    <w:left w:val="none" w:sz="0" w:space="0" w:color="auto"/>
                    <w:bottom w:val="none" w:sz="0" w:space="0" w:color="auto"/>
                    <w:right w:val="none" w:sz="0" w:space="0" w:color="auto"/>
                  </w:divBdr>
                  <w:divsChild>
                    <w:div w:id="19873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1243">
          <w:marLeft w:val="0"/>
          <w:marRight w:val="0"/>
          <w:marTop w:val="0"/>
          <w:marBottom w:val="0"/>
          <w:divBdr>
            <w:top w:val="none" w:sz="0" w:space="0" w:color="auto"/>
            <w:left w:val="none" w:sz="0" w:space="0" w:color="auto"/>
            <w:bottom w:val="none" w:sz="0" w:space="0" w:color="auto"/>
            <w:right w:val="none" w:sz="0" w:space="0" w:color="auto"/>
          </w:divBdr>
          <w:divsChild>
            <w:div w:id="1987707829">
              <w:marLeft w:val="-225"/>
              <w:marRight w:val="-225"/>
              <w:marTop w:val="0"/>
              <w:marBottom w:val="0"/>
              <w:divBdr>
                <w:top w:val="none" w:sz="0" w:space="0" w:color="auto"/>
                <w:left w:val="none" w:sz="0" w:space="0" w:color="auto"/>
                <w:bottom w:val="none" w:sz="0" w:space="0" w:color="auto"/>
                <w:right w:val="none" w:sz="0" w:space="0" w:color="auto"/>
              </w:divBdr>
              <w:divsChild>
                <w:div w:id="1328097249">
                  <w:marLeft w:val="0"/>
                  <w:marRight w:val="0"/>
                  <w:marTop w:val="0"/>
                  <w:marBottom w:val="0"/>
                  <w:divBdr>
                    <w:top w:val="none" w:sz="0" w:space="0" w:color="auto"/>
                    <w:left w:val="none" w:sz="0" w:space="0" w:color="auto"/>
                    <w:bottom w:val="none" w:sz="0" w:space="0" w:color="auto"/>
                    <w:right w:val="none" w:sz="0" w:space="0" w:color="auto"/>
                  </w:divBdr>
                  <w:divsChild>
                    <w:div w:id="450520080">
                      <w:marLeft w:val="0"/>
                      <w:marRight w:val="0"/>
                      <w:marTop w:val="0"/>
                      <w:marBottom w:val="0"/>
                      <w:divBdr>
                        <w:top w:val="none" w:sz="0" w:space="0" w:color="auto"/>
                        <w:left w:val="none" w:sz="0" w:space="0" w:color="auto"/>
                        <w:bottom w:val="none" w:sz="0" w:space="0" w:color="auto"/>
                        <w:right w:val="none" w:sz="0" w:space="0" w:color="auto"/>
                      </w:divBdr>
                      <w:divsChild>
                        <w:div w:id="1668903214">
                          <w:marLeft w:val="0"/>
                          <w:marRight w:val="0"/>
                          <w:marTop w:val="0"/>
                          <w:marBottom w:val="0"/>
                          <w:divBdr>
                            <w:top w:val="none" w:sz="0" w:space="0" w:color="auto"/>
                            <w:left w:val="none" w:sz="0" w:space="0" w:color="auto"/>
                            <w:bottom w:val="none" w:sz="0" w:space="0" w:color="auto"/>
                            <w:right w:val="none" w:sz="0" w:space="0" w:color="auto"/>
                          </w:divBdr>
                          <w:divsChild>
                            <w:div w:id="737022653">
                              <w:marLeft w:val="0"/>
                              <w:marRight w:val="0"/>
                              <w:marTop w:val="0"/>
                              <w:marBottom w:val="0"/>
                              <w:divBdr>
                                <w:top w:val="none" w:sz="0" w:space="0" w:color="auto"/>
                                <w:left w:val="none" w:sz="0" w:space="0" w:color="auto"/>
                                <w:bottom w:val="none" w:sz="0" w:space="0" w:color="auto"/>
                                <w:right w:val="none" w:sz="0" w:space="0" w:color="auto"/>
                              </w:divBdr>
                              <w:divsChild>
                                <w:div w:id="1214268245">
                                  <w:marLeft w:val="0"/>
                                  <w:marRight w:val="0"/>
                                  <w:marTop w:val="0"/>
                                  <w:marBottom w:val="0"/>
                                  <w:divBdr>
                                    <w:top w:val="none" w:sz="0" w:space="0" w:color="auto"/>
                                    <w:left w:val="none" w:sz="0" w:space="0" w:color="auto"/>
                                    <w:bottom w:val="none" w:sz="0" w:space="0" w:color="auto"/>
                                    <w:right w:val="none" w:sz="0" w:space="0" w:color="auto"/>
                                  </w:divBdr>
                                  <w:divsChild>
                                    <w:div w:id="449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943084">
      <w:bodyDiv w:val="1"/>
      <w:marLeft w:val="0"/>
      <w:marRight w:val="0"/>
      <w:marTop w:val="0"/>
      <w:marBottom w:val="0"/>
      <w:divBdr>
        <w:top w:val="none" w:sz="0" w:space="0" w:color="auto"/>
        <w:left w:val="none" w:sz="0" w:space="0" w:color="auto"/>
        <w:bottom w:val="none" w:sz="0" w:space="0" w:color="auto"/>
        <w:right w:val="none" w:sz="0" w:space="0" w:color="auto"/>
      </w:divBdr>
      <w:divsChild>
        <w:div w:id="1451432359">
          <w:marLeft w:val="0"/>
          <w:marRight w:val="0"/>
          <w:marTop w:val="0"/>
          <w:marBottom w:val="0"/>
          <w:divBdr>
            <w:top w:val="none" w:sz="0" w:space="0" w:color="auto"/>
            <w:left w:val="none" w:sz="0" w:space="0" w:color="auto"/>
            <w:bottom w:val="none" w:sz="0" w:space="0" w:color="auto"/>
            <w:right w:val="none" w:sz="0" w:space="0" w:color="auto"/>
          </w:divBdr>
          <w:divsChild>
            <w:div w:id="1917742907">
              <w:marLeft w:val="-225"/>
              <w:marRight w:val="-225"/>
              <w:marTop w:val="0"/>
              <w:marBottom w:val="0"/>
              <w:divBdr>
                <w:top w:val="none" w:sz="0" w:space="0" w:color="auto"/>
                <w:left w:val="none" w:sz="0" w:space="0" w:color="auto"/>
                <w:bottom w:val="none" w:sz="0" w:space="0" w:color="auto"/>
                <w:right w:val="none" w:sz="0" w:space="0" w:color="auto"/>
              </w:divBdr>
              <w:divsChild>
                <w:div w:id="545068794">
                  <w:marLeft w:val="0"/>
                  <w:marRight w:val="0"/>
                  <w:marTop w:val="0"/>
                  <w:marBottom w:val="0"/>
                  <w:divBdr>
                    <w:top w:val="none" w:sz="0" w:space="0" w:color="auto"/>
                    <w:left w:val="none" w:sz="0" w:space="0" w:color="auto"/>
                    <w:bottom w:val="none" w:sz="0" w:space="0" w:color="auto"/>
                    <w:right w:val="none" w:sz="0" w:space="0" w:color="auto"/>
                  </w:divBdr>
                  <w:divsChild>
                    <w:div w:id="54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71">
          <w:marLeft w:val="0"/>
          <w:marRight w:val="0"/>
          <w:marTop w:val="0"/>
          <w:marBottom w:val="0"/>
          <w:divBdr>
            <w:top w:val="none" w:sz="0" w:space="0" w:color="auto"/>
            <w:left w:val="none" w:sz="0" w:space="0" w:color="auto"/>
            <w:bottom w:val="none" w:sz="0" w:space="0" w:color="auto"/>
            <w:right w:val="none" w:sz="0" w:space="0" w:color="auto"/>
          </w:divBdr>
          <w:divsChild>
            <w:div w:id="1920823000">
              <w:marLeft w:val="-225"/>
              <w:marRight w:val="-225"/>
              <w:marTop w:val="0"/>
              <w:marBottom w:val="0"/>
              <w:divBdr>
                <w:top w:val="none" w:sz="0" w:space="0" w:color="auto"/>
                <w:left w:val="none" w:sz="0" w:space="0" w:color="auto"/>
                <w:bottom w:val="none" w:sz="0" w:space="0" w:color="auto"/>
                <w:right w:val="none" w:sz="0" w:space="0" w:color="auto"/>
              </w:divBdr>
              <w:divsChild>
                <w:div w:id="1636838629">
                  <w:marLeft w:val="0"/>
                  <w:marRight w:val="0"/>
                  <w:marTop w:val="0"/>
                  <w:marBottom w:val="0"/>
                  <w:divBdr>
                    <w:top w:val="none" w:sz="0" w:space="0" w:color="auto"/>
                    <w:left w:val="none" w:sz="0" w:space="0" w:color="auto"/>
                    <w:bottom w:val="none" w:sz="0" w:space="0" w:color="auto"/>
                    <w:right w:val="none" w:sz="0" w:space="0" w:color="auto"/>
                  </w:divBdr>
                  <w:divsChild>
                    <w:div w:id="681276703">
                      <w:marLeft w:val="0"/>
                      <w:marRight w:val="0"/>
                      <w:marTop w:val="0"/>
                      <w:marBottom w:val="0"/>
                      <w:divBdr>
                        <w:top w:val="none" w:sz="0" w:space="0" w:color="auto"/>
                        <w:left w:val="none" w:sz="0" w:space="0" w:color="auto"/>
                        <w:bottom w:val="none" w:sz="0" w:space="0" w:color="auto"/>
                        <w:right w:val="none" w:sz="0" w:space="0" w:color="auto"/>
                      </w:divBdr>
                      <w:divsChild>
                        <w:div w:id="1558474057">
                          <w:marLeft w:val="0"/>
                          <w:marRight w:val="0"/>
                          <w:marTop w:val="0"/>
                          <w:marBottom w:val="0"/>
                          <w:divBdr>
                            <w:top w:val="none" w:sz="0" w:space="0" w:color="auto"/>
                            <w:left w:val="none" w:sz="0" w:space="0" w:color="auto"/>
                            <w:bottom w:val="none" w:sz="0" w:space="0" w:color="auto"/>
                            <w:right w:val="none" w:sz="0" w:space="0" w:color="auto"/>
                          </w:divBdr>
                          <w:divsChild>
                            <w:div w:id="1804342826">
                              <w:marLeft w:val="0"/>
                              <w:marRight w:val="0"/>
                              <w:marTop w:val="0"/>
                              <w:marBottom w:val="0"/>
                              <w:divBdr>
                                <w:top w:val="none" w:sz="0" w:space="0" w:color="auto"/>
                                <w:left w:val="none" w:sz="0" w:space="0" w:color="auto"/>
                                <w:bottom w:val="none" w:sz="0" w:space="0" w:color="auto"/>
                                <w:right w:val="none" w:sz="0" w:space="0" w:color="auto"/>
                              </w:divBdr>
                              <w:divsChild>
                                <w:div w:id="1791781868">
                                  <w:marLeft w:val="0"/>
                                  <w:marRight w:val="0"/>
                                  <w:marTop w:val="0"/>
                                  <w:marBottom w:val="0"/>
                                  <w:divBdr>
                                    <w:top w:val="none" w:sz="0" w:space="0" w:color="auto"/>
                                    <w:left w:val="none" w:sz="0" w:space="0" w:color="auto"/>
                                    <w:bottom w:val="none" w:sz="0" w:space="0" w:color="auto"/>
                                    <w:right w:val="none" w:sz="0" w:space="0" w:color="auto"/>
                                  </w:divBdr>
                                  <w:divsChild>
                                    <w:div w:id="6633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55906">
      <w:bodyDiv w:val="1"/>
      <w:marLeft w:val="0"/>
      <w:marRight w:val="0"/>
      <w:marTop w:val="0"/>
      <w:marBottom w:val="0"/>
      <w:divBdr>
        <w:top w:val="none" w:sz="0" w:space="0" w:color="auto"/>
        <w:left w:val="none" w:sz="0" w:space="0" w:color="auto"/>
        <w:bottom w:val="none" w:sz="0" w:space="0" w:color="auto"/>
        <w:right w:val="none" w:sz="0" w:space="0" w:color="auto"/>
      </w:divBdr>
      <w:divsChild>
        <w:div w:id="809596109">
          <w:marLeft w:val="0"/>
          <w:marRight w:val="0"/>
          <w:marTop w:val="0"/>
          <w:marBottom w:val="0"/>
          <w:divBdr>
            <w:top w:val="none" w:sz="0" w:space="0" w:color="auto"/>
            <w:left w:val="none" w:sz="0" w:space="0" w:color="auto"/>
            <w:bottom w:val="none" w:sz="0" w:space="0" w:color="auto"/>
            <w:right w:val="none" w:sz="0" w:space="0" w:color="auto"/>
          </w:divBdr>
          <w:divsChild>
            <w:div w:id="876042761">
              <w:marLeft w:val="-225"/>
              <w:marRight w:val="-225"/>
              <w:marTop w:val="0"/>
              <w:marBottom w:val="0"/>
              <w:divBdr>
                <w:top w:val="none" w:sz="0" w:space="0" w:color="auto"/>
                <w:left w:val="none" w:sz="0" w:space="0" w:color="auto"/>
                <w:bottom w:val="none" w:sz="0" w:space="0" w:color="auto"/>
                <w:right w:val="none" w:sz="0" w:space="0" w:color="auto"/>
              </w:divBdr>
              <w:divsChild>
                <w:div w:id="886600700">
                  <w:marLeft w:val="0"/>
                  <w:marRight w:val="0"/>
                  <w:marTop w:val="0"/>
                  <w:marBottom w:val="0"/>
                  <w:divBdr>
                    <w:top w:val="none" w:sz="0" w:space="0" w:color="auto"/>
                    <w:left w:val="none" w:sz="0" w:space="0" w:color="auto"/>
                    <w:bottom w:val="none" w:sz="0" w:space="0" w:color="auto"/>
                    <w:right w:val="none" w:sz="0" w:space="0" w:color="auto"/>
                  </w:divBdr>
                  <w:divsChild>
                    <w:div w:id="3255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44187">
          <w:marLeft w:val="0"/>
          <w:marRight w:val="0"/>
          <w:marTop w:val="0"/>
          <w:marBottom w:val="0"/>
          <w:divBdr>
            <w:top w:val="none" w:sz="0" w:space="0" w:color="auto"/>
            <w:left w:val="none" w:sz="0" w:space="0" w:color="auto"/>
            <w:bottom w:val="none" w:sz="0" w:space="0" w:color="auto"/>
            <w:right w:val="none" w:sz="0" w:space="0" w:color="auto"/>
          </w:divBdr>
          <w:divsChild>
            <w:div w:id="1146818109">
              <w:marLeft w:val="-225"/>
              <w:marRight w:val="-225"/>
              <w:marTop w:val="0"/>
              <w:marBottom w:val="0"/>
              <w:divBdr>
                <w:top w:val="none" w:sz="0" w:space="0" w:color="auto"/>
                <w:left w:val="none" w:sz="0" w:space="0" w:color="auto"/>
                <w:bottom w:val="none" w:sz="0" w:space="0" w:color="auto"/>
                <w:right w:val="none" w:sz="0" w:space="0" w:color="auto"/>
              </w:divBdr>
              <w:divsChild>
                <w:div w:id="1180435254">
                  <w:marLeft w:val="0"/>
                  <w:marRight w:val="0"/>
                  <w:marTop w:val="0"/>
                  <w:marBottom w:val="0"/>
                  <w:divBdr>
                    <w:top w:val="none" w:sz="0" w:space="0" w:color="auto"/>
                    <w:left w:val="none" w:sz="0" w:space="0" w:color="auto"/>
                    <w:bottom w:val="none" w:sz="0" w:space="0" w:color="auto"/>
                    <w:right w:val="none" w:sz="0" w:space="0" w:color="auto"/>
                  </w:divBdr>
                  <w:divsChild>
                    <w:div w:id="1704287981">
                      <w:marLeft w:val="0"/>
                      <w:marRight w:val="0"/>
                      <w:marTop w:val="0"/>
                      <w:marBottom w:val="0"/>
                      <w:divBdr>
                        <w:top w:val="none" w:sz="0" w:space="0" w:color="auto"/>
                        <w:left w:val="none" w:sz="0" w:space="0" w:color="auto"/>
                        <w:bottom w:val="none" w:sz="0" w:space="0" w:color="auto"/>
                        <w:right w:val="none" w:sz="0" w:space="0" w:color="auto"/>
                      </w:divBdr>
                      <w:divsChild>
                        <w:div w:id="912199704">
                          <w:marLeft w:val="0"/>
                          <w:marRight w:val="0"/>
                          <w:marTop w:val="0"/>
                          <w:marBottom w:val="0"/>
                          <w:divBdr>
                            <w:top w:val="none" w:sz="0" w:space="0" w:color="auto"/>
                            <w:left w:val="none" w:sz="0" w:space="0" w:color="auto"/>
                            <w:bottom w:val="none" w:sz="0" w:space="0" w:color="auto"/>
                            <w:right w:val="none" w:sz="0" w:space="0" w:color="auto"/>
                          </w:divBdr>
                          <w:divsChild>
                            <w:div w:id="27922648">
                              <w:marLeft w:val="0"/>
                              <w:marRight w:val="0"/>
                              <w:marTop w:val="0"/>
                              <w:marBottom w:val="0"/>
                              <w:divBdr>
                                <w:top w:val="none" w:sz="0" w:space="0" w:color="auto"/>
                                <w:left w:val="none" w:sz="0" w:space="0" w:color="auto"/>
                                <w:bottom w:val="none" w:sz="0" w:space="0" w:color="auto"/>
                                <w:right w:val="none" w:sz="0" w:space="0" w:color="auto"/>
                              </w:divBdr>
                              <w:divsChild>
                                <w:div w:id="1369261131">
                                  <w:marLeft w:val="0"/>
                                  <w:marRight w:val="0"/>
                                  <w:marTop w:val="0"/>
                                  <w:marBottom w:val="0"/>
                                  <w:divBdr>
                                    <w:top w:val="none" w:sz="0" w:space="0" w:color="auto"/>
                                    <w:left w:val="none" w:sz="0" w:space="0" w:color="auto"/>
                                    <w:bottom w:val="none" w:sz="0" w:space="0" w:color="auto"/>
                                    <w:right w:val="none" w:sz="0" w:space="0" w:color="auto"/>
                                  </w:divBdr>
                                  <w:divsChild>
                                    <w:div w:id="2091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100000">
      <w:bodyDiv w:val="1"/>
      <w:marLeft w:val="0"/>
      <w:marRight w:val="0"/>
      <w:marTop w:val="0"/>
      <w:marBottom w:val="0"/>
      <w:divBdr>
        <w:top w:val="none" w:sz="0" w:space="0" w:color="auto"/>
        <w:left w:val="none" w:sz="0" w:space="0" w:color="auto"/>
        <w:bottom w:val="none" w:sz="0" w:space="0" w:color="auto"/>
        <w:right w:val="none" w:sz="0" w:space="0" w:color="auto"/>
      </w:divBdr>
    </w:div>
    <w:div w:id="922837449">
      <w:bodyDiv w:val="1"/>
      <w:marLeft w:val="0"/>
      <w:marRight w:val="0"/>
      <w:marTop w:val="0"/>
      <w:marBottom w:val="0"/>
      <w:divBdr>
        <w:top w:val="none" w:sz="0" w:space="0" w:color="auto"/>
        <w:left w:val="none" w:sz="0" w:space="0" w:color="auto"/>
        <w:bottom w:val="none" w:sz="0" w:space="0" w:color="auto"/>
        <w:right w:val="none" w:sz="0" w:space="0" w:color="auto"/>
      </w:divBdr>
    </w:div>
    <w:div w:id="962031894">
      <w:bodyDiv w:val="1"/>
      <w:marLeft w:val="0"/>
      <w:marRight w:val="0"/>
      <w:marTop w:val="0"/>
      <w:marBottom w:val="0"/>
      <w:divBdr>
        <w:top w:val="none" w:sz="0" w:space="0" w:color="auto"/>
        <w:left w:val="none" w:sz="0" w:space="0" w:color="auto"/>
        <w:bottom w:val="none" w:sz="0" w:space="0" w:color="auto"/>
        <w:right w:val="none" w:sz="0" w:space="0" w:color="auto"/>
      </w:divBdr>
      <w:divsChild>
        <w:div w:id="1803310456">
          <w:marLeft w:val="0"/>
          <w:marRight w:val="0"/>
          <w:marTop w:val="0"/>
          <w:marBottom w:val="0"/>
          <w:divBdr>
            <w:top w:val="none" w:sz="0" w:space="0" w:color="auto"/>
            <w:left w:val="none" w:sz="0" w:space="0" w:color="auto"/>
            <w:bottom w:val="none" w:sz="0" w:space="0" w:color="auto"/>
            <w:right w:val="none" w:sz="0" w:space="0" w:color="auto"/>
          </w:divBdr>
          <w:divsChild>
            <w:div w:id="1512183379">
              <w:marLeft w:val="-225"/>
              <w:marRight w:val="-225"/>
              <w:marTop w:val="0"/>
              <w:marBottom w:val="0"/>
              <w:divBdr>
                <w:top w:val="none" w:sz="0" w:space="0" w:color="auto"/>
                <w:left w:val="none" w:sz="0" w:space="0" w:color="auto"/>
                <w:bottom w:val="none" w:sz="0" w:space="0" w:color="auto"/>
                <w:right w:val="none" w:sz="0" w:space="0" w:color="auto"/>
              </w:divBdr>
              <w:divsChild>
                <w:div w:id="252595878">
                  <w:marLeft w:val="0"/>
                  <w:marRight w:val="0"/>
                  <w:marTop w:val="0"/>
                  <w:marBottom w:val="0"/>
                  <w:divBdr>
                    <w:top w:val="none" w:sz="0" w:space="0" w:color="auto"/>
                    <w:left w:val="none" w:sz="0" w:space="0" w:color="auto"/>
                    <w:bottom w:val="none" w:sz="0" w:space="0" w:color="auto"/>
                    <w:right w:val="none" w:sz="0" w:space="0" w:color="auto"/>
                  </w:divBdr>
                  <w:divsChild>
                    <w:div w:id="9088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0917">
          <w:marLeft w:val="0"/>
          <w:marRight w:val="0"/>
          <w:marTop w:val="0"/>
          <w:marBottom w:val="0"/>
          <w:divBdr>
            <w:top w:val="none" w:sz="0" w:space="0" w:color="auto"/>
            <w:left w:val="none" w:sz="0" w:space="0" w:color="auto"/>
            <w:bottom w:val="none" w:sz="0" w:space="0" w:color="auto"/>
            <w:right w:val="none" w:sz="0" w:space="0" w:color="auto"/>
          </w:divBdr>
          <w:divsChild>
            <w:div w:id="1170370261">
              <w:marLeft w:val="-225"/>
              <w:marRight w:val="-225"/>
              <w:marTop w:val="0"/>
              <w:marBottom w:val="0"/>
              <w:divBdr>
                <w:top w:val="none" w:sz="0" w:space="0" w:color="auto"/>
                <w:left w:val="none" w:sz="0" w:space="0" w:color="auto"/>
                <w:bottom w:val="none" w:sz="0" w:space="0" w:color="auto"/>
                <w:right w:val="none" w:sz="0" w:space="0" w:color="auto"/>
              </w:divBdr>
              <w:divsChild>
                <w:div w:id="632255785">
                  <w:marLeft w:val="0"/>
                  <w:marRight w:val="0"/>
                  <w:marTop w:val="0"/>
                  <w:marBottom w:val="0"/>
                  <w:divBdr>
                    <w:top w:val="none" w:sz="0" w:space="0" w:color="auto"/>
                    <w:left w:val="none" w:sz="0" w:space="0" w:color="auto"/>
                    <w:bottom w:val="none" w:sz="0" w:space="0" w:color="auto"/>
                    <w:right w:val="none" w:sz="0" w:space="0" w:color="auto"/>
                  </w:divBdr>
                  <w:divsChild>
                    <w:div w:id="167135221">
                      <w:marLeft w:val="0"/>
                      <w:marRight w:val="0"/>
                      <w:marTop w:val="0"/>
                      <w:marBottom w:val="0"/>
                      <w:divBdr>
                        <w:top w:val="none" w:sz="0" w:space="0" w:color="auto"/>
                        <w:left w:val="none" w:sz="0" w:space="0" w:color="auto"/>
                        <w:bottom w:val="none" w:sz="0" w:space="0" w:color="auto"/>
                        <w:right w:val="none" w:sz="0" w:space="0" w:color="auto"/>
                      </w:divBdr>
                      <w:divsChild>
                        <w:div w:id="178081618">
                          <w:marLeft w:val="0"/>
                          <w:marRight w:val="0"/>
                          <w:marTop w:val="0"/>
                          <w:marBottom w:val="0"/>
                          <w:divBdr>
                            <w:top w:val="none" w:sz="0" w:space="0" w:color="auto"/>
                            <w:left w:val="none" w:sz="0" w:space="0" w:color="auto"/>
                            <w:bottom w:val="none" w:sz="0" w:space="0" w:color="auto"/>
                            <w:right w:val="none" w:sz="0" w:space="0" w:color="auto"/>
                          </w:divBdr>
                          <w:divsChild>
                            <w:div w:id="186676252">
                              <w:marLeft w:val="0"/>
                              <w:marRight w:val="0"/>
                              <w:marTop w:val="0"/>
                              <w:marBottom w:val="0"/>
                              <w:divBdr>
                                <w:top w:val="none" w:sz="0" w:space="0" w:color="auto"/>
                                <w:left w:val="none" w:sz="0" w:space="0" w:color="auto"/>
                                <w:bottom w:val="none" w:sz="0" w:space="0" w:color="auto"/>
                                <w:right w:val="none" w:sz="0" w:space="0" w:color="auto"/>
                              </w:divBdr>
                              <w:divsChild>
                                <w:div w:id="1211310926">
                                  <w:marLeft w:val="0"/>
                                  <w:marRight w:val="0"/>
                                  <w:marTop w:val="0"/>
                                  <w:marBottom w:val="0"/>
                                  <w:divBdr>
                                    <w:top w:val="none" w:sz="0" w:space="0" w:color="auto"/>
                                    <w:left w:val="none" w:sz="0" w:space="0" w:color="auto"/>
                                    <w:bottom w:val="none" w:sz="0" w:space="0" w:color="auto"/>
                                    <w:right w:val="none" w:sz="0" w:space="0" w:color="auto"/>
                                  </w:divBdr>
                                  <w:divsChild>
                                    <w:div w:id="18104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309242">
      <w:bodyDiv w:val="1"/>
      <w:marLeft w:val="0"/>
      <w:marRight w:val="0"/>
      <w:marTop w:val="0"/>
      <w:marBottom w:val="0"/>
      <w:divBdr>
        <w:top w:val="none" w:sz="0" w:space="0" w:color="auto"/>
        <w:left w:val="none" w:sz="0" w:space="0" w:color="auto"/>
        <w:bottom w:val="none" w:sz="0" w:space="0" w:color="auto"/>
        <w:right w:val="none" w:sz="0" w:space="0" w:color="auto"/>
      </w:divBdr>
    </w:div>
    <w:div w:id="1038773323">
      <w:bodyDiv w:val="1"/>
      <w:marLeft w:val="0"/>
      <w:marRight w:val="0"/>
      <w:marTop w:val="0"/>
      <w:marBottom w:val="0"/>
      <w:divBdr>
        <w:top w:val="none" w:sz="0" w:space="0" w:color="auto"/>
        <w:left w:val="none" w:sz="0" w:space="0" w:color="auto"/>
        <w:bottom w:val="none" w:sz="0" w:space="0" w:color="auto"/>
        <w:right w:val="none" w:sz="0" w:space="0" w:color="auto"/>
      </w:divBdr>
      <w:divsChild>
        <w:div w:id="1196581913">
          <w:marLeft w:val="0"/>
          <w:marRight w:val="0"/>
          <w:marTop w:val="0"/>
          <w:marBottom w:val="0"/>
          <w:divBdr>
            <w:top w:val="none" w:sz="0" w:space="0" w:color="auto"/>
            <w:left w:val="none" w:sz="0" w:space="0" w:color="auto"/>
            <w:bottom w:val="none" w:sz="0" w:space="0" w:color="auto"/>
            <w:right w:val="none" w:sz="0" w:space="0" w:color="auto"/>
          </w:divBdr>
          <w:divsChild>
            <w:div w:id="1672567789">
              <w:marLeft w:val="-225"/>
              <w:marRight w:val="-225"/>
              <w:marTop w:val="0"/>
              <w:marBottom w:val="0"/>
              <w:divBdr>
                <w:top w:val="none" w:sz="0" w:space="0" w:color="auto"/>
                <w:left w:val="none" w:sz="0" w:space="0" w:color="auto"/>
                <w:bottom w:val="none" w:sz="0" w:space="0" w:color="auto"/>
                <w:right w:val="none" w:sz="0" w:space="0" w:color="auto"/>
              </w:divBdr>
              <w:divsChild>
                <w:div w:id="1415391784">
                  <w:marLeft w:val="0"/>
                  <w:marRight w:val="0"/>
                  <w:marTop w:val="0"/>
                  <w:marBottom w:val="0"/>
                  <w:divBdr>
                    <w:top w:val="none" w:sz="0" w:space="0" w:color="auto"/>
                    <w:left w:val="none" w:sz="0" w:space="0" w:color="auto"/>
                    <w:bottom w:val="none" w:sz="0" w:space="0" w:color="auto"/>
                    <w:right w:val="none" w:sz="0" w:space="0" w:color="auto"/>
                  </w:divBdr>
                  <w:divsChild>
                    <w:div w:id="11641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509">
          <w:marLeft w:val="0"/>
          <w:marRight w:val="0"/>
          <w:marTop w:val="0"/>
          <w:marBottom w:val="0"/>
          <w:divBdr>
            <w:top w:val="none" w:sz="0" w:space="0" w:color="auto"/>
            <w:left w:val="none" w:sz="0" w:space="0" w:color="auto"/>
            <w:bottom w:val="none" w:sz="0" w:space="0" w:color="auto"/>
            <w:right w:val="none" w:sz="0" w:space="0" w:color="auto"/>
          </w:divBdr>
          <w:divsChild>
            <w:div w:id="255596475">
              <w:marLeft w:val="-225"/>
              <w:marRight w:val="-225"/>
              <w:marTop w:val="0"/>
              <w:marBottom w:val="0"/>
              <w:divBdr>
                <w:top w:val="none" w:sz="0" w:space="0" w:color="auto"/>
                <w:left w:val="none" w:sz="0" w:space="0" w:color="auto"/>
                <w:bottom w:val="none" w:sz="0" w:space="0" w:color="auto"/>
                <w:right w:val="none" w:sz="0" w:space="0" w:color="auto"/>
              </w:divBdr>
              <w:divsChild>
                <w:div w:id="2131901595">
                  <w:marLeft w:val="0"/>
                  <w:marRight w:val="0"/>
                  <w:marTop w:val="0"/>
                  <w:marBottom w:val="0"/>
                  <w:divBdr>
                    <w:top w:val="none" w:sz="0" w:space="0" w:color="auto"/>
                    <w:left w:val="none" w:sz="0" w:space="0" w:color="auto"/>
                    <w:bottom w:val="none" w:sz="0" w:space="0" w:color="auto"/>
                    <w:right w:val="none" w:sz="0" w:space="0" w:color="auto"/>
                  </w:divBdr>
                  <w:divsChild>
                    <w:div w:id="1088381719">
                      <w:marLeft w:val="0"/>
                      <w:marRight w:val="0"/>
                      <w:marTop w:val="0"/>
                      <w:marBottom w:val="0"/>
                      <w:divBdr>
                        <w:top w:val="none" w:sz="0" w:space="0" w:color="auto"/>
                        <w:left w:val="none" w:sz="0" w:space="0" w:color="auto"/>
                        <w:bottom w:val="none" w:sz="0" w:space="0" w:color="auto"/>
                        <w:right w:val="none" w:sz="0" w:space="0" w:color="auto"/>
                      </w:divBdr>
                      <w:divsChild>
                        <w:div w:id="874736345">
                          <w:marLeft w:val="0"/>
                          <w:marRight w:val="0"/>
                          <w:marTop w:val="0"/>
                          <w:marBottom w:val="0"/>
                          <w:divBdr>
                            <w:top w:val="none" w:sz="0" w:space="0" w:color="auto"/>
                            <w:left w:val="none" w:sz="0" w:space="0" w:color="auto"/>
                            <w:bottom w:val="none" w:sz="0" w:space="0" w:color="auto"/>
                            <w:right w:val="none" w:sz="0" w:space="0" w:color="auto"/>
                          </w:divBdr>
                          <w:divsChild>
                            <w:div w:id="537624159">
                              <w:marLeft w:val="0"/>
                              <w:marRight w:val="0"/>
                              <w:marTop w:val="0"/>
                              <w:marBottom w:val="0"/>
                              <w:divBdr>
                                <w:top w:val="none" w:sz="0" w:space="0" w:color="auto"/>
                                <w:left w:val="none" w:sz="0" w:space="0" w:color="auto"/>
                                <w:bottom w:val="none" w:sz="0" w:space="0" w:color="auto"/>
                                <w:right w:val="none" w:sz="0" w:space="0" w:color="auto"/>
                              </w:divBdr>
                              <w:divsChild>
                                <w:div w:id="2023631152">
                                  <w:marLeft w:val="0"/>
                                  <w:marRight w:val="0"/>
                                  <w:marTop w:val="0"/>
                                  <w:marBottom w:val="0"/>
                                  <w:divBdr>
                                    <w:top w:val="none" w:sz="0" w:space="0" w:color="auto"/>
                                    <w:left w:val="none" w:sz="0" w:space="0" w:color="auto"/>
                                    <w:bottom w:val="none" w:sz="0" w:space="0" w:color="auto"/>
                                    <w:right w:val="none" w:sz="0" w:space="0" w:color="auto"/>
                                  </w:divBdr>
                                  <w:divsChild>
                                    <w:div w:id="740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418110">
      <w:bodyDiv w:val="1"/>
      <w:marLeft w:val="0"/>
      <w:marRight w:val="0"/>
      <w:marTop w:val="0"/>
      <w:marBottom w:val="0"/>
      <w:divBdr>
        <w:top w:val="none" w:sz="0" w:space="0" w:color="auto"/>
        <w:left w:val="none" w:sz="0" w:space="0" w:color="auto"/>
        <w:bottom w:val="none" w:sz="0" w:space="0" w:color="auto"/>
        <w:right w:val="none" w:sz="0" w:space="0" w:color="auto"/>
      </w:divBdr>
    </w:div>
    <w:div w:id="1278944867">
      <w:bodyDiv w:val="1"/>
      <w:marLeft w:val="0"/>
      <w:marRight w:val="0"/>
      <w:marTop w:val="0"/>
      <w:marBottom w:val="0"/>
      <w:divBdr>
        <w:top w:val="none" w:sz="0" w:space="0" w:color="auto"/>
        <w:left w:val="none" w:sz="0" w:space="0" w:color="auto"/>
        <w:bottom w:val="none" w:sz="0" w:space="0" w:color="auto"/>
        <w:right w:val="none" w:sz="0" w:space="0" w:color="auto"/>
      </w:divBdr>
      <w:divsChild>
        <w:div w:id="1613508825">
          <w:marLeft w:val="0"/>
          <w:marRight w:val="0"/>
          <w:marTop w:val="0"/>
          <w:marBottom w:val="0"/>
          <w:divBdr>
            <w:top w:val="none" w:sz="0" w:space="0" w:color="auto"/>
            <w:left w:val="none" w:sz="0" w:space="0" w:color="auto"/>
            <w:bottom w:val="none" w:sz="0" w:space="0" w:color="auto"/>
            <w:right w:val="none" w:sz="0" w:space="0" w:color="auto"/>
          </w:divBdr>
          <w:divsChild>
            <w:div w:id="1058936953">
              <w:marLeft w:val="-225"/>
              <w:marRight w:val="-225"/>
              <w:marTop w:val="0"/>
              <w:marBottom w:val="0"/>
              <w:divBdr>
                <w:top w:val="none" w:sz="0" w:space="0" w:color="auto"/>
                <w:left w:val="none" w:sz="0" w:space="0" w:color="auto"/>
                <w:bottom w:val="none" w:sz="0" w:space="0" w:color="auto"/>
                <w:right w:val="none" w:sz="0" w:space="0" w:color="auto"/>
              </w:divBdr>
              <w:divsChild>
                <w:div w:id="1429275126">
                  <w:marLeft w:val="0"/>
                  <w:marRight w:val="0"/>
                  <w:marTop w:val="0"/>
                  <w:marBottom w:val="0"/>
                  <w:divBdr>
                    <w:top w:val="none" w:sz="0" w:space="0" w:color="auto"/>
                    <w:left w:val="none" w:sz="0" w:space="0" w:color="auto"/>
                    <w:bottom w:val="none" w:sz="0" w:space="0" w:color="auto"/>
                    <w:right w:val="none" w:sz="0" w:space="0" w:color="auto"/>
                  </w:divBdr>
                  <w:divsChild>
                    <w:div w:id="5762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9026">
          <w:marLeft w:val="0"/>
          <w:marRight w:val="0"/>
          <w:marTop w:val="0"/>
          <w:marBottom w:val="0"/>
          <w:divBdr>
            <w:top w:val="none" w:sz="0" w:space="0" w:color="auto"/>
            <w:left w:val="none" w:sz="0" w:space="0" w:color="auto"/>
            <w:bottom w:val="none" w:sz="0" w:space="0" w:color="auto"/>
            <w:right w:val="none" w:sz="0" w:space="0" w:color="auto"/>
          </w:divBdr>
          <w:divsChild>
            <w:div w:id="711154869">
              <w:marLeft w:val="-225"/>
              <w:marRight w:val="-225"/>
              <w:marTop w:val="0"/>
              <w:marBottom w:val="0"/>
              <w:divBdr>
                <w:top w:val="none" w:sz="0" w:space="0" w:color="auto"/>
                <w:left w:val="none" w:sz="0" w:space="0" w:color="auto"/>
                <w:bottom w:val="none" w:sz="0" w:space="0" w:color="auto"/>
                <w:right w:val="none" w:sz="0" w:space="0" w:color="auto"/>
              </w:divBdr>
              <w:divsChild>
                <w:div w:id="1043140787">
                  <w:marLeft w:val="0"/>
                  <w:marRight w:val="0"/>
                  <w:marTop w:val="0"/>
                  <w:marBottom w:val="0"/>
                  <w:divBdr>
                    <w:top w:val="none" w:sz="0" w:space="0" w:color="auto"/>
                    <w:left w:val="none" w:sz="0" w:space="0" w:color="auto"/>
                    <w:bottom w:val="none" w:sz="0" w:space="0" w:color="auto"/>
                    <w:right w:val="none" w:sz="0" w:space="0" w:color="auto"/>
                  </w:divBdr>
                  <w:divsChild>
                    <w:div w:id="760759102">
                      <w:marLeft w:val="0"/>
                      <w:marRight w:val="0"/>
                      <w:marTop w:val="0"/>
                      <w:marBottom w:val="0"/>
                      <w:divBdr>
                        <w:top w:val="none" w:sz="0" w:space="0" w:color="auto"/>
                        <w:left w:val="none" w:sz="0" w:space="0" w:color="auto"/>
                        <w:bottom w:val="none" w:sz="0" w:space="0" w:color="auto"/>
                        <w:right w:val="none" w:sz="0" w:space="0" w:color="auto"/>
                      </w:divBdr>
                      <w:divsChild>
                        <w:div w:id="2111965603">
                          <w:marLeft w:val="0"/>
                          <w:marRight w:val="0"/>
                          <w:marTop w:val="0"/>
                          <w:marBottom w:val="0"/>
                          <w:divBdr>
                            <w:top w:val="none" w:sz="0" w:space="0" w:color="auto"/>
                            <w:left w:val="none" w:sz="0" w:space="0" w:color="auto"/>
                            <w:bottom w:val="none" w:sz="0" w:space="0" w:color="auto"/>
                            <w:right w:val="none" w:sz="0" w:space="0" w:color="auto"/>
                          </w:divBdr>
                          <w:divsChild>
                            <w:div w:id="978146026">
                              <w:marLeft w:val="0"/>
                              <w:marRight w:val="0"/>
                              <w:marTop w:val="0"/>
                              <w:marBottom w:val="0"/>
                              <w:divBdr>
                                <w:top w:val="none" w:sz="0" w:space="0" w:color="auto"/>
                                <w:left w:val="none" w:sz="0" w:space="0" w:color="auto"/>
                                <w:bottom w:val="none" w:sz="0" w:space="0" w:color="auto"/>
                                <w:right w:val="none" w:sz="0" w:space="0" w:color="auto"/>
                              </w:divBdr>
                              <w:divsChild>
                                <w:div w:id="923420335">
                                  <w:marLeft w:val="0"/>
                                  <w:marRight w:val="0"/>
                                  <w:marTop w:val="0"/>
                                  <w:marBottom w:val="0"/>
                                  <w:divBdr>
                                    <w:top w:val="none" w:sz="0" w:space="0" w:color="auto"/>
                                    <w:left w:val="none" w:sz="0" w:space="0" w:color="auto"/>
                                    <w:bottom w:val="none" w:sz="0" w:space="0" w:color="auto"/>
                                    <w:right w:val="none" w:sz="0" w:space="0" w:color="auto"/>
                                  </w:divBdr>
                                  <w:divsChild>
                                    <w:div w:id="20796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180704">
      <w:bodyDiv w:val="1"/>
      <w:marLeft w:val="0"/>
      <w:marRight w:val="0"/>
      <w:marTop w:val="0"/>
      <w:marBottom w:val="0"/>
      <w:divBdr>
        <w:top w:val="none" w:sz="0" w:space="0" w:color="auto"/>
        <w:left w:val="none" w:sz="0" w:space="0" w:color="auto"/>
        <w:bottom w:val="none" w:sz="0" w:space="0" w:color="auto"/>
        <w:right w:val="none" w:sz="0" w:space="0" w:color="auto"/>
      </w:divBdr>
    </w:div>
    <w:div w:id="1750956458">
      <w:bodyDiv w:val="1"/>
      <w:marLeft w:val="0"/>
      <w:marRight w:val="0"/>
      <w:marTop w:val="0"/>
      <w:marBottom w:val="0"/>
      <w:divBdr>
        <w:top w:val="none" w:sz="0" w:space="0" w:color="auto"/>
        <w:left w:val="none" w:sz="0" w:space="0" w:color="auto"/>
        <w:bottom w:val="none" w:sz="0" w:space="0" w:color="auto"/>
        <w:right w:val="none" w:sz="0" w:space="0" w:color="auto"/>
      </w:divBdr>
      <w:divsChild>
        <w:div w:id="1855726362">
          <w:marLeft w:val="0"/>
          <w:marRight w:val="0"/>
          <w:marTop w:val="0"/>
          <w:marBottom w:val="0"/>
          <w:divBdr>
            <w:top w:val="none" w:sz="0" w:space="0" w:color="auto"/>
            <w:left w:val="none" w:sz="0" w:space="0" w:color="auto"/>
            <w:bottom w:val="none" w:sz="0" w:space="0" w:color="auto"/>
            <w:right w:val="none" w:sz="0" w:space="0" w:color="auto"/>
          </w:divBdr>
          <w:divsChild>
            <w:div w:id="166797083">
              <w:marLeft w:val="-225"/>
              <w:marRight w:val="-225"/>
              <w:marTop w:val="0"/>
              <w:marBottom w:val="0"/>
              <w:divBdr>
                <w:top w:val="none" w:sz="0" w:space="0" w:color="auto"/>
                <w:left w:val="none" w:sz="0" w:space="0" w:color="auto"/>
                <w:bottom w:val="none" w:sz="0" w:space="0" w:color="auto"/>
                <w:right w:val="none" w:sz="0" w:space="0" w:color="auto"/>
              </w:divBdr>
              <w:divsChild>
                <w:div w:id="508714574">
                  <w:marLeft w:val="0"/>
                  <w:marRight w:val="0"/>
                  <w:marTop w:val="0"/>
                  <w:marBottom w:val="0"/>
                  <w:divBdr>
                    <w:top w:val="none" w:sz="0" w:space="0" w:color="auto"/>
                    <w:left w:val="none" w:sz="0" w:space="0" w:color="auto"/>
                    <w:bottom w:val="none" w:sz="0" w:space="0" w:color="auto"/>
                    <w:right w:val="none" w:sz="0" w:space="0" w:color="auto"/>
                  </w:divBdr>
                  <w:divsChild>
                    <w:div w:id="3365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8907">
          <w:marLeft w:val="0"/>
          <w:marRight w:val="0"/>
          <w:marTop w:val="0"/>
          <w:marBottom w:val="0"/>
          <w:divBdr>
            <w:top w:val="none" w:sz="0" w:space="0" w:color="auto"/>
            <w:left w:val="none" w:sz="0" w:space="0" w:color="auto"/>
            <w:bottom w:val="none" w:sz="0" w:space="0" w:color="auto"/>
            <w:right w:val="none" w:sz="0" w:space="0" w:color="auto"/>
          </w:divBdr>
          <w:divsChild>
            <w:div w:id="94521331">
              <w:marLeft w:val="-225"/>
              <w:marRight w:val="-225"/>
              <w:marTop w:val="0"/>
              <w:marBottom w:val="0"/>
              <w:divBdr>
                <w:top w:val="none" w:sz="0" w:space="0" w:color="auto"/>
                <w:left w:val="none" w:sz="0" w:space="0" w:color="auto"/>
                <w:bottom w:val="none" w:sz="0" w:space="0" w:color="auto"/>
                <w:right w:val="none" w:sz="0" w:space="0" w:color="auto"/>
              </w:divBdr>
              <w:divsChild>
                <w:div w:id="283661468">
                  <w:marLeft w:val="0"/>
                  <w:marRight w:val="0"/>
                  <w:marTop w:val="0"/>
                  <w:marBottom w:val="0"/>
                  <w:divBdr>
                    <w:top w:val="none" w:sz="0" w:space="0" w:color="auto"/>
                    <w:left w:val="none" w:sz="0" w:space="0" w:color="auto"/>
                    <w:bottom w:val="none" w:sz="0" w:space="0" w:color="auto"/>
                    <w:right w:val="none" w:sz="0" w:space="0" w:color="auto"/>
                  </w:divBdr>
                  <w:divsChild>
                    <w:div w:id="1438061720">
                      <w:marLeft w:val="0"/>
                      <w:marRight w:val="0"/>
                      <w:marTop w:val="0"/>
                      <w:marBottom w:val="0"/>
                      <w:divBdr>
                        <w:top w:val="none" w:sz="0" w:space="0" w:color="auto"/>
                        <w:left w:val="none" w:sz="0" w:space="0" w:color="auto"/>
                        <w:bottom w:val="none" w:sz="0" w:space="0" w:color="auto"/>
                        <w:right w:val="none" w:sz="0" w:space="0" w:color="auto"/>
                      </w:divBdr>
                      <w:divsChild>
                        <w:div w:id="1404722291">
                          <w:marLeft w:val="0"/>
                          <w:marRight w:val="0"/>
                          <w:marTop w:val="0"/>
                          <w:marBottom w:val="0"/>
                          <w:divBdr>
                            <w:top w:val="none" w:sz="0" w:space="0" w:color="auto"/>
                            <w:left w:val="none" w:sz="0" w:space="0" w:color="auto"/>
                            <w:bottom w:val="none" w:sz="0" w:space="0" w:color="auto"/>
                            <w:right w:val="none" w:sz="0" w:space="0" w:color="auto"/>
                          </w:divBdr>
                          <w:divsChild>
                            <w:div w:id="366174877">
                              <w:marLeft w:val="0"/>
                              <w:marRight w:val="0"/>
                              <w:marTop w:val="0"/>
                              <w:marBottom w:val="0"/>
                              <w:divBdr>
                                <w:top w:val="none" w:sz="0" w:space="0" w:color="auto"/>
                                <w:left w:val="none" w:sz="0" w:space="0" w:color="auto"/>
                                <w:bottom w:val="none" w:sz="0" w:space="0" w:color="auto"/>
                                <w:right w:val="none" w:sz="0" w:space="0" w:color="auto"/>
                              </w:divBdr>
                              <w:divsChild>
                                <w:div w:id="1148472516">
                                  <w:marLeft w:val="0"/>
                                  <w:marRight w:val="0"/>
                                  <w:marTop w:val="0"/>
                                  <w:marBottom w:val="0"/>
                                  <w:divBdr>
                                    <w:top w:val="none" w:sz="0" w:space="0" w:color="auto"/>
                                    <w:left w:val="none" w:sz="0" w:space="0" w:color="auto"/>
                                    <w:bottom w:val="none" w:sz="0" w:space="0" w:color="auto"/>
                                    <w:right w:val="none" w:sz="0" w:space="0" w:color="auto"/>
                                  </w:divBdr>
                                  <w:divsChild>
                                    <w:div w:id="902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9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ipea.gov.br/portal/index.php?option=com_content&amp;view=article&amp;id=23986" TargetMode="Externa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economia.gov.br/central-de-conteudos/publicacoes/notas-informativas/2019/ni_mp_liberdade_economica.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ipea.gov.br/portal/images/stories/PDFs/TDs/td_2130f.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holar.harvard.edu/files/haidar/files/jjie_0.pdf?m=1439597425" TargetMode="External"/><Relationship Id="rId3" Type="http://schemas.openxmlformats.org/officeDocument/2006/relationships/hyperlink" Target="https://www.worldbank.org/en/news/press-release/2018/10/31/doing-business-report-china-carries-out-record-business-reforms-edges-into-top-50-economies" TargetMode="External"/><Relationship Id="rId7" Type="http://schemas.openxmlformats.org/officeDocument/2006/relationships/hyperlink" Target="http://portugues.doingbusiness.org/pt/methodology/resolving-insolvency" TargetMode="External"/><Relationship Id="rId2" Type="http://schemas.openxmlformats.org/officeDocument/2006/relationships/hyperlink" Target="http://www.redesim.gov.br/copy_of_conheca-a-redesim" TargetMode="External"/><Relationship Id="rId1" Type="http://schemas.openxmlformats.org/officeDocument/2006/relationships/hyperlink" Target="http://portugues.doingbusiness.org/pt/methodology/starting-a-business" TargetMode="External"/><Relationship Id="rId6" Type="http://schemas.openxmlformats.org/officeDocument/2006/relationships/hyperlink" Target="http://portugues.doingbusiness.org/pt/methodology/trading-across-borders" TargetMode="External"/><Relationship Id="rId5" Type="http://schemas.openxmlformats.org/officeDocument/2006/relationships/hyperlink" Target="http://portugues.doingbusiness.org/pt/methodology/paying-taxes" TargetMode="External"/><Relationship Id="rId4" Type="http://schemas.openxmlformats.org/officeDocument/2006/relationships/hyperlink" Target="http://portugues.doingbusiness.org/pt/data/exploreeconomies/brazil" TargetMode="External"/><Relationship Id="rId9" Type="http://schemas.openxmlformats.org/officeDocument/2006/relationships/hyperlink" Target="http://www.economia.gov.br/central-de-conteudos/publicacoes/notas-informativas/2019/ni_mp_liberdade_economica.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4F26-1761-4F0F-9AAB-0CF5FEB8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6784</Words>
  <Characters>36638</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dos Santos Fernandes</dc:creator>
  <cp:keywords/>
  <dc:description/>
  <cp:lastModifiedBy>Diego dos Santos Fernandes</cp:lastModifiedBy>
  <cp:revision>4</cp:revision>
  <cp:lastPrinted>2019-07-22T14:35:00Z</cp:lastPrinted>
  <dcterms:created xsi:type="dcterms:W3CDTF">2019-12-09T19:42:00Z</dcterms:created>
  <dcterms:modified xsi:type="dcterms:W3CDTF">2020-01-31T17:30:00Z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id="IrZ8vFmf"/&gt;&lt;style id="" hasBibliography="0" bibliographyStyleHasBeenSet="0"/&gt;&lt;prefs/&gt;&lt;/data&gt;</vt:lpwstr>
  </property>
  <property fmtid="{D5CDD505-2E9C-101B-9397-08002B2CF9AE}" pid="3" name="Mendeley Document_1">
    <vt:lpwstr>True</vt:lpwstr>
  </property>
  <property fmtid="{D5CDD505-2E9C-101B-9397-08002B2CF9AE}" pid="4" name="Mendeley Unique User Id_1">
    <vt:lpwstr>8b763f40-09ea-31a7-afe6-e1caa9e2ed96</vt:lpwstr>
  </property>
  <property fmtid="{D5CDD505-2E9C-101B-9397-08002B2CF9AE}" pid="5" name="Mendeley Citation Style_1">
    <vt:lpwstr>http://www.zotero.org/styles/associacao-brasileira-de-normas-tecnicas-ipea</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17th edition (author-date)</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http://www.zotero.org/styles/associacao-brasileira-de-normas-tecnicas-ipea</vt:lpwstr>
  </property>
  <property fmtid="{D5CDD505-2E9C-101B-9397-08002B2CF9AE}" pid="17" name="Mendeley Recent Style Name 5_1">
    <vt:lpwstr>Instituto de Pesquisa Econômica Aplicada - ABNT (Portuguese - Brazil)</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http://www.zotero.org/styles/associacao-brasileira-de-normas-tecnicas-usp-fmvz</vt:lpwstr>
  </property>
  <property fmtid="{D5CDD505-2E9C-101B-9397-08002B2CF9AE}" pid="25" name="Mendeley Recent Style Name 9_1">
    <vt:lpwstr>Universidade de São Paulo - Faculdade de Medicina Veterinária e Zootecnia - ABNT (Portuguese - Brazil)</vt:lpwstr>
  </property>
</Properties>
</file>