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BD72F" w14:textId="3CC0BEC1" w:rsidR="00A97DF6" w:rsidRDefault="006E3CAE" w:rsidP="00107B5C">
      <w:pPr>
        <w:ind w:left="360"/>
        <w:jc w:val="center"/>
        <w:rPr>
          <w:b/>
          <w:smallCaps/>
        </w:rPr>
      </w:pPr>
      <w:r>
        <w:rPr>
          <w:b/>
          <w:smallCaps/>
          <w:noProof/>
        </w:rPr>
        <w:drawing>
          <wp:inline distT="0" distB="0" distL="0" distR="0" wp14:anchorId="2BC2B7D9" wp14:editId="4757D3BC">
            <wp:extent cx="783771" cy="626519"/>
            <wp:effectExtent l="0" t="0" r="0" b="2540"/>
            <wp:docPr id="5" name="Imagem 5" descr="C:\Users\Samsung\Desktop\Mestrado\projeto de pesquisa\dissertação\id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Mestrado\projeto de pesquisa\dissertação\id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845" cy="626578"/>
                    </a:xfrm>
                    <a:prstGeom prst="rect">
                      <a:avLst/>
                    </a:prstGeom>
                    <a:noFill/>
                    <a:ln>
                      <a:noFill/>
                    </a:ln>
                  </pic:spPr>
                </pic:pic>
              </a:graphicData>
            </a:graphic>
          </wp:inline>
        </w:drawing>
      </w:r>
    </w:p>
    <w:p w14:paraId="72AB24C7" w14:textId="759BB85F" w:rsidR="00107B5C" w:rsidRPr="00A97DF6" w:rsidRDefault="00C61DC2" w:rsidP="005065C9">
      <w:pPr>
        <w:jc w:val="center"/>
        <w:rPr>
          <w:b/>
        </w:rPr>
      </w:pPr>
      <w:r w:rsidRPr="00C61DC2">
        <w:rPr>
          <w:b/>
        </w:rPr>
        <w:t xml:space="preserve">INSTITUTO BRASILEIRO DE ENSINO, </w:t>
      </w:r>
      <w:r>
        <w:rPr>
          <w:b/>
        </w:rPr>
        <w:t xml:space="preserve">DESENVOLVIMENTO E </w:t>
      </w:r>
      <w:proofErr w:type="gramStart"/>
      <w:r>
        <w:rPr>
          <w:b/>
        </w:rPr>
        <w:t>PESQUISA</w:t>
      </w:r>
      <w:proofErr w:type="gramEnd"/>
      <w:r w:rsidRPr="00A97DF6">
        <w:rPr>
          <w:b/>
        </w:rPr>
        <w:t xml:space="preserve"> </w:t>
      </w:r>
    </w:p>
    <w:p w14:paraId="2AAEE3F3" w14:textId="40DDCB46" w:rsidR="00107B5C" w:rsidRPr="00A97DF6" w:rsidRDefault="00C61DC2" w:rsidP="005065C9">
      <w:pPr>
        <w:jc w:val="center"/>
        <w:rPr>
          <w:b/>
        </w:rPr>
      </w:pPr>
      <w:r w:rsidRPr="00C61DC2">
        <w:rPr>
          <w:b/>
        </w:rPr>
        <w:t>MESTRADO PROFISSIONAL EM ECONOMIA, POLÍTICAS PÚBLICAS E DESENVOLVIMENTO DO IDP (MPE-IDP</w:t>
      </w:r>
      <w:proofErr w:type="gramStart"/>
      <w:r w:rsidRPr="00C61DC2">
        <w:rPr>
          <w:b/>
        </w:rPr>
        <w:t>)</w:t>
      </w:r>
      <w:proofErr w:type="gramEnd"/>
    </w:p>
    <w:p w14:paraId="126BAC49" w14:textId="77777777" w:rsidR="00107B5C" w:rsidRPr="00A97DF6" w:rsidRDefault="00107B5C" w:rsidP="005065C9">
      <w:pPr>
        <w:jc w:val="center"/>
        <w:rPr>
          <w:b/>
        </w:rPr>
      </w:pPr>
    </w:p>
    <w:p w14:paraId="47BD192D" w14:textId="77777777" w:rsidR="00107B5C" w:rsidRPr="00A97DF6" w:rsidRDefault="00107B5C" w:rsidP="005065C9">
      <w:pPr>
        <w:jc w:val="center"/>
        <w:rPr>
          <w:b/>
        </w:rPr>
      </w:pPr>
    </w:p>
    <w:p w14:paraId="3C7BB714" w14:textId="77777777" w:rsidR="00107B5C" w:rsidRPr="00A97DF6" w:rsidRDefault="00107B5C" w:rsidP="005065C9">
      <w:pPr>
        <w:jc w:val="center"/>
        <w:rPr>
          <w:b/>
        </w:rPr>
      </w:pPr>
    </w:p>
    <w:p w14:paraId="55CE7860" w14:textId="77777777" w:rsidR="00107B5C" w:rsidRDefault="00107B5C" w:rsidP="00107B5C">
      <w:pPr>
        <w:ind w:left="360"/>
        <w:jc w:val="center"/>
        <w:rPr>
          <w:b/>
        </w:rPr>
      </w:pPr>
    </w:p>
    <w:p w14:paraId="58877EA7" w14:textId="77777777" w:rsidR="006E3CAE" w:rsidRDefault="006E3CAE" w:rsidP="00107B5C">
      <w:pPr>
        <w:ind w:left="360"/>
        <w:jc w:val="center"/>
        <w:rPr>
          <w:b/>
        </w:rPr>
      </w:pPr>
    </w:p>
    <w:p w14:paraId="6112A947" w14:textId="77777777" w:rsidR="006E3CAE" w:rsidRDefault="006E3CAE" w:rsidP="00107B5C">
      <w:pPr>
        <w:ind w:left="360"/>
        <w:jc w:val="center"/>
        <w:rPr>
          <w:b/>
        </w:rPr>
      </w:pPr>
    </w:p>
    <w:p w14:paraId="23F4F61E" w14:textId="77777777" w:rsidR="006E3CAE" w:rsidRDefault="006E3CAE" w:rsidP="00107B5C">
      <w:pPr>
        <w:ind w:left="360"/>
        <w:jc w:val="center"/>
        <w:rPr>
          <w:b/>
        </w:rPr>
      </w:pPr>
    </w:p>
    <w:p w14:paraId="079290E7" w14:textId="77777777" w:rsidR="006E3CAE" w:rsidRPr="00A97DF6" w:rsidRDefault="006E3CAE" w:rsidP="00107B5C">
      <w:pPr>
        <w:ind w:left="360"/>
        <w:jc w:val="center"/>
        <w:rPr>
          <w:b/>
        </w:rPr>
      </w:pPr>
    </w:p>
    <w:p w14:paraId="6CECEF76" w14:textId="77777777" w:rsidR="00107B5C" w:rsidRPr="00A97DF6" w:rsidRDefault="00107B5C" w:rsidP="00107B5C">
      <w:pPr>
        <w:ind w:left="360"/>
        <w:jc w:val="center"/>
        <w:rPr>
          <w:b/>
        </w:rPr>
      </w:pPr>
    </w:p>
    <w:p w14:paraId="58AB73FB" w14:textId="77777777" w:rsidR="00107B5C" w:rsidRPr="00A97DF6" w:rsidRDefault="00107B5C" w:rsidP="00107B5C">
      <w:pPr>
        <w:ind w:left="360"/>
        <w:jc w:val="center"/>
        <w:rPr>
          <w:b/>
        </w:rPr>
      </w:pPr>
    </w:p>
    <w:p w14:paraId="448D5699" w14:textId="77777777" w:rsidR="00107B5C" w:rsidRPr="00A97DF6" w:rsidRDefault="00107B5C" w:rsidP="00107B5C">
      <w:pPr>
        <w:ind w:left="360"/>
        <w:jc w:val="center"/>
        <w:rPr>
          <w:b/>
        </w:rPr>
      </w:pPr>
    </w:p>
    <w:p w14:paraId="7D40136E" w14:textId="77777777" w:rsidR="00107B5C" w:rsidRPr="00A97DF6" w:rsidRDefault="00107B5C" w:rsidP="005065C9">
      <w:pPr>
        <w:jc w:val="center"/>
        <w:rPr>
          <w:b/>
        </w:rPr>
      </w:pPr>
    </w:p>
    <w:p w14:paraId="1E3659BA" w14:textId="77777777" w:rsidR="00107B5C" w:rsidRPr="00A97DF6" w:rsidRDefault="00107B5C" w:rsidP="005065C9">
      <w:pPr>
        <w:jc w:val="center"/>
        <w:rPr>
          <w:b/>
        </w:rPr>
      </w:pPr>
    </w:p>
    <w:p w14:paraId="261CE44D" w14:textId="1FAA266F" w:rsidR="00107B5C" w:rsidRPr="00A97DF6" w:rsidRDefault="00107B5C" w:rsidP="005065C9">
      <w:pPr>
        <w:jc w:val="center"/>
        <w:rPr>
          <w:b/>
        </w:rPr>
      </w:pPr>
      <w:r w:rsidRPr="00A97DF6">
        <w:rPr>
          <w:b/>
        </w:rPr>
        <w:t>AVALIAÇÃO DE IMPACTO DA</w:t>
      </w:r>
      <w:r w:rsidR="00A60200" w:rsidRPr="00A97DF6">
        <w:rPr>
          <w:b/>
        </w:rPr>
        <w:t xml:space="preserve"> </w:t>
      </w:r>
      <w:r w:rsidR="00D7203D" w:rsidRPr="00A97DF6">
        <w:rPr>
          <w:b/>
        </w:rPr>
        <w:t xml:space="preserve">MUDANÇA </w:t>
      </w:r>
      <w:r w:rsidR="00697611" w:rsidRPr="00A97DF6">
        <w:rPr>
          <w:b/>
        </w:rPr>
        <w:t xml:space="preserve">NO </w:t>
      </w:r>
      <w:r w:rsidR="00D7203D" w:rsidRPr="00A97DF6">
        <w:rPr>
          <w:b/>
        </w:rPr>
        <w:t xml:space="preserve">CONTROLE DE ATOS DE CONCENTRAÇÃO PELO </w:t>
      </w:r>
      <w:r w:rsidR="00D04977" w:rsidRPr="00A97DF6">
        <w:rPr>
          <w:b/>
        </w:rPr>
        <w:t>CADE:</w:t>
      </w:r>
      <w:r w:rsidRPr="00A97DF6">
        <w:rPr>
          <w:b/>
        </w:rPr>
        <w:t xml:space="preserve"> UMA ABORDAGEM POR CONTROLE SINTÉTICO</w:t>
      </w:r>
    </w:p>
    <w:p w14:paraId="254B60C0" w14:textId="77777777" w:rsidR="00C63699" w:rsidRPr="00A97DF6" w:rsidRDefault="00C63699" w:rsidP="005065C9">
      <w:pPr>
        <w:jc w:val="center"/>
        <w:rPr>
          <w:b/>
        </w:rPr>
      </w:pPr>
    </w:p>
    <w:p w14:paraId="57CB7DA4" w14:textId="77777777" w:rsidR="00C63699" w:rsidRDefault="00C63699" w:rsidP="005065C9">
      <w:pPr>
        <w:jc w:val="center"/>
        <w:rPr>
          <w:b/>
        </w:rPr>
      </w:pPr>
    </w:p>
    <w:p w14:paraId="1CCDA3A5" w14:textId="77777777" w:rsidR="006E3CAE" w:rsidRDefault="006E3CAE" w:rsidP="005065C9">
      <w:pPr>
        <w:jc w:val="center"/>
        <w:rPr>
          <w:b/>
        </w:rPr>
      </w:pPr>
    </w:p>
    <w:p w14:paraId="180BAD7C" w14:textId="77777777" w:rsidR="006E3CAE" w:rsidRDefault="006E3CAE" w:rsidP="005065C9">
      <w:pPr>
        <w:jc w:val="center"/>
        <w:rPr>
          <w:b/>
        </w:rPr>
      </w:pPr>
    </w:p>
    <w:p w14:paraId="130B3EE6" w14:textId="77777777" w:rsidR="006E3CAE" w:rsidRDefault="006E3CAE" w:rsidP="005065C9">
      <w:pPr>
        <w:jc w:val="center"/>
        <w:rPr>
          <w:b/>
        </w:rPr>
      </w:pPr>
    </w:p>
    <w:p w14:paraId="3178B0A8" w14:textId="77777777" w:rsidR="006E3CAE" w:rsidRPr="00A97DF6" w:rsidRDefault="006E3CAE" w:rsidP="005065C9">
      <w:pPr>
        <w:jc w:val="center"/>
        <w:rPr>
          <w:b/>
        </w:rPr>
      </w:pPr>
    </w:p>
    <w:p w14:paraId="349FD8E4" w14:textId="77777777" w:rsidR="00107B5C" w:rsidRPr="00A97DF6" w:rsidRDefault="00107B5C" w:rsidP="005065C9">
      <w:pPr>
        <w:jc w:val="center"/>
        <w:rPr>
          <w:b/>
        </w:rPr>
      </w:pPr>
    </w:p>
    <w:p w14:paraId="73507446" w14:textId="77777777" w:rsidR="00107B5C" w:rsidRPr="00A97DF6" w:rsidRDefault="00107B5C" w:rsidP="005065C9">
      <w:pPr>
        <w:jc w:val="center"/>
        <w:rPr>
          <w:b/>
        </w:rPr>
      </w:pPr>
    </w:p>
    <w:p w14:paraId="70898C46" w14:textId="2A3F1480" w:rsidR="00107B5C" w:rsidRPr="00A97DF6" w:rsidRDefault="00107B5C" w:rsidP="005065C9">
      <w:pPr>
        <w:jc w:val="center"/>
        <w:rPr>
          <w:b/>
        </w:rPr>
      </w:pPr>
      <w:r w:rsidRPr="00A97DF6">
        <w:rPr>
          <w:b/>
        </w:rPr>
        <w:t xml:space="preserve"> DIEGO DOS SANTOS FERNANDES</w:t>
      </w:r>
    </w:p>
    <w:p w14:paraId="67D75A87" w14:textId="77777777" w:rsidR="00107B5C" w:rsidRPr="00A97DF6" w:rsidRDefault="00107B5C" w:rsidP="005065C9">
      <w:pPr>
        <w:jc w:val="both"/>
        <w:rPr>
          <w:b/>
        </w:rPr>
      </w:pPr>
    </w:p>
    <w:p w14:paraId="4BB8EC0C" w14:textId="77777777" w:rsidR="00107B5C" w:rsidRPr="00A97DF6" w:rsidRDefault="00107B5C" w:rsidP="005065C9">
      <w:pPr>
        <w:jc w:val="both"/>
        <w:rPr>
          <w:b/>
        </w:rPr>
      </w:pPr>
    </w:p>
    <w:p w14:paraId="42A79E94" w14:textId="77777777" w:rsidR="00A97DF6" w:rsidRPr="00A97DF6" w:rsidRDefault="00A97DF6" w:rsidP="00107B5C">
      <w:pPr>
        <w:ind w:left="360"/>
        <w:jc w:val="both"/>
        <w:rPr>
          <w:b/>
        </w:rPr>
      </w:pPr>
    </w:p>
    <w:p w14:paraId="337B5E18" w14:textId="77777777" w:rsidR="00A97DF6" w:rsidRPr="00A97DF6" w:rsidRDefault="00A97DF6" w:rsidP="00107B5C">
      <w:pPr>
        <w:ind w:left="360"/>
        <w:jc w:val="both"/>
        <w:rPr>
          <w:b/>
        </w:rPr>
      </w:pPr>
    </w:p>
    <w:p w14:paraId="1ED59FC1" w14:textId="77777777" w:rsidR="00A97DF6" w:rsidRPr="00A97DF6" w:rsidRDefault="00A97DF6" w:rsidP="00107B5C">
      <w:pPr>
        <w:ind w:left="360"/>
        <w:jc w:val="both"/>
        <w:rPr>
          <w:b/>
        </w:rPr>
      </w:pPr>
    </w:p>
    <w:p w14:paraId="6BAE4C7B" w14:textId="77777777" w:rsidR="00A97DF6" w:rsidRPr="00A97DF6" w:rsidRDefault="00A97DF6" w:rsidP="00107B5C">
      <w:pPr>
        <w:ind w:left="360"/>
        <w:jc w:val="both"/>
        <w:rPr>
          <w:b/>
        </w:rPr>
      </w:pPr>
    </w:p>
    <w:p w14:paraId="18B90CFD" w14:textId="77777777" w:rsidR="00A97DF6" w:rsidRPr="00A97DF6" w:rsidRDefault="00A97DF6" w:rsidP="00107B5C">
      <w:pPr>
        <w:ind w:left="360"/>
        <w:jc w:val="both"/>
        <w:rPr>
          <w:b/>
        </w:rPr>
      </w:pPr>
    </w:p>
    <w:p w14:paraId="0E33F498" w14:textId="77777777" w:rsidR="00A97DF6" w:rsidRPr="00A97DF6" w:rsidRDefault="00A97DF6" w:rsidP="00107B5C">
      <w:pPr>
        <w:ind w:left="360"/>
        <w:jc w:val="both"/>
        <w:rPr>
          <w:b/>
        </w:rPr>
      </w:pPr>
    </w:p>
    <w:p w14:paraId="7A3B24E9" w14:textId="77777777" w:rsidR="00A97DF6" w:rsidRPr="00A97DF6" w:rsidRDefault="00A97DF6" w:rsidP="00107B5C">
      <w:pPr>
        <w:ind w:left="360"/>
        <w:jc w:val="both"/>
        <w:rPr>
          <w:b/>
        </w:rPr>
      </w:pPr>
    </w:p>
    <w:p w14:paraId="4A03F99A" w14:textId="77777777" w:rsidR="00A97DF6" w:rsidRPr="00A97DF6" w:rsidRDefault="00A97DF6" w:rsidP="00107B5C">
      <w:pPr>
        <w:ind w:left="360"/>
        <w:jc w:val="both"/>
        <w:rPr>
          <w:b/>
        </w:rPr>
      </w:pPr>
    </w:p>
    <w:p w14:paraId="4A37639D" w14:textId="77777777" w:rsidR="00A97DF6" w:rsidRPr="00A97DF6" w:rsidRDefault="00A97DF6" w:rsidP="00107B5C">
      <w:pPr>
        <w:ind w:left="360"/>
        <w:jc w:val="both"/>
        <w:rPr>
          <w:b/>
        </w:rPr>
      </w:pPr>
    </w:p>
    <w:p w14:paraId="49F563DD" w14:textId="77777777" w:rsidR="00A97DF6" w:rsidRPr="00A97DF6" w:rsidRDefault="00A97DF6" w:rsidP="00107B5C">
      <w:pPr>
        <w:ind w:left="360"/>
        <w:jc w:val="both"/>
        <w:rPr>
          <w:b/>
        </w:rPr>
      </w:pPr>
    </w:p>
    <w:p w14:paraId="6604E95A" w14:textId="77777777" w:rsidR="00A97DF6" w:rsidRPr="00A97DF6" w:rsidRDefault="00A97DF6" w:rsidP="003A1BA7">
      <w:pPr>
        <w:ind w:left="360"/>
        <w:jc w:val="right"/>
        <w:rPr>
          <w:b/>
        </w:rPr>
      </w:pPr>
    </w:p>
    <w:p w14:paraId="65791A41" w14:textId="77777777" w:rsidR="00A97DF6" w:rsidRPr="00A97DF6" w:rsidRDefault="00A97DF6" w:rsidP="00107B5C">
      <w:pPr>
        <w:ind w:left="360"/>
        <w:jc w:val="both"/>
        <w:rPr>
          <w:b/>
        </w:rPr>
      </w:pPr>
    </w:p>
    <w:p w14:paraId="29C8B817" w14:textId="77777777" w:rsidR="00C63699" w:rsidRPr="00A97DF6" w:rsidRDefault="00C63699" w:rsidP="005065C9">
      <w:pPr>
        <w:jc w:val="both"/>
        <w:rPr>
          <w:b/>
        </w:rPr>
      </w:pPr>
    </w:p>
    <w:p w14:paraId="144B1297" w14:textId="77777777" w:rsidR="00C63699" w:rsidRPr="00A97DF6" w:rsidRDefault="00C63699" w:rsidP="005065C9">
      <w:pPr>
        <w:jc w:val="both"/>
        <w:rPr>
          <w:b/>
        </w:rPr>
      </w:pPr>
    </w:p>
    <w:p w14:paraId="1F14E23B" w14:textId="5611B7DD" w:rsidR="00C63699" w:rsidRPr="00A97DF6" w:rsidRDefault="00A97DF6" w:rsidP="005065C9">
      <w:pPr>
        <w:jc w:val="center"/>
        <w:rPr>
          <w:b/>
        </w:rPr>
      </w:pPr>
      <w:r w:rsidRPr="00A97DF6">
        <w:rPr>
          <w:b/>
        </w:rPr>
        <w:t>Brasília/DF</w:t>
      </w:r>
    </w:p>
    <w:p w14:paraId="00C774B4" w14:textId="7ED4C194" w:rsidR="00A97DF6" w:rsidRPr="00A97DF6" w:rsidRDefault="00A97DF6" w:rsidP="005065C9">
      <w:pPr>
        <w:jc w:val="center"/>
        <w:rPr>
          <w:b/>
        </w:rPr>
      </w:pPr>
      <w:r w:rsidRPr="00A97DF6">
        <w:rPr>
          <w:b/>
        </w:rPr>
        <w:t>2020</w:t>
      </w:r>
    </w:p>
    <w:p w14:paraId="780DE0A4" w14:textId="6ED592D4" w:rsidR="00A97DF6" w:rsidRPr="00AE4F88" w:rsidRDefault="008901F6" w:rsidP="005065C9">
      <w:pPr>
        <w:pStyle w:val="PargrafodaLista"/>
        <w:spacing w:line="360" w:lineRule="auto"/>
        <w:ind w:left="0"/>
        <w:jc w:val="center"/>
        <w:rPr>
          <w:rFonts w:ascii="Times New Roman" w:hAnsi="Times New Roman" w:cs="Times New Roman"/>
          <w:b/>
          <w:sz w:val="24"/>
          <w:szCs w:val="24"/>
        </w:rPr>
      </w:pPr>
      <w:r w:rsidRPr="00AE4F88">
        <w:rPr>
          <w:rFonts w:ascii="Times New Roman" w:hAnsi="Times New Roman" w:cs="Times New Roman"/>
          <w:b/>
          <w:sz w:val="24"/>
          <w:szCs w:val="24"/>
        </w:rPr>
        <w:t>Diego dos Santos Fernandes</w:t>
      </w:r>
    </w:p>
    <w:p w14:paraId="23D67417" w14:textId="77777777" w:rsidR="00A97DF6" w:rsidRPr="00AE4F88" w:rsidRDefault="00A97DF6" w:rsidP="005065C9">
      <w:pPr>
        <w:pStyle w:val="PargrafodaLista"/>
        <w:spacing w:line="360" w:lineRule="auto"/>
        <w:ind w:left="0"/>
        <w:jc w:val="center"/>
        <w:rPr>
          <w:rFonts w:ascii="Times New Roman" w:hAnsi="Times New Roman" w:cs="Times New Roman"/>
          <w:b/>
          <w:sz w:val="24"/>
          <w:szCs w:val="24"/>
        </w:rPr>
      </w:pPr>
    </w:p>
    <w:p w14:paraId="75306B3F" w14:textId="77777777" w:rsidR="00A97DF6" w:rsidRPr="00AE4F88" w:rsidRDefault="00A97DF6" w:rsidP="005065C9">
      <w:pPr>
        <w:pStyle w:val="PargrafodaLista"/>
        <w:spacing w:line="360" w:lineRule="auto"/>
        <w:ind w:left="0"/>
        <w:jc w:val="center"/>
        <w:rPr>
          <w:rFonts w:ascii="Times New Roman" w:hAnsi="Times New Roman" w:cs="Times New Roman"/>
          <w:b/>
          <w:sz w:val="24"/>
          <w:szCs w:val="24"/>
        </w:rPr>
      </w:pPr>
    </w:p>
    <w:p w14:paraId="79E07964" w14:textId="03D51BF6" w:rsidR="00A97DF6" w:rsidRPr="00AE4F88" w:rsidRDefault="00A97DF6" w:rsidP="005065C9">
      <w:pPr>
        <w:pStyle w:val="PargrafodaLista"/>
        <w:spacing w:line="360" w:lineRule="auto"/>
        <w:ind w:left="0"/>
        <w:jc w:val="center"/>
        <w:rPr>
          <w:rFonts w:ascii="Times New Roman" w:hAnsi="Times New Roman" w:cs="Times New Roman"/>
          <w:b/>
          <w:sz w:val="24"/>
          <w:szCs w:val="24"/>
        </w:rPr>
      </w:pPr>
      <w:r w:rsidRPr="00AE4F88">
        <w:rPr>
          <w:rFonts w:ascii="Times New Roman" w:hAnsi="Times New Roman" w:cs="Times New Roman"/>
          <w:b/>
          <w:sz w:val="24"/>
          <w:szCs w:val="24"/>
        </w:rPr>
        <w:t>Avaliação de impacto da mudança no controle de atos de concentração pelo</w:t>
      </w:r>
      <w:r w:rsidR="00DF622E" w:rsidRPr="00AE4F88">
        <w:rPr>
          <w:rFonts w:ascii="Times New Roman" w:hAnsi="Times New Roman" w:cs="Times New Roman"/>
          <w:b/>
          <w:sz w:val="24"/>
          <w:szCs w:val="24"/>
        </w:rPr>
        <w:t xml:space="preserve"> </w:t>
      </w:r>
      <w:proofErr w:type="spellStart"/>
      <w:r w:rsidR="00001D22">
        <w:rPr>
          <w:rFonts w:ascii="Times New Roman" w:hAnsi="Times New Roman" w:cs="Times New Roman"/>
          <w:b/>
          <w:sz w:val="24"/>
          <w:szCs w:val="24"/>
        </w:rPr>
        <w:t>Cade</w:t>
      </w:r>
      <w:proofErr w:type="spellEnd"/>
      <w:r w:rsidRPr="00AE4F88">
        <w:rPr>
          <w:rFonts w:ascii="Times New Roman" w:hAnsi="Times New Roman" w:cs="Times New Roman"/>
          <w:b/>
          <w:sz w:val="24"/>
          <w:szCs w:val="24"/>
        </w:rPr>
        <w:t>: uma abordagem por controle sintético</w:t>
      </w:r>
    </w:p>
    <w:p w14:paraId="5DA353D3" w14:textId="77777777" w:rsidR="00DF622E" w:rsidRDefault="00DF622E" w:rsidP="005065C9">
      <w:pPr>
        <w:pStyle w:val="PargrafodaLista"/>
        <w:spacing w:line="360" w:lineRule="auto"/>
        <w:ind w:left="0"/>
        <w:jc w:val="center"/>
        <w:rPr>
          <w:rFonts w:ascii="Times New Roman" w:hAnsi="Times New Roman" w:cs="Times New Roman"/>
          <w:sz w:val="24"/>
          <w:szCs w:val="24"/>
        </w:rPr>
      </w:pPr>
    </w:p>
    <w:p w14:paraId="5DD3C10F" w14:textId="77777777" w:rsidR="00DF622E" w:rsidRDefault="00DF622E" w:rsidP="00DF622E">
      <w:pPr>
        <w:pStyle w:val="PargrafodaLista"/>
        <w:spacing w:line="360" w:lineRule="auto"/>
        <w:jc w:val="center"/>
        <w:rPr>
          <w:rFonts w:ascii="Times New Roman" w:hAnsi="Times New Roman" w:cs="Times New Roman"/>
          <w:sz w:val="24"/>
          <w:szCs w:val="24"/>
        </w:rPr>
      </w:pPr>
    </w:p>
    <w:p w14:paraId="1FA23C82" w14:textId="77777777" w:rsidR="00DF622E" w:rsidRDefault="00DF622E" w:rsidP="00DF622E">
      <w:pPr>
        <w:pStyle w:val="PargrafodaLista"/>
        <w:spacing w:line="360" w:lineRule="auto"/>
        <w:jc w:val="center"/>
        <w:rPr>
          <w:rFonts w:ascii="Times New Roman" w:hAnsi="Times New Roman" w:cs="Times New Roman"/>
          <w:sz w:val="24"/>
          <w:szCs w:val="24"/>
        </w:rPr>
      </w:pPr>
    </w:p>
    <w:p w14:paraId="2DF81BD2" w14:textId="77777777" w:rsidR="00DF622E" w:rsidRDefault="00DF622E" w:rsidP="00DF622E">
      <w:pPr>
        <w:pStyle w:val="PargrafodaLista"/>
        <w:spacing w:line="360" w:lineRule="auto"/>
        <w:jc w:val="center"/>
        <w:rPr>
          <w:rFonts w:ascii="Times New Roman" w:hAnsi="Times New Roman" w:cs="Times New Roman"/>
          <w:sz w:val="24"/>
          <w:szCs w:val="24"/>
        </w:rPr>
      </w:pPr>
    </w:p>
    <w:p w14:paraId="225023E7" w14:textId="77777777" w:rsidR="00DF622E" w:rsidRDefault="00DF622E" w:rsidP="00DF622E">
      <w:pPr>
        <w:pStyle w:val="PargrafodaLista"/>
        <w:spacing w:line="360" w:lineRule="auto"/>
        <w:jc w:val="center"/>
        <w:rPr>
          <w:rFonts w:ascii="Times New Roman" w:hAnsi="Times New Roman" w:cs="Times New Roman"/>
          <w:sz w:val="24"/>
          <w:szCs w:val="24"/>
        </w:rPr>
      </w:pPr>
    </w:p>
    <w:p w14:paraId="17801245" w14:textId="77777777" w:rsidR="00DF622E" w:rsidRDefault="00DF622E" w:rsidP="00DF622E">
      <w:pPr>
        <w:pStyle w:val="PargrafodaLista"/>
        <w:spacing w:line="360" w:lineRule="auto"/>
        <w:jc w:val="center"/>
        <w:rPr>
          <w:rFonts w:ascii="Times New Roman" w:hAnsi="Times New Roman" w:cs="Times New Roman"/>
          <w:sz w:val="24"/>
          <w:szCs w:val="24"/>
        </w:rPr>
      </w:pPr>
    </w:p>
    <w:p w14:paraId="2749A8C6" w14:textId="77777777" w:rsidR="00DF622E" w:rsidRPr="00A97DF6" w:rsidRDefault="00DF622E" w:rsidP="00DF622E">
      <w:pPr>
        <w:pStyle w:val="PargrafodaLista"/>
        <w:spacing w:line="360" w:lineRule="auto"/>
        <w:jc w:val="center"/>
        <w:rPr>
          <w:rFonts w:ascii="Times New Roman" w:hAnsi="Times New Roman" w:cs="Times New Roman"/>
          <w:sz w:val="24"/>
          <w:szCs w:val="24"/>
        </w:rPr>
      </w:pPr>
    </w:p>
    <w:p w14:paraId="339DDBF4" w14:textId="77777777" w:rsidR="00A97DF6" w:rsidRPr="00A97DF6" w:rsidRDefault="00A97DF6" w:rsidP="00A97DF6">
      <w:pPr>
        <w:pStyle w:val="PargrafodaLista"/>
        <w:spacing w:line="360" w:lineRule="auto"/>
        <w:jc w:val="both"/>
        <w:rPr>
          <w:rFonts w:ascii="Times New Roman" w:hAnsi="Times New Roman" w:cs="Times New Roman"/>
          <w:sz w:val="24"/>
          <w:szCs w:val="24"/>
        </w:rPr>
      </w:pPr>
    </w:p>
    <w:p w14:paraId="10F26BC8" w14:textId="29868D9D" w:rsidR="00A97DF6" w:rsidRDefault="00A97DF6" w:rsidP="00A97DF6">
      <w:pPr>
        <w:pStyle w:val="PargrafodaLista"/>
        <w:spacing w:line="360" w:lineRule="auto"/>
        <w:ind w:left="4248"/>
        <w:jc w:val="both"/>
        <w:rPr>
          <w:rFonts w:ascii="Times New Roman" w:hAnsi="Times New Roman" w:cs="Times New Roman"/>
          <w:sz w:val="24"/>
          <w:szCs w:val="24"/>
        </w:rPr>
      </w:pPr>
      <w:r w:rsidRPr="00A97DF6">
        <w:rPr>
          <w:rFonts w:ascii="Times New Roman" w:hAnsi="Times New Roman" w:cs="Times New Roman"/>
          <w:sz w:val="24"/>
          <w:szCs w:val="24"/>
        </w:rPr>
        <w:t xml:space="preserve">Dissertação apresentada ao Programa de </w:t>
      </w:r>
      <w:r w:rsidR="0002327B" w:rsidRPr="0002327B">
        <w:rPr>
          <w:rFonts w:ascii="Times New Roman" w:hAnsi="Times New Roman" w:cs="Times New Roman"/>
          <w:sz w:val="24"/>
          <w:szCs w:val="24"/>
        </w:rPr>
        <w:t>Mestrado Profissional em Economia, Políticas Públicas e Desenvolvimento do IDP (MPE-IDP)</w:t>
      </w:r>
      <w:r w:rsidRPr="00A97DF6">
        <w:rPr>
          <w:rFonts w:ascii="Times New Roman" w:hAnsi="Times New Roman" w:cs="Times New Roman"/>
          <w:sz w:val="24"/>
          <w:szCs w:val="24"/>
        </w:rPr>
        <w:t>,</w:t>
      </w:r>
      <w:r>
        <w:rPr>
          <w:rFonts w:ascii="Times New Roman" w:hAnsi="Times New Roman" w:cs="Times New Roman"/>
          <w:sz w:val="24"/>
          <w:szCs w:val="24"/>
        </w:rPr>
        <w:t xml:space="preserve"> </w:t>
      </w:r>
      <w:r w:rsidRPr="00A97DF6">
        <w:rPr>
          <w:rFonts w:ascii="Times New Roman" w:hAnsi="Times New Roman" w:cs="Times New Roman"/>
          <w:sz w:val="24"/>
          <w:szCs w:val="24"/>
        </w:rPr>
        <w:t xml:space="preserve">como requisito parcial à obtenção do título de Mestre em </w:t>
      </w:r>
      <w:r>
        <w:rPr>
          <w:rFonts w:ascii="Times New Roman" w:hAnsi="Times New Roman" w:cs="Times New Roman"/>
          <w:sz w:val="24"/>
          <w:szCs w:val="24"/>
        </w:rPr>
        <w:t>Economia</w:t>
      </w:r>
      <w:r w:rsidRPr="00A97DF6">
        <w:rPr>
          <w:rFonts w:ascii="Times New Roman" w:hAnsi="Times New Roman" w:cs="Times New Roman"/>
          <w:sz w:val="24"/>
          <w:szCs w:val="24"/>
        </w:rPr>
        <w:t>.</w:t>
      </w:r>
    </w:p>
    <w:p w14:paraId="49BCEB25" w14:textId="77777777" w:rsidR="00F64084" w:rsidRDefault="00F64084" w:rsidP="00A97DF6">
      <w:pPr>
        <w:pStyle w:val="PargrafodaLista"/>
        <w:spacing w:line="360" w:lineRule="auto"/>
        <w:ind w:left="4248"/>
        <w:jc w:val="both"/>
        <w:rPr>
          <w:rFonts w:ascii="Times New Roman" w:hAnsi="Times New Roman" w:cs="Times New Roman"/>
          <w:sz w:val="24"/>
          <w:szCs w:val="24"/>
        </w:rPr>
      </w:pPr>
    </w:p>
    <w:p w14:paraId="6F95C8B3" w14:textId="77777777" w:rsidR="00F64084" w:rsidRDefault="00F64084" w:rsidP="00A97DF6">
      <w:pPr>
        <w:pStyle w:val="PargrafodaLista"/>
        <w:spacing w:line="360" w:lineRule="auto"/>
        <w:ind w:left="4248"/>
        <w:jc w:val="both"/>
        <w:rPr>
          <w:rFonts w:ascii="Times New Roman" w:hAnsi="Times New Roman" w:cs="Times New Roman"/>
          <w:sz w:val="24"/>
          <w:szCs w:val="24"/>
        </w:rPr>
      </w:pPr>
    </w:p>
    <w:p w14:paraId="60416832" w14:textId="77777777" w:rsidR="00F64084" w:rsidRDefault="00F64084" w:rsidP="00A97DF6">
      <w:pPr>
        <w:pStyle w:val="PargrafodaLista"/>
        <w:spacing w:line="360" w:lineRule="auto"/>
        <w:ind w:left="4248"/>
        <w:jc w:val="both"/>
        <w:rPr>
          <w:rFonts w:ascii="Times New Roman" w:hAnsi="Times New Roman" w:cs="Times New Roman"/>
          <w:sz w:val="24"/>
          <w:szCs w:val="24"/>
        </w:rPr>
      </w:pPr>
    </w:p>
    <w:p w14:paraId="48473907" w14:textId="77777777" w:rsidR="00F64084" w:rsidRDefault="00F64084" w:rsidP="00A97DF6">
      <w:pPr>
        <w:pStyle w:val="PargrafodaLista"/>
        <w:spacing w:line="360" w:lineRule="auto"/>
        <w:ind w:left="4248"/>
        <w:jc w:val="both"/>
        <w:rPr>
          <w:rFonts w:ascii="Times New Roman" w:hAnsi="Times New Roman" w:cs="Times New Roman"/>
          <w:sz w:val="24"/>
          <w:szCs w:val="24"/>
        </w:rPr>
      </w:pPr>
    </w:p>
    <w:p w14:paraId="4A0BE566" w14:textId="78090B51" w:rsidR="00A97DF6" w:rsidRPr="00A97DF6" w:rsidRDefault="00A97DF6" w:rsidP="00F64084">
      <w:pPr>
        <w:pStyle w:val="PargrafodaLista"/>
        <w:spacing w:line="360" w:lineRule="auto"/>
        <w:ind w:left="0"/>
        <w:jc w:val="center"/>
        <w:rPr>
          <w:rFonts w:ascii="Times New Roman" w:hAnsi="Times New Roman" w:cs="Times New Roman"/>
          <w:sz w:val="24"/>
          <w:szCs w:val="24"/>
        </w:rPr>
      </w:pPr>
      <w:r w:rsidRPr="00A97DF6">
        <w:rPr>
          <w:rFonts w:ascii="Times New Roman" w:hAnsi="Times New Roman" w:cs="Times New Roman"/>
          <w:sz w:val="24"/>
          <w:szCs w:val="24"/>
        </w:rPr>
        <w:t xml:space="preserve">Orientador: </w:t>
      </w:r>
      <w:r>
        <w:rPr>
          <w:rFonts w:ascii="Times New Roman" w:hAnsi="Times New Roman" w:cs="Times New Roman"/>
          <w:sz w:val="24"/>
          <w:szCs w:val="24"/>
        </w:rPr>
        <w:t>Prof</w:t>
      </w:r>
      <w:r w:rsidRPr="00A97DF6">
        <w:rPr>
          <w:rFonts w:ascii="Times New Roman" w:hAnsi="Times New Roman" w:cs="Times New Roman"/>
          <w:sz w:val="24"/>
          <w:szCs w:val="24"/>
        </w:rPr>
        <w:t>.</w:t>
      </w:r>
      <w:r>
        <w:rPr>
          <w:rFonts w:ascii="Times New Roman" w:hAnsi="Times New Roman" w:cs="Times New Roman"/>
          <w:sz w:val="24"/>
          <w:szCs w:val="24"/>
        </w:rPr>
        <w:t xml:space="preserve"> </w:t>
      </w:r>
      <w:r w:rsidR="00E32890">
        <w:rPr>
          <w:rFonts w:ascii="Times New Roman" w:hAnsi="Times New Roman" w:cs="Times New Roman"/>
          <w:sz w:val="24"/>
          <w:szCs w:val="24"/>
        </w:rPr>
        <w:t>Leonardo Monteiro Monast</w:t>
      </w:r>
      <w:r w:rsidR="00F91290">
        <w:rPr>
          <w:rFonts w:ascii="Times New Roman" w:hAnsi="Times New Roman" w:cs="Times New Roman"/>
          <w:sz w:val="24"/>
          <w:szCs w:val="24"/>
        </w:rPr>
        <w:t>é</w:t>
      </w:r>
      <w:r w:rsidR="002418C2" w:rsidRPr="002418C2">
        <w:rPr>
          <w:rFonts w:ascii="Times New Roman" w:hAnsi="Times New Roman" w:cs="Times New Roman"/>
          <w:sz w:val="24"/>
          <w:szCs w:val="24"/>
        </w:rPr>
        <w:t>rio</w:t>
      </w:r>
    </w:p>
    <w:p w14:paraId="687962C0" w14:textId="77777777" w:rsidR="00A97DF6" w:rsidRDefault="00A97DF6" w:rsidP="00A97DF6">
      <w:pPr>
        <w:pStyle w:val="PargrafodaLista"/>
        <w:spacing w:line="360" w:lineRule="auto"/>
        <w:jc w:val="both"/>
        <w:rPr>
          <w:rFonts w:ascii="Arial" w:hAnsi="Arial" w:cs="Arial"/>
          <w:sz w:val="30"/>
          <w:szCs w:val="30"/>
        </w:rPr>
      </w:pPr>
    </w:p>
    <w:p w14:paraId="4FDC8740" w14:textId="77777777" w:rsidR="00DF622E" w:rsidRDefault="00DF622E" w:rsidP="00A97DF6">
      <w:pPr>
        <w:pStyle w:val="PargrafodaLista"/>
        <w:spacing w:line="360" w:lineRule="auto"/>
        <w:jc w:val="center"/>
        <w:rPr>
          <w:rFonts w:ascii="Arial" w:hAnsi="Arial" w:cs="Arial"/>
          <w:sz w:val="30"/>
          <w:szCs w:val="30"/>
        </w:rPr>
      </w:pPr>
    </w:p>
    <w:p w14:paraId="5A3D7B7D" w14:textId="77777777" w:rsidR="00DF622E" w:rsidRDefault="00DF622E" w:rsidP="00A97DF6">
      <w:pPr>
        <w:pStyle w:val="PargrafodaLista"/>
        <w:spacing w:line="360" w:lineRule="auto"/>
        <w:jc w:val="center"/>
        <w:rPr>
          <w:rFonts w:ascii="Arial" w:hAnsi="Arial" w:cs="Arial"/>
          <w:sz w:val="30"/>
          <w:szCs w:val="30"/>
        </w:rPr>
      </w:pPr>
    </w:p>
    <w:p w14:paraId="3116A077" w14:textId="77777777" w:rsidR="00A97DF6" w:rsidRDefault="00A97DF6" w:rsidP="00A97DF6">
      <w:pPr>
        <w:pStyle w:val="PargrafodaLista"/>
        <w:spacing w:line="360" w:lineRule="auto"/>
        <w:jc w:val="center"/>
        <w:rPr>
          <w:rFonts w:ascii="Arial" w:hAnsi="Arial" w:cs="Arial"/>
          <w:sz w:val="30"/>
          <w:szCs w:val="30"/>
        </w:rPr>
      </w:pPr>
    </w:p>
    <w:p w14:paraId="6F63ACD6" w14:textId="77777777" w:rsidR="00F64084" w:rsidRDefault="00F64084" w:rsidP="00A97DF6">
      <w:pPr>
        <w:pStyle w:val="PargrafodaLista"/>
        <w:spacing w:line="360" w:lineRule="auto"/>
        <w:jc w:val="center"/>
        <w:rPr>
          <w:rFonts w:ascii="Arial" w:hAnsi="Arial" w:cs="Arial"/>
          <w:sz w:val="30"/>
          <w:szCs w:val="30"/>
        </w:rPr>
      </w:pPr>
    </w:p>
    <w:p w14:paraId="5DEA9224" w14:textId="77777777" w:rsidR="00F64084" w:rsidRDefault="00F64084" w:rsidP="00A97DF6">
      <w:pPr>
        <w:pStyle w:val="PargrafodaLista"/>
        <w:spacing w:line="360" w:lineRule="auto"/>
        <w:jc w:val="center"/>
        <w:rPr>
          <w:rFonts w:ascii="Arial" w:hAnsi="Arial" w:cs="Arial"/>
          <w:sz w:val="30"/>
          <w:szCs w:val="30"/>
        </w:rPr>
      </w:pPr>
    </w:p>
    <w:p w14:paraId="0AF5476C" w14:textId="77777777" w:rsidR="00F64084" w:rsidRDefault="00F64084" w:rsidP="00A97DF6">
      <w:pPr>
        <w:pStyle w:val="PargrafodaLista"/>
        <w:spacing w:line="360" w:lineRule="auto"/>
        <w:jc w:val="center"/>
        <w:rPr>
          <w:rFonts w:ascii="Arial" w:hAnsi="Arial" w:cs="Arial"/>
          <w:sz w:val="30"/>
          <w:szCs w:val="30"/>
        </w:rPr>
      </w:pPr>
    </w:p>
    <w:p w14:paraId="7DCFC500" w14:textId="77777777" w:rsidR="00A97DF6" w:rsidRDefault="00A97DF6" w:rsidP="00AC2BD9">
      <w:pPr>
        <w:pStyle w:val="PargrafodaLista"/>
        <w:spacing w:line="360" w:lineRule="auto"/>
        <w:jc w:val="center"/>
        <w:rPr>
          <w:rFonts w:ascii="Arial" w:hAnsi="Arial" w:cs="Arial"/>
          <w:sz w:val="30"/>
          <w:szCs w:val="30"/>
        </w:rPr>
      </w:pPr>
    </w:p>
    <w:p w14:paraId="04BB5B3A" w14:textId="7AD8A30B" w:rsidR="00A97DF6" w:rsidRPr="00A97DF6" w:rsidRDefault="00A97DF6" w:rsidP="00AC2BD9">
      <w:pPr>
        <w:pStyle w:val="PargrafodaLista"/>
        <w:spacing w:line="360" w:lineRule="auto"/>
        <w:jc w:val="center"/>
        <w:rPr>
          <w:rFonts w:ascii="Times New Roman" w:hAnsi="Times New Roman" w:cs="Times New Roman"/>
          <w:sz w:val="24"/>
          <w:szCs w:val="24"/>
        </w:rPr>
      </w:pPr>
      <w:r w:rsidRPr="00A97DF6">
        <w:rPr>
          <w:rFonts w:ascii="Times New Roman" w:hAnsi="Times New Roman" w:cs="Times New Roman"/>
          <w:sz w:val="24"/>
          <w:szCs w:val="24"/>
        </w:rPr>
        <w:t>Brasília</w:t>
      </w:r>
      <w:r w:rsidR="00DF622E">
        <w:rPr>
          <w:rFonts w:ascii="Times New Roman" w:hAnsi="Times New Roman" w:cs="Times New Roman"/>
          <w:sz w:val="24"/>
          <w:szCs w:val="24"/>
        </w:rPr>
        <w:t>/</w:t>
      </w:r>
      <w:r w:rsidRPr="00A97DF6">
        <w:rPr>
          <w:rFonts w:ascii="Times New Roman" w:hAnsi="Times New Roman" w:cs="Times New Roman"/>
          <w:sz w:val="24"/>
          <w:szCs w:val="24"/>
        </w:rPr>
        <w:t>DF</w:t>
      </w:r>
    </w:p>
    <w:p w14:paraId="5651C37B" w14:textId="19C51E67" w:rsidR="00A97DF6" w:rsidRDefault="00A97DF6" w:rsidP="00AC2BD9">
      <w:pPr>
        <w:pStyle w:val="PargrafodaLista"/>
        <w:spacing w:line="360" w:lineRule="auto"/>
        <w:jc w:val="center"/>
        <w:rPr>
          <w:rFonts w:ascii="Times New Roman" w:hAnsi="Times New Roman" w:cs="Times New Roman"/>
          <w:sz w:val="24"/>
          <w:szCs w:val="24"/>
        </w:rPr>
      </w:pPr>
      <w:r w:rsidRPr="00A97DF6">
        <w:rPr>
          <w:rFonts w:ascii="Times New Roman" w:hAnsi="Times New Roman" w:cs="Times New Roman"/>
          <w:sz w:val="24"/>
          <w:szCs w:val="24"/>
        </w:rPr>
        <w:t>2020</w:t>
      </w:r>
    </w:p>
    <w:p w14:paraId="55B37B90" w14:textId="77777777" w:rsidR="00AC2BD9" w:rsidRPr="00A97DF6" w:rsidRDefault="00AC2BD9" w:rsidP="00AC2BD9">
      <w:pPr>
        <w:pStyle w:val="PargrafodaLista"/>
        <w:spacing w:line="360" w:lineRule="auto"/>
        <w:jc w:val="center"/>
        <w:rPr>
          <w:rFonts w:ascii="Times New Roman" w:hAnsi="Times New Roman" w:cs="Times New Roman"/>
          <w:b/>
          <w:smallCaps/>
          <w:sz w:val="24"/>
          <w:szCs w:val="24"/>
        </w:rPr>
      </w:pPr>
    </w:p>
    <w:p w14:paraId="1BAA5FE0" w14:textId="77777777" w:rsidR="001F7120" w:rsidRDefault="001F7120" w:rsidP="00AC2BD9">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Diego dos Santos Fernandes</w:t>
      </w:r>
    </w:p>
    <w:p w14:paraId="722CE43F" w14:textId="77777777" w:rsidR="001F7120" w:rsidRDefault="001F7120" w:rsidP="001F7120">
      <w:pPr>
        <w:pStyle w:val="PargrafodaLista"/>
        <w:spacing w:line="360" w:lineRule="auto"/>
        <w:ind w:left="0"/>
        <w:jc w:val="center"/>
        <w:rPr>
          <w:rFonts w:ascii="Times New Roman" w:hAnsi="Times New Roman" w:cs="Times New Roman"/>
          <w:sz w:val="24"/>
          <w:szCs w:val="24"/>
        </w:rPr>
      </w:pPr>
    </w:p>
    <w:p w14:paraId="3F3D425B" w14:textId="77777777" w:rsidR="001F7120" w:rsidRPr="00A97DF6" w:rsidRDefault="001F7120" w:rsidP="001F7120">
      <w:pPr>
        <w:pStyle w:val="PargrafodaLista"/>
        <w:spacing w:line="360" w:lineRule="auto"/>
        <w:ind w:left="0"/>
        <w:jc w:val="center"/>
        <w:rPr>
          <w:rFonts w:ascii="Times New Roman" w:hAnsi="Times New Roman" w:cs="Times New Roman"/>
          <w:sz w:val="24"/>
          <w:szCs w:val="24"/>
        </w:rPr>
      </w:pPr>
    </w:p>
    <w:p w14:paraId="2C2769B6" w14:textId="77777777" w:rsidR="001F7120" w:rsidRDefault="001F7120" w:rsidP="001F7120">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r w:rsidRPr="00A97DF6">
        <w:rPr>
          <w:rFonts w:ascii="Times New Roman" w:hAnsi="Times New Roman" w:cs="Times New Roman"/>
          <w:sz w:val="24"/>
          <w:szCs w:val="24"/>
        </w:rPr>
        <w:t>valiação de impacto da mudança no control</w:t>
      </w:r>
      <w:r>
        <w:rPr>
          <w:rFonts w:ascii="Times New Roman" w:hAnsi="Times New Roman" w:cs="Times New Roman"/>
          <w:sz w:val="24"/>
          <w:szCs w:val="24"/>
        </w:rPr>
        <w:t xml:space="preserve">e de atos de concentração pelo </w:t>
      </w:r>
      <w:proofErr w:type="spellStart"/>
      <w:r>
        <w:rPr>
          <w:rFonts w:ascii="Times New Roman" w:hAnsi="Times New Roman" w:cs="Times New Roman"/>
          <w:sz w:val="24"/>
          <w:szCs w:val="24"/>
        </w:rPr>
        <w:t>C</w:t>
      </w:r>
      <w:r w:rsidRPr="00A97DF6">
        <w:rPr>
          <w:rFonts w:ascii="Times New Roman" w:hAnsi="Times New Roman" w:cs="Times New Roman"/>
          <w:sz w:val="24"/>
          <w:szCs w:val="24"/>
        </w:rPr>
        <w:t>ade</w:t>
      </w:r>
      <w:proofErr w:type="spellEnd"/>
      <w:r w:rsidRPr="00A97DF6">
        <w:rPr>
          <w:rFonts w:ascii="Times New Roman" w:hAnsi="Times New Roman" w:cs="Times New Roman"/>
          <w:sz w:val="24"/>
          <w:szCs w:val="24"/>
        </w:rPr>
        <w:t>: uma abordagem por controle sintético</w:t>
      </w:r>
    </w:p>
    <w:p w14:paraId="22A77100"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25003A54" w14:textId="77777777" w:rsidR="00F64084" w:rsidRDefault="00F64084" w:rsidP="00A97DF6">
      <w:pPr>
        <w:pStyle w:val="PargrafodaLista"/>
        <w:spacing w:line="360" w:lineRule="auto"/>
        <w:jc w:val="both"/>
        <w:rPr>
          <w:rFonts w:ascii="Times New Roman" w:hAnsi="Times New Roman" w:cs="Times New Roman"/>
          <w:b/>
          <w:smallCaps/>
          <w:sz w:val="24"/>
          <w:szCs w:val="24"/>
        </w:rPr>
      </w:pPr>
    </w:p>
    <w:p w14:paraId="14CA6450" w14:textId="77777777" w:rsidR="00F64084" w:rsidRDefault="00F64084" w:rsidP="00A97DF6">
      <w:pPr>
        <w:pStyle w:val="PargrafodaLista"/>
        <w:spacing w:line="360" w:lineRule="auto"/>
        <w:jc w:val="both"/>
        <w:rPr>
          <w:rFonts w:ascii="Times New Roman" w:hAnsi="Times New Roman" w:cs="Times New Roman"/>
          <w:b/>
          <w:smallCaps/>
          <w:sz w:val="24"/>
          <w:szCs w:val="24"/>
        </w:rPr>
      </w:pPr>
    </w:p>
    <w:p w14:paraId="33770297" w14:textId="45694DE5" w:rsidR="00F64084" w:rsidRPr="00F64084" w:rsidRDefault="00F64084" w:rsidP="00527B1B">
      <w:pPr>
        <w:pStyle w:val="PargrafodaLista"/>
        <w:spacing w:line="360" w:lineRule="auto"/>
        <w:ind w:left="3540"/>
        <w:jc w:val="both"/>
        <w:rPr>
          <w:rFonts w:ascii="Times New Roman" w:hAnsi="Times New Roman" w:cs="Times New Roman"/>
          <w:b/>
          <w:smallCaps/>
          <w:sz w:val="24"/>
          <w:szCs w:val="24"/>
        </w:rPr>
      </w:pPr>
      <w:r w:rsidRPr="00F64084">
        <w:rPr>
          <w:rFonts w:ascii="Times New Roman" w:hAnsi="Times New Roman" w:cs="Times New Roman"/>
          <w:sz w:val="24"/>
          <w:szCs w:val="24"/>
        </w:rPr>
        <w:t xml:space="preserve">Dissertação apresentada ao Programa de </w:t>
      </w:r>
      <w:r w:rsidR="005F1B74" w:rsidRPr="0002327B">
        <w:rPr>
          <w:rFonts w:ascii="Times New Roman" w:hAnsi="Times New Roman" w:cs="Times New Roman"/>
          <w:sz w:val="24"/>
          <w:szCs w:val="24"/>
        </w:rPr>
        <w:t>Mestrado Profissional em Economia, Políticas Públicas e Desenvolvimento do IDP (MPE-IDP)</w:t>
      </w:r>
      <w:r w:rsidRPr="00F64084">
        <w:rPr>
          <w:rFonts w:ascii="Times New Roman" w:hAnsi="Times New Roman" w:cs="Times New Roman"/>
          <w:sz w:val="24"/>
          <w:szCs w:val="24"/>
        </w:rPr>
        <w:t xml:space="preserve">, como parte dos requisitos para obtenção do título de Mestre em </w:t>
      </w:r>
      <w:r>
        <w:rPr>
          <w:rFonts w:ascii="Times New Roman" w:hAnsi="Times New Roman" w:cs="Times New Roman"/>
          <w:sz w:val="24"/>
          <w:szCs w:val="24"/>
        </w:rPr>
        <w:t>Economia</w:t>
      </w:r>
      <w:r w:rsidRPr="00F64084">
        <w:rPr>
          <w:rFonts w:ascii="Times New Roman" w:hAnsi="Times New Roman" w:cs="Times New Roman"/>
          <w:sz w:val="24"/>
          <w:szCs w:val="24"/>
        </w:rPr>
        <w:t>. Aprovado em:______/______ /______</w:t>
      </w:r>
    </w:p>
    <w:p w14:paraId="77AB372A" w14:textId="77777777" w:rsidR="00F64084" w:rsidRDefault="00F64084" w:rsidP="00A97DF6">
      <w:pPr>
        <w:pStyle w:val="PargrafodaLista"/>
        <w:spacing w:line="360" w:lineRule="auto"/>
        <w:jc w:val="both"/>
        <w:rPr>
          <w:rFonts w:ascii="Times New Roman" w:hAnsi="Times New Roman" w:cs="Times New Roman"/>
          <w:b/>
          <w:smallCaps/>
          <w:sz w:val="24"/>
          <w:szCs w:val="24"/>
        </w:rPr>
      </w:pPr>
    </w:p>
    <w:p w14:paraId="4EDA961B" w14:textId="77777777" w:rsidR="001F7120" w:rsidRDefault="001F7120" w:rsidP="00A97DF6">
      <w:pPr>
        <w:pStyle w:val="PargrafodaLista"/>
        <w:spacing w:line="360" w:lineRule="auto"/>
        <w:jc w:val="both"/>
        <w:rPr>
          <w:rFonts w:ascii="Times New Roman" w:hAnsi="Times New Roman" w:cs="Times New Roman"/>
          <w:b/>
          <w:smallCaps/>
          <w:sz w:val="24"/>
          <w:szCs w:val="24"/>
        </w:rPr>
      </w:pPr>
    </w:p>
    <w:p w14:paraId="75585D48" w14:textId="00B1AB3B" w:rsidR="00F64084" w:rsidRDefault="00F64084" w:rsidP="001F7120">
      <w:pPr>
        <w:pStyle w:val="PargrafodaLista"/>
        <w:spacing w:line="360" w:lineRule="auto"/>
        <w:ind w:left="0"/>
        <w:jc w:val="center"/>
        <w:rPr>
          <w:rFonts w:ascii="Times New Roman" w:hAnsi="Times New Roman" w:cs="Times New Roman"/>
          <w:sz w:val="24"/>
          <w:szCs w:val="24"/>
        </w:rPr>
      </w:pPr>
      <w:r w:rsidRPr="00FA56A9">
        <w:rPr>
          <w:rFonts w:ascii="Times New Roman" w:hAnsi="Times New Roman" w:cs="Times New Roman"/>
          <w:sz w:val="24"/>
          <w:szCs w:val="24"/>
        </w:rPr>
        <w:t>Banca Examinadora:</w:t>
      </w:r>
    </w:p>
    <w:p w14:paraId="1E629687" w14:textId="77777777" w:rsidR="008C7A00" w:rsidRDefault="008C7A00" w:rsidP="001F7120">
      <w:pPr>
        <w:pStyle w:val="PargrafodaLista"/>
        <w:spacing w:line="360" w:lineRule="auto"/>
        <w:ind w:left="0"/>
        <w:jc w:val="center"/>
        <w:rPr>
          <w:rFonts w:ascii="Times New Roman" w:hAnsi="Times New Roman" w:cs="Times New Roman"/>
          <w:sz w:val="24"/>
          <w:szCs w:val="24"/>
        </w:rPr>
      </w:pPr>
    </w:p>
    <w:p w14:paraId="2077BEB5" w14:textId="77777777" w:rsidR="00FA56A9" w:rsidRPr="00FA56A9" w:rsidRDefault="00FA56A9" w:rsidP="005065C9">
      <w:pPr>
        <w:pStyle w:val="PargrafodaLista"/>
        <w:spacing w:line="360" w:lineRule="auto"/>
        <w:jc w:val="center"/>
        <w:rPr>
          <w:rFonts w:ascii="Times New Roman" w:hAnsi="Times New Roman" w:cs="Times New Roman"/>
          <w:sz w:val="24"/>
          <w:szCs w:val="24"/>
        </w:rPr>
      </w:pPr>
    </w:p>
    <w:p w14:paraId="03830B2D" w14:textId="0A73C6FD" w:rsidR="00FA56A9" w:rsidRPr="00AC2BD9" w:rsidRDefault="00F64084" w:rsidP="001F7120">
      <w:pPr>
        <w:pStyle w:val="PargrafodaLista"/>
        <w:spacing w:after="0" w:line="240" w:lineRule="auto"/>
        <w:ind w:left="0"/>
        <w:jc w:val="center"/>
        <w:rPr>
          <w:rFonts w:ascii="Times New Roman" w:hAnsi="Times New Roman" w:cs="Times New Roman"/>
          <w:sz w:val="24"/>
          <w:szCs w:val="24"/>
        </w:rPr>
      </w:pPr>
      <w:r w:rsidRPr="00AC2BD9">
        <w:rPr>
          <w:rFonts w:ascii="Times New Roman" w:hAnsi="Times New Roman" w:cs="Times New Roman"/>
          <w:sz w:val="24"/>
          <w:szCs w:val="24"/>
        </w:rPr>
        <w:t xml:space="preserve">Prof. Dr. </w:t>
      </w:r>
      <w:r w:rsidR="00E32890" w:rsidRPr="00AC2BD9">
        <w:rPr>
          <w:rFonts w:ascii="Times New Roman" w:hAnsi="Times New Roman" w:cs="Times New Roman"/>
          <w:sz w:val="24"/>
          <w:szCs w:val="24"/>
        </w:rPr>
        <w:t xml:space="preserve">Leonardo Monteiro </w:t>
      </w:r>
      <w:r w:rsidR="00AC2BD9" w:rsidRPr="00AC2BD9">
        <w:rPr>
          <w:rFonts w:ascii="Times New Roman" w:hAnsi="Times New Roman" w:cs="Times New Roman"/>
          <w:sz w:val="24"/>
          <w:szCs w:val="24"/>
        </w:rPr>
        <w:t>Monastério</w:t>
      </w:r>
      <w:r w:rsidR="002418C2" w:rsidRPr="00AC2BD9">
        <w:rPr>
          <w:rFonts w:ascii="Times New Roman" w:hAnsi="Times New Roman" w:cs="Times New Roman"/>
          <w:sz w:val="24"/>
          <w:szCs w:val="24"/>
        </w:rPr>
        <w:t xml:space="preserve"> </w:t>
      </w:r>
      <w:r w:rsidRPr="00AC2BD9">
        <w:rPr>
          <w:rFonts w:ascii="Times New Roman" w:hAnsi="Times New Roman" w:cs="Times New Roman"/>
          <w:sz w:val="24"/>
          <w:szCs w:val="24"/>
        </w:rPr>
        <w:t xml:space="preserve">– Professor Orientador </w:t>
      </w:r>
    </w:p>
    <w:p w14:paraId="39D6C3D9" w14:textId="0ABC9711" w:rsidR="00F64084" w:rsidRPr="00AC2BD9" w:rsidRDefault="00AC2BD9" w:rsidP="001F7120">
      <w:pPr>
        <w:pStyle w:val="PargrafodaLista"/>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Instituto Brasileiro d</w:t>
      </w:r>
      <w:r w:rsidR="00FE6A69">
        <w:rPr>
          <w:rFonts w:ascii="Times New Roman" w:hAnsi="Times New Roman" w:cs="Times New Roman"/>
          <w:sz w:val="24"/>
          <w:szCs w:val="24"/>
        </w:rPr>
        <w:t>e Ensino, Desenvolvimento e</w:t>
      </w:r>
      <w:r w:rsidRPr="00AC2BD9">
        <w:rPr>
          <w:rFonts w:ascii="Times New Roman" w:hAnsi="Times New Roman" w:cs="Times New Roman"/>
          <w:sz w:val="24"/>
          <w:szCs w:val="24"/>
        </w:rPr>
        <w:t xml:space="preserve"> Pesquisa (IDP</w:t>
      </w:r>
      <w:proofErr w:type="gramStart"/>
      <w:r w:rsidRPr="00AC2BD9">
        <w:rPr>
          <w:rFonts w:ascii="Times New Roman" w:hAnsi="Times New Roman" w:cs="Times New Roman"/>
          <w:sz w:val="24"/>
          <w:szCs w:val="24"/>
        </w:rPr>
        <w:t>)</w:t>
      </w:r>
      <w:proofErr w:type="gramEnd"/>
    </w:p>
    <w:p w14:paraId="473580E6" w14:textId="77777777" w:rsidR="008C7A00" w:rsidRDefault="008C7A00" w:rsidP="001F7120">
      <w:pPr>
        <w:pStyle w:val="PargrafodaLista"/>
        <w:spacing w:after="0" w:line="240" w:lineRule="auto"/>
        <w:ind w:left="0"/>
        <w:jc w:val="center"/>
        <w:rPr>
          <w:rFonts w:ascii="Times New Roman" w:hAnsi="Times New Roman" w:cs="Times New Roman"/>
          <w:sz w:val="24"/>
          <w:szCs w:val="24"/>
        </w:rPr>
      </w:pPr>
    </w:p>
    <w:p w14:paraId="7F692271" w14:textId="77777777" w:rsidR="00B86752" w:rsidRDefault="00B86752" w:rsidP="001F7120">
      <w:pPr>
        <w:pStyle w:val="PargrafodaLista"/>
        <w:spacing w:after="0" w:line="240" w:lineRule="auto"/>
        <w:ind w:left="0"/>
        <w:jc w:val="center"/>
        <w:rPr>
          <w:rFonts w:ascii="Times New Roman" w:hAnsi="Times New Roman" w:cs="Times New Roman"/>
          <w:sz w:val="24"/>
          <w:szCs w:val="24"/>
        </w:rPr>
      </w:pPr>
    </w:p>
    <w:p w14:paraId="25B4795A" w14:textId="77777777" w:rsidR="008C7A00" w:rsidRDefault="008C7A00" w:rsidP="001F7120">
      <w:pPr>
        <w:pStyle w:val="PargrafodaLista"/>
        <w:spacing w:after="0" w:line="240" w:lineRule="auto"/>
        <w:ind w:left="0"/>
        <w:jc w:val="center"/>
        <w:rPr>
          <w:rFonts w:ascii="Times New Roman" w:hAnsi="Times New Roman" w:cs="Times New Roman"/>
          <w:sz w:val="24"/>
          <w:szCs w:val="24"/>
        </w:rPr>
      </w:pPr>
    </w:p>
    <w:p w14:paraId="44FC8771" w14:textId="77777777" w:rsidR="001F7120" w:rsidRPr="00FA56A9" w:rsidRDefault="001F7120" w:rsidP="001F7120">
      <w:pPr>
        <w:pStyle w:val="PargrafodaLista"/>
        <w:spacing w:after="0" w:line="240" w:lineRule="auto"/>
        <w:ind w:left="0"/>
        <w:jc w:val="center"/>
        <w:rPr>
          <w:rFonts w:ascii="Times New Roman" w:hAnsi="Times New Roman" w:cs="Times New Roman"/>
          <w:sz w:val="24"/>
          <w:szCs w:val="24"/>
        </w:rPr>
      </w:pPr>
    </w:p>
    <w:p w14:paraId="62220A6B" w14:textId="04861508" w:rsidR="00FA56A9" w:rsidRDefault="00F64084" w:rsidP="001F7120">
      <w:pPr>
        <w:pStyle w:val="PargrafodaLista"/>
        <w:spacing w:after="0" w:line="240" w:lineRule="auto"/>
        <w:ind w:left="0"/>
        <w:jc w:val="center"/>
        <w:rPr>
          <w:rFonts w:ascii="Times New Roman" w:hAnsi="Times New Roman" w:cs="Times New Roman"/>
          <w:sz w:val="24"/>
          <w:szCs w:val="24"/>
        </w:rPr>
      </w:pPr>
      <w:r w:rsidRPr="00FA56A9">
        <w:rPr>
          <w:rFonts w:ascii="Times New Roman" w:hAnsi="Times New Roman" w:cs="Times New Roman"/>
          <w:sz w:val="24"/>
          <w:szCs w:val="24"/>
        </w:rPr>
        <w:t>Prof</w:t>
      </w:r>
      <w:r w:rsidR="00527B1B">
        <w:rPr>
          <w:rFonts w:ascii="Times New Roman" w:hAnsi="Times New Roman" w:cs="Times New Roman"/>
          <w:sz w:val="24"/>
          <w:szCs w:val="24"/>
        </w:rPr>
        <w:t>. Dr. Márcio de Oliveira Júnior</w:t>
      </w:r>
    </w:p>
    <w:p w14:paraId="4E58A210" w14:textId="77777777" w:rsidR="00FE6A69" w:rsidRPr="00AC2BD9" w:rsidRDefault="00FE6A69" w:rsidP="00FE6A69">
      <w:pPr>
        <w:pStyle w:val="PargrafodaLista"/>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Instituto Brasileiro de Ensino, Desenvolvimento e</w:t>
      </w:r>
      <w:r w:rsidRPr="00AC2BD9">
        <w:rPr>
          <w:rFonts w:ascii="Times New Roman" w:hAnsi="Times New Roman" w:cs="Times New Roman"/>
          <w:sz w:val="24"/>
          <w:szCs w:val="24"/>
        </w:rPr>
        <w:t xml:space="preserve"> Pesquisa (IDP</w:t>
      </w:r>
      <w:proofErr w:type="gramStart"/>
      <w:r w:rsidRPr="00AC2BD9">
        <w:rPr>
          <w:rFonts w:ascii="Times New Roman" w:hAnsi="Times New Roman" w:cs="Times New Roman"/>
          <w:sz w:val="24"/>
          <w:szCs w:val="24"/>
        </w:rPr>
        <w:t>)</w:t>
      </w:r>
      <w:proofErr w:type="gramEnd"/>
    </w:p>
    <w:p w14:paraId="6A9ED8CF" w14:textId="77777777" w:rsidR="008C7A00" w:rsidRDefault="008C7A00" w:rsidP="001F7120">
      <w:pPr>
        <w:pStyle w:val="PargrafodaLista"/>
        <w:spacing w:after="0" w:line="240" w:lineRule="auto"/>
        <w:ind w:left="0"/>
        <w:jc w:val="center"/>
        <w:rPr>
          <w:rFonts w:ascii="Times New Roman" w:hAnsi="Times New Roman" w:cs="Times New Roman"/>
          <w:sz w:val="24"/>
          <w:szCs w:val="24"/>
        </w:rPr>
      </w:pPr>
    </w:p>
    <w:p w14:paraId="6AF0748F" w14:textId="77777777" w:rsidR="008C7A00" w:rsidRDefault="008C7A00" w:rsidP="001F7120">
      <w:pPr>
        <w:pStyle w:val="PargrafodaLista"/>
        <w:spacing w:after="0" w:line="240" w:lineRule="auto"/>
        <w:ind w:left="0"/>
        <w:jc w:val="center"/>
        <w:rPr>
          <w:rFonts w:ascii="Times New Roman" w:hAnsi="Times New Roman" w:cs="Times New Roman"/>
          <w:sz w:val="24"/>
          <w:szCs w:val="24"/>
        </w:rPr>
      </w:pPr>
    </w:p>
    <w:p w14:paraId="7F5B35B1" w14:textId="77777777" w:rsidR="00B86752" w:rsidRDefault="00B86752" w:rsidP="001F7120">
      <w:pPr>
        <w:pStyle w:val="PargrafodaLista"/>
        <w:spacing w:after="0" w:line="240" w:lineRule="auto"/>
        <w:ind w:left="0"/>
        <w:jc w:val="center"/>
        <w:rPr>
          <w:rFonts w:ascii="Times New Roman" w:hAnsi="Times New Roman" w:cs="Times New Roman"/>
          <w:sz w:val="24"/>
          <w:szCs w:val="24"/>
        </w:rPr>
      </w:pPr>
    </w:p>
    <w:p w14:paraId="039F3CEF" w14:textId="77777777" w:rsidR="001F7120" w:rsidRPr="00FA56A9" w:rsidRDefault="001F7120" w:rsidP="001F7120">
      <w:pPr>
        <w:pStyle w:val="PargrafodaLista"/>
        <w:spacing w:after="0" w:line="240" w:lineRule="auto"/>
        <w:ind w:left="0"/>
        <w:jc w:val="center"/>
        <w:rPr>
          <w:rFonts w:ascii="Times New Roman" w:hAnsi="Times New Roman" w:cs="Times New Roman"/>
          <w:sz w:val="24"/>
          <w:szCs w:val="24"/>
        </w:rPr>
      </w:pPr>
    </w:p>
    <w:p w14:paraId="33E2830F" w14:textId="34D44F1F" w:rsidR="001F7120" w:rsidRDefault="00527B1B" w:rsidP="001F7120">
      <w:pPr>
        <w:pStyle w:val="PargrafodaLista"/>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Prof.</w:t>
      </w:r>
      <w:r w:rsidR="0058201C">
        <w:rPr>
          <w:rFonts w:ascii="Times New Roman" w:hAnsi="Times New Roman" w:cs="Times New Roman"/>
          <w:sz w:val="24"/>
          <w:szCs w:val="24"/>
        </w:rPr>
        <w:t xml:space="preserve"> Dr.</w:t>
      </w:r>
      <w:r w:rsidR="00F64084" w:rsidRPr="00FA56A9">
        <w:rPr>
          <w:rFonts w:ascii="Times New Roman" w:hAnsi="Times New Roman" w:cs="Times New Roman"/>
          <w:sz w:val="24"/>
          <w:szCs w:val="24"/>
        </w:rPr>
        <w:t xml:space="preserve"> </w:t>
      </w:r>
      <w:r w:rsidR="001F7120" w:rsidRPr="001F7120">
        <w:rPr>
          <w:rFonts w:ascii="Times New Roman" w:hAnsi="Times New Roman" w:cs="Times New Roman"/>
          <w:sz w:val="24"/>
          <w:szCs w:val="24"/>
        </w:rPr>
        <w:t>Caio Cordeiro de Resende</w:t>
      </w:r>
    </w:p>
    <w:p w14:paraId="394E312E" w14:textId="77777777" w:rsidR="00FE6A69" w:rsidRPr="00AC2BD9" w:rsidRDefault="00FE6A69" w:rsidP="00FE6A69">
      <w:pPr>
        <w:pStyle w:val="PargrafodaLista"/>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Instituto Brasileiro de Ensino, Desenvolvimento e</w:t>
      </w:r>
      <w:r w:rsidRPr="00AC2BD9">
        <w:rPr>
          <w:rFonts w:ascii="Times New Roman" w:hAnsi="Times New Roman" w:cs="Times New Roman"/>
          <w:sz w:val="24"/>
          <w:szCs w:val="24"/>
        </w:rPr>
        <w:t xml:space="preserve"> Pesquisa (IDP</w:t>
      </w:r>
      <w:proofErr w:type="gramStart"/>
      <w:r w:rsidRPr="00AC2BD9">
        <w:rPr>
          <w:rFonts w:ascii="Times New Roman" w:hAnsi="Times New Roman" w:cs="Times New Roman"/>
          <w:sz w:val="24"/>
          <w:szCs w:val="24"/>
        </w:rPr>
        <w:t>)</w:t>
      </w:r>
      <w:proofErr w:type="gramEnd"/>
    </w:p>
    <w:p w14:paraId="7E703E11" w14:textId="21442168" w:rsidR="00F64084" w:rsidRPr="00FA56A9" w:rsidRDefault="00F64084" w:rsidP="005065C9">
      <w:pPr>
        <w:pStyle w:val="PargrafodaLista"/>
        <w:spacing w:line="360" w:lineRule="auto"/>
        <w:ind w:left="0"/>
        <w:jc w:val="center"/>
        <w:rPr>
          <w:rFonts w:ascii="Times New Roman" w:hAnsi="Times New Roman" w:cs="Times New Roman"/>
          <w:b/>
          <w:smallCaps/>
          <w:sz w:val="24"/>
          <w:szCs w:val="24"/>
        </w:rPr>
      </w:pPr>
    </w:p>
    <w:p w14:paraId="2B3A2BAC" w14:textId="77777777" w:rsidR="00F64084" w:rsidRDefault="00F64084" w:rsidP="00A97DF6">
      <w:pPr>
        <w:pStyle w:val="PargrafodaLista"/>
        <w:spacing w:line="360" w:lineRule="auto"/>
        <w:jc w:val="both"/>
        <w:rPr>
          <w:rFonts w:ascii="Times New Roman" w:hAnsi="Times New Roman" w:cs="Times New Roman"/>
          <w:b/>
          <w:smallCaps/>
          <w:sz w:val="24"/>
          <w:szCs w:val="24"/>
        </w:rPr>
      </w:pPr>
    </w:p>
    <w:p w14:paraId="0C053B75" w14:textId="77777777" w:rsidR="00962402" w:rsidRDefault="00962402" w:rsidP="001F7120">
      <w:pPr>
        <w:pStyle w:val="PargrafodaLista"/>
        <w:spacing w:line="360" w:lineRule="auto"/>
        <w:jc w:val="center"/>
        <w:rPr>
          <w:rFonts w:ascii="Times New Roman" w:hAnsi="Times New Roman" w:cs="Times New Roman"/>
          <w:sz w:val="24"/>
          <w:szCs w:val="24"/>
        </w:rPr>
      </w:pPr>
    </w:p>
    <w:p w14:paraId="19BD735E" w14:textId="77777777" w:rsidR="001F7120" w:rsidRPr="00A97DF6" w:rsidRDefault="001F7120" w:rsidP="001F7120">
      <w:pPr>
        <w:pStyle w:val="PargrafodaLista"/>
        <w:spacing w:line="360" w:lineRule="auto"/>
        <w:jc w:val="center"/>
        <w:rPr>
          <w:rFonts w:ascii="Times New Roman" w:hAnsi="Times New Roman" w:cs="Times New Roman"/>
          <w:sz w:val="24"/>
          <w:szCs w:val="24"/>
        </w:rPr>
      </w:pPr>
      <w:r w:rsidRPr="00A97DF6">
        <w:rPr>
          <w:rFonts w:ascii="Times New Roman" w:hAnsi="Times New Roman" w:cs="Times New Roman"/>
          <w:sz w:val="24"/>
          <w:szCs w:val="24"/>
        </w:rPr>
        <w:t>Brasília</w:t>
      </w:r>
      <w:r>
        <w:rPr>
          <w:rFonts w:ascii="Times New Roman" w:hAnsi="Times New Roman" w:cs="Times New Roman"/>
          <w:sz w:val="24"/>
          <w:szCs w:val="24"/>
        </w:rPr>
        <w:t>/</w:t>
      </w:r>
      <w:r w:rsidRPr="00A97DF6">
        <w:rPr>
          <w:rFonts w:ascii="Times New Roman" w:hAnsi="Times New Roman" w:cs="Times New Roman"/>
          <w:sz w:val="24"/>
          <w:szCs w:val="24"/>
        </w:rPr>
        <w:t>DF</w:t>
      </w:r>
    </w:p>
    <w:p w14:paraId="13FF93ED" w14:textId="77777777" w:rsidR="001F7120" w:rsidRPr="00A97DF6" w:rsidRDefault="001F7120" w:rsidP="001F7120">
      <w:pPr>
        <w:pStyle w:val="PargrafodaLista"/>
        <w:spacing w:line="360" w:lineRule="auto"/>
        <w:jc w:val="center"/>
        <w:rPr>
          <w:rFonts w:ascii="Times New Roman" w:hAnsi="Times New Roman" w:cs="Times New Roman"/>
          <w:b/>
          <w:smallCaps/>
          <w:sz w:val="24"/>
          <w:szCs w:val="24"/>
        </w:rPr>
      </w:pPr>
      <w:r w:rsidRPr="00A97DF6">
        <w:rPr>
          <w:rFonts w:ascii="Times New Roman" w:hAnsi="Times New Roman" w:cs="Times New Roman"/>
          <w:sz w:val="24"/>
          <w:szCs w:val="24"/>
        </w:rPr>
        <w:t>2020</w:t>
      </w:r>
    </w:p>
    <w:p w14:paraId="1D432E81" w14:textId="648C60F1" w:rsidR="00F64084" w:rsidRDefault="00472C85" w:rsidP="00B50FE9">
      <w:pPr>
        <w:pStyle w:val="PargrafodaLista"/>
        <w:spacing w:line="360" w:lineRule="auto"/>
        <w:ind w:left="0"/>
        <w:jc w:val="both"/>
        <w:rPr>
          <w:rFonts w:ascii="Times New Roman" w:hAnsi="Times New Roman" w:cs="Times New Roman"/>
          <w:b/>
          <w:smallCaps/>
          <w:sz w:val="24"/>
          <w:szCs w:val="24"/>
        </w:rPr>
      </w:pPr>
      <w:r>
        <w:rPr>
          <w:rFonts w:ascii="Times New Roman" w:hAnsi="Times New Roman" w:cs="Times New Roman"/>
          <w:b/>
          <w:smallCaps/>
          <w:sz w:val="24"/>
          <w:szCs w:val="24"/>
        </w:rPr>
        <w:lastRenderedPageBreak/>
        <w:t>AGRADECIMENTOS</w:t>
      </w:r>
    </w:p>
    <w:p w14:paraId="66DD325A" w14:textId="77777777" w:rsidR="00472C85" w:rsidRDefault="00472C85" w:rsidP="00A97DF6">
      <w:pPr>
        <w:pStyle w:val="PargrafodaLista"/>
        <w:spacing w:line="360" w:lineRule="auto"/>
        <w:jc w:val="both"/>
        <w:rPr>
          <w:rFonts w:ascii="Times New Roman" w:hAnsi="Times New Roman" w:cs="Times New Roman"/>
          <w:b/>
          <w:smallCaps/>
          <w:sz w:val="24"/>
          <w:szCs w:val="24"/>
        </w:rPr>
      </w:pPr>
    </w:p>
    <w:p w14:paraId="72B7310E" w14:textId="4A317344" w:rsidR="005F2FA9" w:rsidRDefault="00892CB1" w:rsidP="00D20C2A">
      <w:pPr>
        <w:pStyle w:val="PargrafodaLista"/>
        <w:spacing w:line="360" w:lineRule="auto"/>
        <w:ind w:left="0"/>
        <w:jc w:val="both"/>
        <w:rPr>
          <w:rFonts w:ascii="Times New Roman" w:hAnsi="Times New Roman" w:cs="Times New Roman"/>
          <w:sz w:val="24"/>
          <w:szCs w:val="24"/>
        </w:rPr>
      </w:pPr>
      <w:r w:rsidRPr="00892CB1">
        <w:rPr>
          <w:rFonts w:ascii="Times New Roman" w:hAnsi="Times New Roman" w:cs="Times New Roman"/>
          <w:sz w:val="24"/>
          <w:szCs w:val="24"/>
        </w:rPr>
        <w:t xml:space="preserve">Primeiramente, gostaria de </w:t>
      </w:r>
      <w:r>
        <w:rPr>
          <w:rFonts w:ascii="Times New Roman" w:hAnsi="Times New Roman" w:cs="Times New Roman"/>
          <w:sz w:val="24"/>
          <w:szCs w:val="24"/>
        </w:rPr>
        <w:t>dedicar esta dissertação à memória de minha mãe, que</w:t>
      </w:r>
      <w:r w:rsidR="00B3079E">
        <w:rPr>
          <w:rFonts w:ascii="Times New Roman" w:hAnsi="Times New Roman" w:cs="Times New Roman"/>
          <w:sz w:val="24"/>
          <w:szCs w:val="24"/>
        </w:rPr>
        <w:t xml:space="preserve"> criou os cinco filhos e sempre teve orgulho de nós em cada conquista durante esses anos. Infelizmente, ela não pôde ver mais essa fase da minha vida, mas tenho certeza que ficaria orgulhosa também. Ela será sempre um ex</w:t>
      </w:r>
      <w:r w:rsidR="00BD2D8A">
        <w:rPr>
          <w:rFonts w:ascii="Times New Roman" w:hAnsi="Times New Roman" w:cs="Times New Roman"/>
          <w:sz w:val="24"/>
          <w:szCs w:val="24"/>
        </w:rPr>
        <w:t>emplo de coragem e força.</w:t>
      </w:r>
    </w:p>
    <w:p w14:paraId="25AC9F32" w14:textId="5EBC48D4" w:rsidR="00B3079E" w:rsidRDefault="00B3079E" w:rsidP="00D20C2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Gostaria de agradecer especialmente minha esposa </w:t>
      </w:r>
      <w:proofErr w:type="spellStart"/>
      <w:r>
        <w:rPr>
          <w:rFonts w:ascii="Times New Roman" w:hAnsi="Times New Roman" w:cs="Times New Roman"/>
          <w:sz w:val="24"/>
          <w:szCs w:val="24"/>
        </w:rPr>
        <w:t>Liliam</w:t>
      </w:r>
      <w:proofErr w:type="spellEnd"/>
      <w:r>
        <w:rPr>
          <w:rFonts w:ascii="Times New Roman" w:hAnsi="Times New Roman" w:cs="Times New Roman"/>
          <w:sz w:val="24"/>
          <w:szCs w:val="24"/>
        </w:rPr>
        <w:t xml:space="preserve"> Fernandes, por todo o esforço empenhado para que este pro</w:t>
      </w:r>
      <w:r w:rsidR="004D32E4">
        <w:rPr>
          <w:rFonts w:ascii="Times New Roman" w:hAnsi="Times New Roman" w:cs="Times New Roman"/>
          <w:sz w:val="24"/>
          <w:szCs w:val="24"/>
        </w:rPr>
        <w:t>jeto</w:t>
      </w:r>
      <w:r>
        <w:rPr>
          <w:rFonts w:ascii="Times New Roman" w:hAnsi="Times New Roman" w:cs="Times New Roman"/>
          <w:sz w:val="24"/>
          <w:szCs w:val="24"/>
        </w:rPr>
        <w:t xml:space="preserve"> pudesse ser concluído.</w:t>
      </w:r>
      <w:r w:rsidR="00BD2D8A">
        <w:rPr>
          <w:rFonts w:ascii="Times New Roman" w:hAnsi="Times New Roman" w:cs="Times New Roman"/>
          <w:sz w:val="24"/>
          <w:szCs w:val="24"/>
        </w:rPr>
        <w:t xml:space="preserve"> O tempo todo ao meu lado incondicionalmente. Sem o suporte dela, nada disso teria acontecido. </w:t>
      </w:r>
      <w:r>
        <w:rPr>
          <w:rFonts w:ascii="Times New Roman" w:hAnsi="Times New Roman" w:cs="Times New Roman"/>
          <w:sz w:val="24"/>
          <w:szCs w:val="24"/>
        </w:rPr>
        <w:t>Agra</w:t>
      </w:r>
      <w:r w:rsidR="00BD2D8A">
        <w:rPr>
          <w:rFonts w:ascii="Times New Roman" w:hAnsi="Times New Roman" w:cs="Times New Roman"/>
          <w:sz w:val="24"/>
          <w:szCs w:val="24"/>
        </w:rPr>
        <w:t>deço pelo apoio emocional, pela</w:t>
      </w:r>
      <w:r>
        <w:rPr>
          <w:rFonts w:ascii="Times New Roman" w:hAnsi="Times New Roman" w:cs="Times New Roman"/>
          <w:sz w:val="24"/>
          <w:szCs w:val="24"/>
        </w:rPr>
        <w:t xml:space="preserve"> paciência </w:t>
      </w:r>
      <w:r w:rsidR="005F2FA9">
        <w:rPr>
          <w:rFonts w:ascii="Times New Roman" w:hAnsi="Times New Roman" w:cs="Times New Roman"/>
          <w:sz w:val="24"/>
          <w:szCs w:val="24"/>
        </w:rPr>
        <w:t>nas</w:t>
      </w:r>
      <w:r>
        <w:rPr>
          <w:rFonts w:ascii="Times New Roman" w:hAnsi="Times New Roman" w:cs="Times New Roman"/>
          <w:sz w:val="24"/>
          <w:szCs w:val="24"/>
        </w:rPr>
        <w:t xml:space="preserve"> noite</w:t>
      </w:r>
      <w:r w:rsidR="005F2FA9">
        <w:rPr>
          <w:rFonts w:ascii="Times New Roman" w:hAnsi="Times New Roman" w:cs="Times New Roman"/>
          <w:sz w:val="24"/>
          <w:szCs w:val="24"/>
        </w:rPr>
        <w:t>s</w:t>
      </w:r>
      <w:r>
        <w:rPr>
          <w:rFonts w:ascii="Times New Roman" w:hAnsi="Times New Roman" w:cs="Times New Roman"/>
          <w:sz w:val="24"/>
          <w:szCs w:val="24"/>
        </w:rPr>
        <w:t xml:space="preserve"> e finais de semanas de estudo, </w:t>
      </w:r>
      <w:r w:rsidR="00BD2D8A">
        <w:rPr>
          <w:rFonts w:ascii="Times New Roman" w:hAnsi="Times New Roman" w:cs="Times New Roman"/>
          <w:sz w:val="24"/>
          <w:szCs w:val="24"/>
        </w:rPr>
        <w:t>pela d</w:t>
      </w:r>
      <w:r w:rsidR="00D268B5">
        <w:rPr>
          <w:rFonts w:ascii="Times New Roman" w:hAnsi="Times New Roman" w:cs="Times New Roman"/>
          <w:sz w:val="24"/>
          <w:szCs w:val="24"/>
        </w:rPr>
        <w:t>esigual divisão das tarefas domé</w:t>
      </w:r>
      <w:r w:rsidR="00BD2D8A">
        <w:rPr>
          <w:rFonts w:ascii="Times New Roman" w:hAnsi="Times New Roman" w:cs="Times New Roman"/>
          <w:sz w:val="24"/>
          <w:szCs w:val="24"/>
        </w:rPr>
        <w:t>stic</w:t>
      </w:r>
      <w:r w:rsidR="005F2FA9">
        <w:rPr>
          <w:rFonts w:ascii="Times New Roman" w:hAnsi="Times New Roman" w:cs="Times New Roman"/>
          <w:sz w:val="24"/>
          <w:szCs w:val="24"/>
        </w:rPr>
        <w:t>as para que eu pudesse estudar. Todos os desafios que enfrentamos neste ano nos revelaram que somos fortes e que nosso A</w:t>
      </w:r>
      <w:r w:rsidR="00595D80">
        <w:rPr>
          <w:rFonts w:ascii="Times New Roman" w:hAnsi="Times New Roman" w:cs="Times New Roman"/>
          <w:sz w:val="24"/>
          <w:szCs w:val="24"/>
        </w:rPr>
        <w:t>mor é forte.</w:t>
      </w:r>
      <w:r w:rsidR="005F2FA9">
        <w:rPr>
          <w:rFonts w:ascii="Times New Roman" w:hAnsi="Times New Roman" w:cs="Times New Roman"/>
          <w:sz w:val="24"/>
          <w:szCs w:val="24"/>
        </w:rPr>
        <w:t xml:space="preserve"> Estarei ao seu lado sempre. Obrigado por tudo!</w:t>
      </w:r>
    </w:p>
    <w:p w14:paraId="14DD1CBD" w14:textId="4C0094FD" w:rsidR="004D32E4" w:rsidRDefault="004D32E4" w:rsidP="00D20C2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Não poderia deixar de agradecer também m</w:t>
      </w:r>
      <w:r w:rsidR="00BF7229">
        <w:rPr>
          <w:rFonts w:ascii="Times New Roman" w:hAnsi="Times New Roman" w:cs="Times New Roman"/>
          <w:sz w:val="24"/>
          <w:szCs w:val="24"/>
        </w:rPr>
        <w:t xml:space="preserve">eus amigos Vinícius, </w:t>
      </w:r>
      <w:proofErr w:type="spellStart"/>
      <w:r w:rsidR="00BF7229">
        <w:rPr>
          <w:rFonts w:ascii="Times New Roman" w:hAnsi="Times New Roman" w:cs="Times New Roman"/>
          <w:sz w:val="24"/>
          <w:szCs w:val="24"/>
        </w:rPr>
        <w:t>Iury</w:t>
      </w:r>
      <w:proofErr w:type="spellEnd"/>
      <w:r w:rsidR="00BF7229">
        <w:rPr>
          <w:rFonts w:ascii="Times New Roman" w:hAnsi="Times New Roman" w:cs="Times New Roman"/>
          <w:sz w:val="24"/>
          <w:szCs w:val="24"/>
        </w:rPr>
        <w:t>, Danilo, Pedro</w:t>
      </w:r>
      <w:r w:rsidR="006C620B">
        <w:rPr>
          <w:rFonts w:ascii="Times New Roman" w:hAnsi="Times New Roman" w:cs="Times New Roman"/>
          <w:sz w:val="24"/>
          <w:szCs w:val="24"/>
        </w:rPr>
        <w:t xml:space="preserve"> </w:t>
      </w:r>
      <w:proofErr w:type="spellStart"/>
      <w:r w:rsidR="006C620B">
        <w:rPr>
          <w:rFonts w:ascii="Times New Roman" w:hAnsi="Times New Roman" w:cs="Times New Roman"/>
          <w:sz w:val="24"/>
          <w:szCs w:val="24"/>
        </w:rPr>
        <w:t>Erisson</w:t>
      </w:r>
      <w:proofErr w:type="spellEnd"/>
      <w:r w:rsidR="00BF7229">
        <w:rPr>
          <w:rFonts w:ascii="Times New Roman" w:hAnsi="Times New Roman" w:cs="Times New Roman"/>
          <w:sz w:val="24"/>
          <w:szCs w:val="24"/>
        </w:rPr>
        <w:t xml:space="preserve"> e João. Estes sempre foram amigos em que se pod</w:t>
      </w:r>
      <w:r w:rsidR="00451598">
        <w:rPr>
          <w:rFonts w:ascii="Times New Roman" w:hAnsi="Times New Roman" w:cs="Times New Roman"/>
          <w:sz w:val="24"/>
          <w:szCs w:val="24"/>
        </w:rPr>
        <w:t xml:space="preserve">e </w:t>
      </w:r>
      <w:r w:rsidR="00BF7229">
        <w:rPr>
          <w:rFonts w:ascii="Times New Roman" w:hAnsi="Times New Roman" w:cs="Times New Roman"/>
          <w:sz w:val="24"/>
          <w:szCs w:val="24"/>
        </w:rPr>
        <w:t xml:space="preserve">ter um bom debate e uma boa conversa de bar. Além disso, estes sempre foram amigos para ajudar nos momento de dificuldades. Acredito </w:t>
      </w:r>
      <w:r w:rsidR="00AC0118">
        <w:rPr>
          <w:rFonts w:ascii="Times New Roman" w:hAnsi="Times New Roman" w:cs="Times New Roman"/>
          <w:sz w:val="24"/>
          <w:szCs w:val="24"/>
        </w:rPr>
        <w:t>que o economista que sou hoje se deve em muito às</w:t>
      </w:r>
      <w:r w:rsidR="00BF7229">
        <w:rPr>
          <w:rFonts w:ascii="Times New Roman" w:hAnsi="Times New Roman" w:cs="Times New Roman"/>
          <w:sz w:val="24"/>
          <w:szCs w:val="24"/>
        </w:rPr>
        <w:t xml:space="preserve"> conversas que tivemos ao longo desses anos</w:t>
      </w:r>
      <w:r w:rsidR="006C620B">
        <w:rPr>
          <w:rFonts w:ascii="Times New Roman" w:hAnsi="Times New Roman" w:cs="Times New Roman"/>
          <w:sz w:val="24"/>
          <w:szCs w:val="24"/>
        </w:rPr>
        <w:t>.</w:t>
      </w:r>
    </w:p>
    <w:p w14:paraId="3F925E6C" w14:textId="7FF3109F" w:rsidR="00BC3730" w:rsidRDefault="00BC3730" w:rsidP="00D20C2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Tenho também uma enorme gratidão com o Conselho Administrativo de Defesa Econômica, órgão do qual sou servidor atualmente, e que me forneceu os meios e os incentivos para este projeto.</w:t>
      </w:r>
    </w:p>
    <w:p w14:paraId="7264AF3F" w14:textId="76F24141" w:rsidR="006C620B" w:rsidRDefault="006C620B" w:rsidP="00D20C2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Agradeço toda estrutura e o suporte que o IDP forneceu ao longo desse mestrado, especialmente ao Matias que sempre esteve disposto a ajudar independente do problema. </w:t>
      </w:r>
    </w:p>
    <w:p w14:paraId="09C75F3F" w14:textId="099E4A75" w:rsidR="006C620B" w:rsidRDefault="006C620B" w:rsidP="00D20C2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Cabe destacar também o agradecimento ao meu orientador Leonardo Monastério. Elaborar uma dissertação exige muito do aluno, sem dúvida, </w:t>
      </w:r>
      <w:r w:rsidR="00BC3730">
        <w:rPr>
          <w:rFonts w:ascii="Times New Roman" w:hAnsi="Times New Roman" w:cs="Times New Roman"/>
          <w:sz w:val="24"/>
          <w:szCs w:val="24"/>
        </w:rPr>
        <w:t>e</w:t>
      </w:r>
      <w:r>
        <w:rPr>
          <w:rFonts w:ascii="Times New Roman" w:hAnsi="Times New Roman" w:cs="Times New Roman"/>
          <w:sz w:val="24"/>
          <w:szCs w:val="24"/>
        </w:rPr>
        <w:t xml:space="preserve"> um orientador </w:t>
      </w:r>
      <w:r w:rsidR="00E97A3E">
        <w:rPr>
          <w:rFonts w:ascii="Times New Roman" w:hAnsi="Times New Roman" w:cs="Times New Roman"/>
          <w:sz w:val="24"/>
          <w:szCs w:val="24"/>
        </w:rPr>
        <w:t>como o M</w:t>
      </w:r>
      <w:r w:rsidR="00BC3730">
        <w:rPr>
          <w:rFonts w:ascii="Times New Roman" w:hAnsi="Times New Roman" w:cs="Times New Roman"/>
          <w:sz w:val="24"/>
          <w:szCs w:val="24"/>
        </w:rPr>
        <w:t>onastério torna esse processo melhor. Obrigado por suas sugestões e correções. Muito deste trabalho foi lapidado com a ajuda de seu conhecimento e experiência.</w:t>
      </w:r>
    </w:p>
    <w:p w14:paraId="279051DC" w14:textId="7842DAC8" w:rsidR="00BC3730" w:rsidRDefault="00BC3730" w:rsidP="00D20C2A">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Por fim, gostaria de agradecer a todos aqueles que contribuíram</w:t>
      </w:r>
      <w:r w:rsidR="00D268B5">
        <w:rPr>
          <w:rFonts w:ascii="Times New Roman" w:hAnsi="Times New Roman" w:cs="Times New Roman"/>
          <w:sz w:val="24"/>
          <w:szCs w:val="24"/>
        </w:rPr>
        <w:t xml:space="preserve"> direta ou inderatamente</w:t>
      </w:r>
      <w:r>
        <w:rPr>
          <w:rFonts w:ascii="Times New Roman" w:hAnsi="Times New Roman" w:cs="Times New Roman"/>
          <w:sz w:val="24"/>
          <w:szCs w:val="24"/>
        </w:rPr>
        <w:t xml:space="preserve"> com este projeto.</w:t>
      </w:r>
    </w:p>
    <w:p w14:paraId="050C8CA2" w14:textId="77777777" w:rsidR="00BD2D8A" w:rsidRDefault="00BD2D8A" w:rsidP="00D20C2A">
      <w:pPr>
        <w:pStyle w:val="PargrafodaLista"/>
        <w:spacing w:line="360" w:lineRule="auto"/>
        <w:ind w:left="0"/>
        <w:jc w:val="both"/>
        <w:rPr>
          <w:rFonts w:ascii="Times New Roman" w:hAnsi="Times New Roman" w:cs="Times New Roman"/>
          <w:b/>
          <w:sz w:val="24"/>
          <w:szCs w:val="24"/>
        </w:rPr>
      </w:pPr>
    </w:p>
    <w:p w14:paraId="722E46E2" w14:textId="77777777" w:rsidR="00472C85" w:rsidRDefault="00472C85" w:rsidP="00D20C2A">
      <w:pPr>
        <w:pStyle w:val="PargrafodaLista"/>
        <w:spacing w:line="360" w:lineRule="auto"/>
        <w:ind w:left="0"/>
        <w:jc w:val="both"/>
        <w:rPr>
          <w:rFonts w:ascii="Times New Roman" w:hAnsi="Times New Roman" w:cs="Times New Roman"/>
          <w:b/>
          <w:sz w:val="24"/>
          <w:szCs w:val="24"/>
        </w:rPr>
      </w:pPr>
    </w:p>
    <w:p w14:paraId="74624CFA" w14:textId="77777777" w:rsidR="00472C85" w:rsidRDefault="00472C85" w:rsidP="00D20C2A">
      <w:pPr>
        <w:pStyle w:val="PargrafodaLista"/>
        <w:spacing w:line="360" w:lineRule="auto"/>
        <w:ind w:left="0"/>
        <w:jc w:val="both"/>
        <w:rPr>
          <w:rFonts w:ascii="Times New Roman" w:hAnsi="Times New Roman" w:cs="Times New Roman"/>
          <w:b/>
          <w:sz w:val="24"/>
          <w:szCs w:val="24"/>
        </w:rPr>
      </w:pPr>
    </w:p>
    <w:p w14:paraId="7A2FFCD7" w14:textId="77777777" w:rsidR="00472C85" w:rsidRDefault="00472C85" w:rsidP="00D20C2A">
      <w:pPr>
        <w:pStyle w:val="PargrafodaLista"/>
        <w:spacing w:line="360" w:lineRule="auto"/>
        <w:ind w:left="0"/>
        <w:jc w:val="both"/>
        <w:rPr>
          <w:rFonts w:ascii="Times New Roman" w:hAnsi="Times New Roman" w:cs="Times New Roman"/>
          <w:b/>
          <w:sz w:val="24"/>
          <w:szCs w:val="24"/>
        </w:rPr>
      </w:pPr>
    </w:p>
    <w:p w14:paraId="1E03C536" w14:textId="77777777" w:rsidR="00472C85" w:rsidRDefault="00472C85" w:rsidP="00D20C2A">
      <w:pPr>
        <w:pStyle w:val="PargrafodaLista"/>
        <w:spacing w:line="360" w:lineRule="auto"/>
        <w:ind w:left="0"/>
        <w:jc w:val="both"/>
        <w:rPr>
          <w:rFonts w:ascii="Times New Roman" w:hAnsi="Times New Roman" w:cs="Times New Roman"/>
          <w:b/>
          <w:sz w:val="24"/>
          <w:szCs w:val="24"/>
        </w:rPr>
      </w:pPr>
    </w:p>
    <w:p w14:paraId="54160ABC" w14:textId="77777777" w:rsidR="00D20C2A" w:rsidRDefault="00D20C2A" w:rsidP="00146978">
      <w:pPr>
        <w:pStyle w:val="PargrafodaLista"/>
        <w:spacing w:line="360" w:lineRule="auto"/>
        <w:ind w:left="0"/>
        <w:jc w:val="both"/>
        <w:rPr>
          <w:rFonts w:ascii="Times New Roman" w:hAnsi="Times New Roman" w:cs="Times New Roman"/>
          <w:b/>
          <w:sz w:val="24"/>
          <w:szCs w:val="24"/>
        </w:rPr>
      </w:pPr>
      <w:r w:rsidRPr="00D20C2A">
        <w:rPr>
          <w:rFonts w:ascii="Times New Roman" w:hAnsi="Times New Roman" w:cs="Times New Roman"/>
          <w:b/>
          <w:sz w:val="24"/>
          <w:szCs w:val="24"/>
        </w:rPr>
        <w:t>RESUMO</w:t>
      </w:r>
    </w:p>
    <w:p w14:paraId="6B9C630B" w14:textId="77777777" w:rsidR="00146978" w:rsidRPr="00D20C2A" w:rsidRDefault="00146978" w:rsidP="00146978">
      <w:pPr>
        <w:pStyle w:val="PargrafodaLista"/>
        <w:spacing w:line="360" w:lineRule="auto"/>
        <w:ind w:left="0"/>
        <w:jc w:val="both"/>
        <w:rPr>
          <w:rFonts w:ascii="Times New Roman" w:hAnsi="Times New Roman" w:cs="Times New Roman"/>
          <w:b/>
          <w:sz w:val="24"/>
          <w:szCs w:val="24"/>
        </w:rPr>
      </w:pPr>
    </w:p>
    <w:p w14:paraId="6E7380DF" w14:textId="276A6661" w:rsidR="00D20C2A" w:rsidRDefault="00001D22" w:rsidP="00146978">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 Conselho Administrativo de Defesa Econômica – </w:t>
      </w:r>
      <w:proofErr w:type="spellStart"/>
      <w:r>
        <w:rPr>
          <w:rFonts w:ascii="Times New Roman" w:hAnsi="Times New Roman" w:cs="Times New Roman"/>
          <w:sz w:val="24"/>
          <w:szCs w:val="24"/>
        </w:rPr>
        <w:t>Cade</w:t>
      </w:r>
      <w:proofErr w:type="spellEnd"/>
      <w:r>
        <w:rPr>
          <w:rFonts w:ascii="Times New Roman" w:hAnsi="Times New Roman" w:cs="Times New Roman"/>
          <w:sz w:val="24"/>
          <w:szCs w:val="24"/>
        </w:rPr>
        <w:t xml:space="preserve">, até o ano de 2011, analisava as fusões e aquisições de forma a posteriori. Após a ocorrência dos atos de concentração, </w:t>
      </w:r>
      <w:r w:rsidR="00F04B42">
        <w:rPr>
          <w:rFonts w:ascii="Times New Roman" w:hAnsi="Times New Roman" w:cs="Times New Roman"/>
          <w:sz w:val="24"/>
          <w:szCs w:val="24"/>
        </w:rPr>
        <w:t xml:space="preserve">o </w:t>
      </w:r>
      <w:proofErr w:type="spellStart"/>
      <w:r w:rsidR="00F04B42">
        <w:rPr>
          <w:rFonts w:ascii="Times New Roman" w:hAnsi="Times New Roman" w:cs="Times New Roman"/>
          <w:sz w:val="24"/>
          <w:szCs w:val="24"/>
        </w:rPr>
        <w:t>Cade</w:t>
      </w:r>
      <w:proofErr w:type="spellEnd"/>
      <w:r w:rsidR="00F04B42">
        <w:rPr>
          <w:rFonts w:ascii="Times New Roman" w:hAnsi="Times New Roman" w:cs="Times New Roman"/>
          <w:sz w:val="24"/>
          <w:szCs w:val="24"/>
        </w:rPr>
        <w:t xml:space="preserve"> </w:t>
      </w:r>
      <w:r>
        <w:rPr>
          <w:rFonts w:ascii="Times New Roman" w:hAnsi="Times New Roman" w:cs="Times New Roman"/>
          <w:sz w:val="24"/>
          <w:szCs w:val="24"/>
        </w:rPr>
        <w:t>se pronunciava sobre</w:t>
      </w:r>
      <w:r w:rsidR="00F04B42">
        <w:rPr>
          <w:rFonts w:ascii="Times New Roman" w:hAnsi="Times New Roman" w:cs="Times New Roman"/>
          <w:sz w:val="24"/>
          <w:szCs w:val="24"/>
        </w:rPr>
        <w:t xml:space="preserve"> a</w:t>
      </w:r>
      <w:r>
        <w:rPr>
          <w:rFonts w:ascii="Times New Roman" w:hAnsi="Times New Roman" w:cs="Times New Roman"/>
          <w:sz w:val="24"/>
          <w:szCs w:val="24"/>
        </w:rPr>
        <w:t xml:space="preserve"> aprovação ou não</w:t>
      </w:r>
      <w:r w:rsidR="00F04B42">
        <w:rPr>
          <w:rFonts w:ascii="Times New Roman" w:hAnsi="Times New Roman" w:cs="Times New Roman"/>
          <w:sz w:val="24"/>
          <w:szCs w:val="24"/>
        </w:rPr>
        <w:t xml:space="preserve"> das mesmas</w:t>
      </w:r>
      <w:r>
        <w:rPr>
          <w:rFonts w:ascii="Times New Roman" w:hAnsi="Times New Roman" w:cs="Times New Roman"/>
          <w:sz w:val="24"/>
          <w:szCs w:val="24"/>
        </w:rPr>
        <w:t>. Isso gerava insegurança jurídica nas empresas quanto ao interesse de realizarem operações de fusões e aquisições</w:t>
      </w:r>
      <w:r w:rsidR="00F04B42">
        <w:rPr>
          <w:rFonts w:ascii="Times New Roman" w:hAnsi="Times New Roman" w:cs="Times New Roman"/>
          <w:sz w:val="24"/>
          <w:szCs w:val="24"/>
        </w:rPr>
        <w:t xml:space="preserve"> no Brasil. No mesmo ano de 2011, houve uma mudança regulatória e, a partir de então, tais atos passaram a ser examinados pelo órgão de forma </w:t>
      </w:r>
      <w:proofErr w:type="spellStart"/>
      <w:r w:rsidR="00F04B42">
        <w:rPr>
          <w:rFonts w:ascii="Times New Roman" w:hAnsi="Times New Roman" w:cs="Times New Roman"/>
          <w:sz w:val="24"/>
          <w:szCs w:val="24"/>
        </w:rPr>
        <w:t>ex-ante</w:t>
      </w:r>
      <w:proofErr w:type="spellEnd"/>
      <w:r w:rsidR="00F04B42">
        <w:rPr>
          <w:rFonts w:ascii="Times New Roman" w:hAnsi="Times New Roman" w:cs="Times New Roman"/>
          <w:sz w:val="24"/>
          <w:szCs w:val="24"/>
        </w:rPr>
        <w:t xml:space="preserve">, antes de serem efetuados. </w:t>
      </w:r>
      <w:r w:rsidR="00D20C2A" w:rsidRPr="00D20C2A">
        <w:rPr>
          <w:rFonts w:ascii="Times New Roman" w:hAnsi="Times New Roman" w:cs="Times New Roman"/>
          <w:sz w:val="24"/>
          <w:szCs w:val="24"/>
        </w:rPr>
        <w:t xml:space="preserve">Qual o efeito dessa mudança regulatória no número de fusões e aquisições internacionais? </w:t>
      </w:r>
      <w:r w:rsidR="00F04B42">
        <w:rPr>
          <w:rFonts w:ascii="Times New Roman" w:hAnsi="Times New Roman" w:cs="Times New Roman"/>
          <w:sz w:val="24"/>
          <w:szCs w:val="24"/>
        </w:rPr>
        <w:t>O</w:t>
      </w:r>
      <w:r w:rsidR="00D20C2A" w:rsidRPr="00D20C2A">
        <w:rPr>
          <w:rFonts w:ascii="Times New Roman" w:hAnsi="Times New Roman" w:cs="Times New Roman"/>
          <w:sz w:val="24"/>
          <w:szCs w:val="24"/>
        </w:rPr>
        <w:t xml:space="preserve"> artigo busca responder a essa questão utilizando a técnica de C</w:t>
      </w:r>
      <w:r w:rsidR="0031285B">
        <w:rPr>
          <w:rFonts w:ascii="Times New Roman" w:hAnsi="Times New Roman" w:cs="Times New Roman"/>
          <w:sz w:val="24"/>
          <w:szCs w:val="24"/>
        </w:rPr>
        <w:t>ontrole Sintético (ABADIE, 2010)</w:t>
      </w:r>
      <w:r w:rsidR="00D20C2A" w:rsidRPr="00D20C2A">
        <w:rPr>
          <w:rFonts w:ascii="Times New Roman" w:hAnsi="Times New Roman" w:cs="Times New Roman"/>
          <w:sz w:val="24"/>
          <w:szCs w:val="24"/>
        </w:rPr>
        <w:t>. A partir da</w:t>
      </w:r>
      <w:r w:rsidR="00D20C2A">
        <w:rPr>
          <w:rFonts w:ascii="Times New Roman" w:hAnsi="Times New Roman" w:cs="Times New Roman"/>
          <w:sz w:val="24"/>
          <w:szCs w:val="24"/>
        </w:rPr>
        <w:t>s</w:t>
      </w:r>
      <w:r w:rsidR="00D20C2A" w:rsidRPr="00D20C2A">
        <w:rPr>
          <w:rFonts w:ascii="Times New Roman" w:hAnsi="Times New Roman" w:cs="Times New Roman"/>
          <w:sz w:val="24"/>
          <w:szCs w:val="24"/>
        </w:rPr>
        <w:t xml:space="preserve"> trajetórias anteriores de um grupo de países selecionados, cria-se um Brasil sintético, sem a mudança regulatória em questão. Os resultados sugerem que essa mudança foi responsável por mais de 740 novas fusões e aquisições internacionais em sete anos. Testes de robustez e regressões diferenças-em-diferenças corroboram a evidência causal anterior. </w:t>
      </w:r>
    </w:p>
    <w:p w14:paraId="16216CA5" w14:textId="77777777" w:rsidR="00D20C2A" w:rsidRDefault="00D20C2A" w:rsidP="00146978">
      <w:pPr>
        <w:pStyle w:val="PargrafodaLista"/>
        <w:spacing w:line="360" w:lineRule="auto"/>
        <w:ind w:left="0"/>
        <w:jc w:val="both"/>
        <w:rPr>
          <w:rFonts w:ascii="Times New Roman" w:hAnsi="Times New Roman" w:cs="Times New Roman"/>
          <w:sz w:val="24"/>
          <w:szCs w:val="24"/>
        </w:rPr>
      </w:pPr>
    </w:p>
    <w:p w14:paraId="5C84F46B" w14:textId="77777777" w:rsidR="00D20C2A" w:rsidRPr="00D20C2A" w:rsidRDefault="00D20C2A" w:rsidP="00146978">
      <w:pPr>
        <w:pStyle w:val="PargrafodaLista"/>
        <w:spacing w:line="360" w:lineRule="auto"/>
        <w:ind w:left="0"/>
        <w:rPr>
          <w:rFonts w:ascii="Times New Roman" w:hAnsi="Times New Roman" w:cs="Times New Roman"/>
          <w:b/>
          <w:sz w:val="24"/>
          <w:szCs w:val="24"/>
        </w:rPr>
      </w:pPr>
      <w:r w:rsidRPr="00D20C2A">
        <w:rPr>
          <w:rFonts w:ascii="Times New Roman" w:hAnsi="Times New Roman" w:cs="Times New Roman"/>
          <w:b/>
          <w:sz w:val="24"/>
          <w:szCs w:val="24"/>
        </w:rPr>
        <w:t>Palavras-chave:</w:t>
      </w:r>
    </w:p>
    <w:p w14:paraId="73A182BC" w14:textId="77777777" w:rsidR="00D20C2A" w:rsidRDefault="00D20C2A" w:rsidP="00146978">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Controle Sintético – Atos de Concentração – Fusões e Aquisições</w:t>
      </w:r>
    </w:p>
    <w:p w14:paraId="0CA6D7EF" w14:textId="6023E7EA" w:rsidR="00A97DF6" w:rsidRPr="00D20C2A" w:rsidRDefault="00D20C2A" w:rsidP="00146978">
      <w:pPr>
        <w:pStyle w:val="PargrafodaLista"/>
        <w:spacing w:line="360" w:lineRule="auto"/>
        <w:ind w:left="0"/>
        <w:jc w:val="both"/>
        <w:rPr>
          <w:rFonts w:ascii="Times New Roman" w:hAnsi="Times New Roman" w:cs="Times New Roman"/>
          <w:sz w:val="24"/>
          <w:szCs w:val="24"/>
        </w:rPr>
      </w:pPr>
      <w:r w:rsidRPr="00D20C2A">
        <w:rPr>
          <w:rFonts w:ascii="Times New Roman" w:hAnsi="Times New Roman" w:cs="Times New Roman"/>
          <w:sz w:val="24"/>
          <w:szCs w:val="24"/>
        </w:rPr>
        <w:t xml:space="preserve"> </w:t>
      </w:r>
    </w:p>
    <w:p w14:paraId="77B69183"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31F93671"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40AA5D73"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62CFDACB"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5B098BAA"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183FE482"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662E0A58"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0F4FB7E0"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004DC10E"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41F3DDCC"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4390BF4A"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23075C7E" w14:textId="77777777" w:rsidR="00A97DF6" w:rsidRDefault="00A97DF6" w:rsidP="00A97DF6">
      <w:pPr>
        <w:pStyle w:val="PargrafodaLista"/>
        <w:spacing w:line="360" w:lineRule="auto"/>
        <w:jc w:val="both"/>
        <w:rPr>
          <w:rFonts w:ascii="Times New Roman" w:hAnsi="Times New Roman" w:cs="Times New Roman"/>
          <w:b/>
          <w:smallCaps/>
          <w:sz w:val="24"/>
          <w:szCs w:val="24"/>
        </w:rPr>
      </w:pPr>
    </w:p>
    <w:p w14:paraId="6C7402BF" w14:textId="58BDF65F" w:rsidR="0070273E" w:rsidRDefault="0070273E">
      <w:pPr>
        <w:spacing w:after="200" w:line="276" w:lineRule="auto"/>
        <w:rPr>
          <w:rFonts w:eastAsiaTheme="minorHAnsi"/>
          <w:b/>
          <w:smallCaps/>
          <w:lang w:eastAsia="en-US"/>
        </w:rPr>
      </w:pPr>
      <w:r>
        <w:rPr>
          <w:b/>
          <w:smallCaps/>
        </w:rPr>
        <w:br w:type="page"/>
      </w:r>
    </w:p>
    <w:p w14:paraId="7B031F61" w14:textId="149E505E" w:rsidR="00BE19FC" w:rsidRPr="00E67BCD" w:rsidRDefault="00B50FE9" w:rsidP="00A31A4C">
      <w:pPr>
        <w:pStyle w:val="PargrafodaLista"/>
        <w:spacing w:line="360" w:lineRule="auto"/>
        <w:ind w:left="0"/>
        <w:jc w:val="both"/>
        <w:rPr>
          <w:rFonts w:ascii="Times New Roman" w:hAnsi="Times New Roman" w:cs="Times New Roman"/>
          <w:b/>
          <w:smallCaps/>
          <w:sz w:val="24"/>
          <w:szCs w:val="24"/>
        </w:rPr>
      </w:pPr>
      <w:r w:rsidRPr="00E67BCD">
        <w:rPr>
          <w:rFonts w:ascii="TimesNewRomanPSMT" w:eastAsia="Times New Roman" w:hAnsi="TimesNewRomanPSMT" w:cs="Times New Roman"/>
          <w:b/>
          <w:color w:val="222222"/>
          <w:sz w:val="24"/>
          <w:szCs w:val="24"/>
          <w:lang w:eastAsia="pt-BR"/>
        </w:rPr>
        <w:lastRenderedPageBreak/>
        <w:t>LISTA DE ILUSTRAÇÕES</w:t>
      </w:r>
    </w:p>
    <w:p w14:paraId="41D7C672" w14:textId="77777777" w:rsidR="00BE19FC" w:rsidRDefault="00BE19FC" w:rsidP="00A31A4C">
      <w:pPr>
        <w:pStyle w:val="PargrafodaLista"/>
        <w:spacing w:line="360" w:lineRule="auto"/>
        <w:ind w:left="0"/>
        <w:jc w:val="both"/>
        <w:rPr>
          <w:rFonts w:ascii="Times New Roman" w:hAnsi="Times New Roman" w:cs="Times New Roman"/>
          <w:b/>
          <w:smallCaps/>
          <w:sz w:val="24"/>
          <w:szCs w:val="24"/>
        </w:rPr>
      </w:pPr>
    </w:p>
    <w:p w14:paraId="0DE4E726" w14:textId="77777777" w:rsidR="00BE19FC" w:rsidRDefault="00BE19FC" w:rsidP="00A31A4C">
      <w:pPr>
        <w:pStyle w:val="PargrafodaLista"/>
        <w:spacing w:line="360" w:lineRule="auto"/>
        <w:ind w:left="0"/>
        <w:jc w:val="both"/>
        <w:rPr>
          <w:rFonts w:ascii="Times New Roman" w:hAnsi="Times New Roman" w:cs="Times New Roman"/>
          <w:b/>
          <w:smallCaps/>
          <w:sz w:val="24"/>
          <w:szCs w:val="24"/>
        </w:rPr>
      </w:pPr>
    </w:p>
    <w:p w14:paraId="21844737" w14:textId="77777777" w:rsidR="00BE19FC" w:rsidRDefault="00BE19FC" w:rsidP="00A31A4C">
      <w:pPr>
        <w:pStyle w:val="PargrafodaLista"/>
        <w:spacing w:line="360" w:lineRule="auto"/>
        <w:ind w:left="0"/>
        <w:jc w:val="both"/>
        <w:rPr>
          <w:rFonts w:ascii="Times New Roman" w:hAnsi="Times New Roman" w:cs="Times New Roman"/>
          <w:b/>
          <w:smallCaps/>
          <w:sz w:val="24"/>
          <w:szCs w:val="24"/>
        </w:rPr>
      </w:pPr>
    </w:p>
    <w:p w14:paraId="43E8E48A" w14:textId="77777777" w:rsidR="00E67BCD" w:rsidRDefault="00E67BCD" w:rsidP="00A31A4C">
      <w:pPr>
        <w:pStyle w:val="ndicedeilustraes"/>
        <w:tabs>
          <w:tab w:val="right" w:leader="dot" w:pos="8494"/>
        </w:tabs>
        <w:spacing w:before="120" w:after="200"/>
        <w:rPr>
          <w:noProof/>
        </w:rPr>
      </w:pPr>
      <w:r>
        <w:rPr>
          <w:b/>
          <w:smallCaps/>
        </w:rPr>
        <w:fldChar w:fldCharType="begin"/>
      </w:r>
      <w:r>
        <w:rPr>
          <w:b/>
          <w:smallCaps/>
        </w:rPr>
        <w:instrText xml:space="preserve"> TOC \h \z \c "Tabela" </w:instrText>
      </w:r>
      <w:r>
        <w:rPr>
          <w:b/>
          <w:smallCaps/>
        </w:rPr>
        <w:fldChar w:fldCharType="separate"/>
      </w:r>
      <w:hyperlink w:anchor="_Toc51772700" w:history="1">
        <w:r w:rsidRPr="00702704">
          <w:rPr>
            <w:rStyle w:val="Hyperlink"/>
            <w:noProof/>
          </w:rPr>
          <w:t>Tabela 1 – Tabela com os pesos das variáveis na unidade sintética</w:t>
        </w:r>
        <w:r>
          <w:rPr>
            <w:noProof/>
            <w:webHidden/>
          </w:rPr>
          <w:tab/>
        </w:r>
        <w:r>
          <w:rPr>
            <w:noProof/>
            <w:webHidden/>
          </w:rPr>
          <w:fldChar w:fldCharType="begin"/>
        </w:r>
        <w:r>
          <w:rPr>
            <w:noProof/>
            <w:webHidden/>
          </w:rPr>
          <w:instrText xml:space="preserve"> PAGEREF _Toc51772700 \h </w:instrText>
        </w:r>
        <w:r>
          <w:rPr>
            <w:noProof/>
            <w:webHidden/>
          </w:rPr>
        </w:r>
        <w:r>
          <w:rPr>
            <w:noProof/>
            <w:webHidden/>
          </w:rPr>
          <w:fldChar w:fldCharType="separate"/>
        </w:r>
        <w:r w:rsidR="004B76AA">
          <w:rPr>
            <w:noProof/>
            <w:webHidden/>
          </w:rPr>
          <w:t>14</w:t>
        </w:r>
        <w:r>
          <w:rPr>
            <w:noProof/>
            <w:webHidden/>
          </w:rPr>
          <w:fldChar w:fldCharType="end"/>
        </w:r>
      </w:hyperlink>
    </w:p>
    <w:p w14:paraId="58946137" w14:textId="77777777" w:rsidR="00E67BCD" w:rsidRDefault="006B1E3D" w:rsidP="00A31A4C">
      <w:pPr>
        <w:pStyle w:val="ndicedeilustraes"/>
        <w:tabs>
          <w:tab w:val="right" w:leader="dot" w:pos="8494"/>
        </w:tabs>
        <w:spacing w:before="120" w:after="200"/>
        <w:rPr>
          <w:noProof/>
        </w:rPr>
      </w:pPr>
      <w:hyperlink w:anchor="_Toc51772701" w:history="1">
        <w:r w:rsidR="00E67BCD" w:rsidRPr="00702704">
          <w:rPr>
            <w:rStyle w:val="Hyperlink"/>
            <w:noProof/>
          </w:rPr>
          <w:t>Tabela 2 - Peso de cada país na unidade sintética</w:t>
        </w:r>
        <w:r w:rsidR="00E67BCD">
          <w:rPr>
            <w:noProof/>
            <w:webHidden/>
          </w:rPr>
          <w:tab/>
        </w:r>
        <w:r w:rsidR="00E67BCD">
          <w:rPr>
            <w:noProof/>
            <w:webHidden/>
          </w:rPr>
          <w:fldChar w:fldCharType="begin"/>
        </w:r>
        <w:r w:rsidR="00E67BCD">
          <w:rPr>
            <w:noProof/>
            <w:webHidden/>
          </w:rPr>
          <w:instrText xml:space="preserve"> PAGEREF _Toc51772701 \h </w:instrText>
        </w:r>
        <w:r w:rsidR="00E67BCD">
          <w:rPr>
            <w:noProof/>
            <w:webHidden/>
          </w:rPr>
        </w:r>
        <w:r w:rsidR="00E67BCD">
          <w:rPr>
            <w:noProof/>
            <w:webHidden/>
          </w:rPr>
          <w:fldChar w:fldCharType="separate"/>
        </w:r>
        <w:r w:rsidR="004B76AA">
          <w:rPr>
            <w:noProof/>
            <w:webHidden/>
          </w:rPr>
          <w:t>14</w:t>
        </w:r>
        <w:r w:rsidR="00E67BCD">
          <w:rPr>
            <w:noProof/>
            <w:webHidden/>
          </w:rPr>
          <w:fldChar w:fldCharType="end"/>
        </w:r>
      </w:hyperlink>
    </w:p>
    <w:p w14:paraId="4F626813" w14:textId="77777777" w:rsidR="00E67BCD" w:rsidRDefault="006B1E3D" w:rsidP="00A31A4C">
      <w:pPr>
        <w:pStyle w:val="ndicedeilustraes"/>
        <w:tabs>
          <w:tab w:val="right" w:leader="dot" w:pos="8494"/>
        </w:tabs>
        <w:spacing w:before="120" w:after="200"/>
        <w:rPr>
          <w:noProof/>
        </w:rPr>
      </w:pPr>
      <w:hyperlink w:anchor="_Toc51772702" w:history="1">
        <w:r w:rsidR="00E67BCD" w:rsidRPr="00702704">
          <w:rPr>
            <w:rStyle w:val="Hyperlink"/>
            <w:noProof/>
          </w:rPr>
          <w:t>Tabela 3 – Médias das variáveis pré-intervenção</w:t>
        </w:r>
        <w:r w:rsidR="00E67BCD">
          <w:rPr>
            <w:noProof/>
            <w:webHidden/>
          </w:rPr>
          <w:tab/>
        </w:r>
        <w:r w:rsidR="00E67BCD">
          <w:rPr>
            <w:noProof/>
            <w:webHidden/>
          </w:rPr>
          <w:fldChar w:fldCharType="begin"/>
        </w:r>
        <w:r w:rsidR="00E67BCD">
          <w:rPr>
            <w:noProof/>
            <w:webHidden/>
          </w:rPr>
          <w:instrText xml:space="preserve"> PAGEREF _Toc51772702 \h </w:instrText>
        </w:r>
        <w:r w:rsidR="00E67BCD">
          <w:rPr>
            <w:noProof/>
            <w:webHidden/>
          </w:rPr>
        </w:r>
        <w:r w:rsidR="00E67BCD">
          <w:rPr>
            <w:noProof/>
            <w:webHidden/>
          </w:rPr>
          <w:fldChar w:fldCharType="separate"/>
        </w:r>
        <w:r w:rsidR="004B76AA">
          <w:rPr>
            <w:noProof/>
            <w:webHidden/>
          </w:rPr>
          <w:t>15</w:t>
        </w:r>
        <w:r w:rsidR="00E67BCD">
          <w:rPr>
            <w:noProof/>
            <w:webHidden/>
          </w:rPr>
          <w:fldChar w:fldCharType="end"/>
        </w:r>
      </w:hyperlink>
    </w:p>
    <w:p w14:paraId="0D3F8CBA" w14:textId="77777777" w:rsidR="00E67BCD" w:rsidRDefault="006B1E3D" w:rsidP="00A31A4C">
      <w:pPr>
        <w:pStyle w:val="ndicedeilustraes"/>
        <w:tabs>
          <w:tab w:val="right" w:leader="dot" w:pos="8494"/>
        </w:tabs>
        <w:spacing w:before="120" w:after="200"/>
        <w:rPr>
          <w:noProof/>
        </w:rPr>
      </w:pPr>
      <w:hyperlink w:anchor="_Toc51772703" w:history="1">
        <w:r w:rsidR="00E67BCD" w:rsidRPr="00702704">
          <w:rPr>
            <w:rStyle w:val="Hyperlink"/>
            <w:noProof/>
          </w:rPr>
          <w:t>Tabela 4 – Diferenças em diferenças</w:t>
        </w:r>
        <w:r w:rsidR="00E67BCD">
          <w:rPr>
            <w:noProof/>
            <w:webHidden/>
          </w:rPr>
          <w:tab/>
        </w:r>
        <w:r w:rsidR="00E67BCD">
          <w:rPr>
            <w:noProof/>
            <w:webHidden/>
          </w:rPr>
          <w:fldChar w:fldCharType="begin"/>
        </w:r>
        <w:r w:rsidR="00E67BCD">
          <w:rPr>
            <w:noProof/>
            <w:webHidden/>
          </w:rPr>
          <w:instrText xml:space="preserve"> PAGEREF _Toc51772703 \h </w:instrText>
        </w:r>
        <w:r w:rsidR="00E67BCD">
          <w:rPr>
            <w:noProof/>
            <w:webHidden/>
          </w:rPr>
        </w:r>
        <w:r w:rsidR="00E67BCD">
          <w:rPr>
            <w:noProof/>
            <w:webHidden/>
          </w:rPr>
          <w:fldChar w:fldCharType="separate"/>
        </w:r>
        <w:r w:rsidR="004B76AA">
          <w:rPr>
            <w:noProof/>
            <w:webHidden/>
          </w:rPr>
          <w:t>20</w:t>
        </w:r>
        <w:r w:rsidR="00E67BCD">
          <w:rPr>
            <w:noProof/>
            <w:webHidden/>
          </w:rPr>
          <w:fldChar w:fldCharType="end"/>
        </w:r>
      </w:hyperlink>
    </w:p>
    <w:p w14:paraId="046CB0A4" w14:textId="15E6905E" w:rsidR="00BE19FC" w:rsidRDefault="00E67BCD" w:rsidP="00A31A4C">
      <w:pPr>
        <w:spacing w:before="120" w:after="200"/>
      </w:pPr>
      <w:r>
        <w:fldChar w:fldCharType="end"/>
      </w:r>
    </w:p>
    <w:p w14:paraId="44E6C610" w14:textId="77777777" w:rsidR="00E67BCD" w:rsidRDefault="00E67BCD" w:rsidP="00A31A4C">
      <w:pPr>
        <w:pStyle w:val="ndicedeilustraes"/>
        <w:tabs>
          <w:tab w:val="right" w:leader="dot" w:pos="8494"/>
        </w:tabs>
        <w:spacing w:before="120" w:after="200"/>
        <w:rPr>
          <w:rFonts w:asciiTheme="minorHAnsi" w:eastAsiaTheme="minorEastAsia" w:hAnsiTheme="minorHAnsi" w:cstheme="minorBidi"/>
          <w:noProof/>
          <w:sz w:val="22"/>
          <w:szCs w:val="22"/>
        </w:rPr>
      </w:pPr>
      <w:r>
        <w:rPr>
          <w:b/>
          <w:smallCaps/>
        </w:rPr>
        <w:fldChar w:fldCharType="begin"/>
      </w:r>
      <w:r>
        <w:rPr>
          <w:b/>
          <w:smallCaps/>
        </w:rPr>
        <w:instrText xml:space="preserve"> TOC \h \z \c "Gráfico" </w:instrText>
      </w:r>
      <w:r>
        <w:rPr>
          <w:b/>
          <w:smallCaps/>
        </w:rPr>
        <w:fldChar w:fldCharType="separate"/>
      </w:r>
      <w:hyperlink w:anchor="_Toc51772713" w:history="1">
        <w:r w:rsidRPr="00B757AC">
          <w:rPr>
            <w:rStyle w:val="Hyperlink"/>
            <w:noProof/>
          </w:rPr>
          <w:t>Gráfico 1 - Comparação número de fusões e aquisições do Brasil sintético com sua unidade sintética</w:t>
        </w:r>
        <w:r>
          <w:rPr>
            <w:noProof/>
            <w:webHidden/>
          </w:rPr>
          <w:tab/>
        </w:r>
        <w:r>
          <w:rPr>
            <w:noProof/>
            <w:webHidden/>
          </w:rPr>
          <w:fldChar w:fldCharType="begin"/>
        </w:r>
        <w:r>
          <w:rPr>
            <w:noProof/>
            <w:webHidden/>
          </w:rPr>
          <w:instrText xml:space="preserve"> PAGEREF _Toc51772713 \h </w:instrText>
        </w:r>
        <w:r>
          <w:rPr>
            <w:noProof/>
            <w:webHidden/>
          </w:rPr>
        </w:r>
        <w:r>
          <w:rPr>
            <w:noProof/>
            <w:webHidden/>
          </w:rPr>
          <w:fldChar w:fldCharType="separate"/>
        </w:r>
        <w:r w:rsidR="004B76AA">
          <w:rPr>
            <w:noProof/>
            <w:webHidden/>
          </w:rPr>
          <w:t>16</w:t>
        </w:r>
        <w:r>
          <w:rPr>
            <w:noProof/>
            <w:webHidden/>
          </w:rPr>
          <w:fldChar w:fldCharType="end"/>
        </w:r>
      </w:hyperlink>
    </w:p>
    <w:p w14:paraId="64491F43" w14:textId="77777777" w:rsidR="00E67BCD" w:rsidRDefault="006B1E3D" w:rsidP="00A31A4C">
      <w:pPr>
        <w:pStyle w:val="ndicedeilustraes"/>
        <w:tabs>
          <w:tab w:val="right" w:leader="dot" w:pos="8494"/>
        </w:tabs>
        <w:spacing w:before="120" w:after="200"/>
        <w:rPr>
          <w:rFonts w:asciiTheme="minorHAnsi" w:eastAsiaTheme="minorEastAsia" w:hAnsiTheme="minorHAnsi" w:cstheme="minorBidi"/>
          <w:noProof/>
          <w:sz w:val="22"/>
          <w:szCs w:val="22"/>
        </w:rPr>
      </w:pPr>
      <w:hyperlink w:anchor="_Toc51772714" w:history="1">
        <w:r w:rsidR="00E67BCD" w:rsidRPr="00B757AC">
          <w:rPr>
            <w:rStyle w:val="Hyperlink"/>
            <w:noProof/>
          </w:rPr>
          <w:t>Gráfico 2 – Diferença entre o número de fusões e aquisições entre o Brasil e sua unidade sintética</w:t>
        </w:r>
        <w:r w:rsidR="00E67BCD">
          <w:rPr>
            <w:noProof/>
            <w:webHidden/>
          </w:rPr>
          <w:tab/>
        </w:r>
        <w:r w:rsidR="00E67BCD">
          <w:rPr>
            <w:noProof/>
            <w:webHidden/>
          </w:rPr>
          <w:fldChar w:fldCharType="begin"/>
        </w:r>
        <w:r w:rsidR="00E67BCD">
          <w:rPr>
            <w:noProof/>
            <w:webHidden/>
          </w:rPr>
          <w:instrText xml:space="preserve"> PAGEREF _Toc51772714 \h </w:instrText>
        </w:r>
        <w:r w:rsidR="00E67BCD">
          <w:rPr>
            <w:noProof/>
            <w:webHidden/>
          </w:rPr>
        </w:r>
        <w:r w:rsidR="00E67BCD">
          <w:rPr>
            <w:noProof/>
            <w:webHidden/>
          </w:rPr>
          <w:fldChar w:fldCharType="separate"/>
        </w:r>
        <w:r w:rsidR="004B76AA">
          <w:rPr>
            <w:noProof/>
            <w:webHidden/>
          </w:rPr>
          <w:t>16</w:t>
        </w:r>
        <w:r w:rsidR="00E67BCD">
          <w:rPr>
            <w:noProof/>
            <w:webHidden/>
          </w:rPr>
          <w:fldChar w:fldCharType="end"/>
        </w:r>
      </w:hyperlink>
    </w:p>
    <w:p w14:paraId="64414A2B" w14:textId="77777777" w:rsidR="00E67BCD" w:rsidRDefault="006B1E3D" w:rsidP="00A31A4C">
      <w:pPr>
        <w:pStyle w:val="ndicedeilustraes"/>
        <w:tabs>
          <w:tab w:val="right" w:leader="dot" w:pos="8494"/>
        </w:tabs>
        <w:spacing w:before="120" w:after="200"/>
        <w:rPr>
          <w:rFonts w:asciiTheme="minorHAnsi" w:eastAsiaTheme="minorEastAsia" w:hAnsiTheme="minorHAnsi" w:cstheme="minorBidi"/>
          <w:noProof/>
          <w:sz w:val="22"/>
          <w:szCs w:val="22"/>
        </w:rPr>
      </w:pPr>
      <w:hyperlink w:anchor="_Toc51772715" w:history="1">
        <w:r w:rsidR="00E67BCD" w:rsidRPr="00B757AC">
          <w:rPr>
            <w:rStyle w:val="Hyperlink"/>
            <w:noProof/>
          </w:rPr>
          <w:t>Gráfico 3 – Teste de placebo entre o Brasil e suas unidades de controle</w:t>
        </w:r>
        <w:r w:rsidR="00E67BCD">
          <w:rPr>
            <w:noProof/>
            <w:webHidden/>
          </w:rPr>
          <w:tab/>
        </w:r>
        <w:r w:rsidR="00E67BCD">
          <w:rPr>
            <w:noProof/>
            <w:webHidden/>
          </w:rPr>
          <w:fldChar w:fldCharType="begin"/>
        </w:r>
        <w:r w:rsidR="00E67BCD">
          <w:rPr>
            <w:noProof/>
            <w:webHidden/>
          </w:rPr>
          <w:instrText xml:space="preserve"> PAGEREF _Toc51772715 \h </w:instrText>
        </w:r>
        <w:r w:rsidR="00E67BCD">
          <w:rPr>
            <w:noProof/>
            <w:webHidden/>
          </w:rPr>
        </w:r>
        <w:r w:rsidR="00E67BCD">
          <w:rPr>
            <w:noProof/>
            <w:webHidden/>
          </w:rPr>
          <w:fldChar w:fldCharType="separate"/>
        </w:r>
        <w:r w:rsidR="004B76AA">
          <w:rPr>
            <w:noProof/>
            <w:webHidden/>
          </w:rPr>
          <w:t>17</w:t>
        </w:r>
        <w:r w:rsidR="00E67BCD">
          <w:rPr>
            <w:noProof/>
            <w:webHidden/>
          </w:rPr>
          <w:fldChar w:fldCharType="end"/>
        </w:r>
      </w:hyperlink>
    </w:p>
    <w:p w14:paraId="37C744FD" w14:textId="3D8B753E" w:rsidR="00E67BCD" w:rsidRDefault="006B1E3D" w:rsidP="00A31A4C">
      <w:pPr>
        <w:pStyle w:val="ndicedeilustraes"/>
        <w:tabs>
          <w:tab w:val="right" w:leader="dot" w:pos="8494"/>
        </w:tabs>
        <w:spacing w:before="120" w:after="200"/>
        <w:rPr>
          <w:rFonts w:asciiTheme="minorHAnsi" w:eastAsiaTheme="minorEastAsia" w:hAnsiTheme="minorHAnsi" w:cstheme="minorBidi"/>
          <w:noProof/>
          <w:sz w:val="22"/>
          <w:szCs w:val="22"/>
        </w:rPr>
      </w:pPr>
      <w:hyperlink w:anchor="_Toc51772716" w:history="1">
        <w:r w:rsidR="00E67BCD" w:rsidRPr="00B757AC">
          <w:rPr>
            <w:rStyle w:val="Hyperlink"/>
            <w:noProof/>
          </w:rPr>
          <w:t>Gráfico 4 - RM</w:t>
        </w:r>
        <w:r w:rsidR="00342D28">
          <w:rPr>
            <w:rStyle w:val="Hyperlink"/>
            <w:noProof/>
          </w:rPr>
          <w:t>S</w:t>
        </w:r>
        <w:r w:rsidR="00E67BCD" w:rsidRPr="00B757AC">
          <w:rPr>
            <w:rStyle w:val="Hyperlink"/>
            <w:noProof/>
          </w:rPr>
          <w:t>PE pós/pré-intervenção</w:t>
        </w:r>
        <w:r w:rsidR="00E67BCD">
          <w:rPr>
            <w:noProof/>
            <w:webHidden/>
          </w:rPr>
          <w:tab/>
        </w:r>
        <w:r w:rsidR="00E67BCD">
          <w:rPr>
            <w:noProof/>
            <w:webHidden/>
          </w:rPr>
          <w:fldChar w:fldCharType="begin"/>
        </w:r>
        <w:r w:rsidR="00E67BCD">
          <w:rPr>
            <w:noProof/>
            <w:webHidden/>
          </w:rPr>
          <w:instrText xml:space="preserve"> PAGEREF _Toc51772716 \h </w:instrText>
        </w:r>
        <w:r w:rsidR="00E67BCD">
          <w:rPr>
            <w:noProof/>
            <w:webHidden/>
          </w:rPr>
        </w:r>
        <w:r w:rsidR="00E67BCD">
          <w:rPr>
            <w:noProof/>
            <w:webHidden/>
          </w:rPr>
          <w:fldChar w:fldCharType="separate"/>
        </w:r>
        <w:r w:rsidR="004B76AA">
          <w:rPr>
            <w:noProof/>
            <w:webHidden/>
          </w:rPr>
          <w:t>19</w:t>
        </w:r>
        <w:r w:rsidR="00E67BCD">
          <w:rPr>
            <w:noProof/>
            <w:webHidden/>
          </w:rPr>
          <w:fldChar w:fldCharType="end"/>
        </w:r>
      </w:hyperlink>
    </w:p>
    <w:p w14:paraId="58C12478" w14:textId="77777777" w:rsidR="00BE19FC" w:rsidRDefault="00E67BCD" w:rsidP="00A31A4C">
      <w:pPr>
        <w:pStyle w:val="PargrafodaLista"/>
        <w:spacing w:before="120" w:line="360" w:lineRule="auto"/>
        <w:ind w:left="0"/>
        <w:jc w:val="both"/>
        <w:rPr>
          <w:rFonts w:ascii="Times New Roman" w:hAnsi="Times New Roman" w:cs="Times New Roman"/>
          <w:b/>
          <w:smallCaps/>
          <w:sz w:val="24"/>
          <w:szCs w:val="24"/>
        </w:rPr>
      </w:pPr>
      <w:r>
        <w:rPr>
          <w:rFonts w:ascii="Times New Roman" w:hAnsi="Times New Roman" w:cs="Times New Roman"/>
          <w:b/>
          <w:smallCaps/>
          <w:sz w:val="24"/>
          <w:szCs w:val="24"/>
        </w:rPr>
        <w:fldChar w:fldCharType="end"/>
      </w:r>
    </w:p>
    <w:p w14:paraId="04A105D6"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306987FC"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5B928C96"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20283F9E"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431D642B"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5998A24E"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4F977EA0"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01E1965F"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4652709C"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63B6F00E"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7C2442B1"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161F78F0"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506F5399"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59E6E833"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0A66E1A5" w14:textId="77777777" w:rsidR="00BE19FC" w:rsidRDefault="00BE19FC" w:rsidP="00A97DF6">
      <w:pPr>
        <w:pStyle w:val="PargrafodaLista"/>
        <w:spacing w:line="360" w:lineRule="auto"/>
        <w:jc w:val="both"/>
        <w:rPr>
          <w:rFonts w:ascii="Times New Roman" w:hAnsi="Times New Roman" w:cs="Times New Roman"/>
          <w:b/>
          <w:smallCaps/>
          <w:sz w:val="24"/>
          <w:szCs w:val="24"/>
        </w:rPr>
      </w:pPr>
    </w:p>
    <w:p w14:paraId="27EB26BF" w14:textId="77777777" w:rsidR="00BE19FC" w:rsidRDefault="00BE19FC" w:rsidP="00A97DF6">
      <w:pPr>
        <w:pStyle w:val="PargrafodaLista"/>
        <w:spacing w:line="360" w:lineRule="auto"/>
        <w:jc w:val="both"/>
        <w:rPr>
          <w:rFonts w:ascii="Times New Roman" w:hAnsi="Times New Roman" w:cs="Times New Roman"/>
          <w:b/>
          <w:smallCaps/>
          <w:sz w:val="24"/>
          <w:szCs w:val="24"/>
        </w:rPr>
      </w:pPr>
    </w:p>
    <w:sdt>
      <w:sdtPr>
        <w:rPr>
          <w:rFonts w:ascii="Times New Roman" w:eastAsia="Times New Roman" w:hAnsi="Times New Roman" w:cs="Times New Roman"/>
          <w:b w:val="0"/>
          <w:bCs w:val="0"/>
          <w:color w:val="auto"/>
          <w:sz w:val="24"/>
          <w:szCs w:val="24"/>
        </w:rPr>
        <w:id w:val="-1172790917"/>
        <w:docPartObj>
          <w:docPartGallery w:val="Table of Contents"/>
          <w:docPartUnique/>
        </w:docPartObj>
      </w:sdtPr>
      <w:sdtEndPr/>
      <w:sdtContent>
        <w:p w14:paraId="123F0999" w14:textId="43B84136" w:rsidR="00290949" w:rsidRPr="00DE2213" w:rsidRDefault="00BE19FC" w:rsidP="00DE2213">
          <w:pPr>
            <w:pStyle w:val="CabealhodoSumrio"/>
            <w:spacing w:before="120"/>
            <w:rPr>
              <w:rFonts w:ascii="Times New Roman" w:hAnsi="Times New Roman" w:cs="Times New Roman"/>
              <w:color w:val="auto"/>
              <w:sz w:val="24"/>
              <w:szCs w:val="24"/>
            </w:rPr>
          </w:pPr>
          <w:r w:rsidRPr="00DE2213">
            <w:rPr>
              <w:rFonts w:ascii="Times New Roman" w:hAnsi="Times New Roman" w:cs="Times New Roman"/>
              <w:color w:val="auto"/>
              <w:sz w:val="24"/>
              <w:szCs w:val="24"/>
            </w:rPr>
            <w:t>SUMÁRIO</w:t>
          </w:r>
        </w:p>
        <w:p w14:paraId="2CA71E99" w14:textId="77777777" w:rsidR="00290949" w:rsidRPr="00DE2213" w:rsidRDefault="00290949" w:rsidP="00146978">
          <w:pPr>
            <w:spacing w:before="120" w:after="200"/>
          </w:pPr>
        </w:p>
        <w:p w14:paraId="1BDCF6D7" w14:textId="77777777" w:rsidR="00DE2213" w:rsidRPr="00DE2213" w:rsidRDefault="00290949" w:rsidP="00146978">
          <w:pPr>
            <w:pStyle w:val="Sumrio1"/>
            <w:tabs>
              <w:tab w:val="left" w:pos="440"/>
              <w:tab w:val="right" w:leader="dot" w:pos="8494"/>
            </w:tabs>
            <w:spacing w:before="120" w:after="200"/>
            <w:rPr>
              <w:rFonts w:asciiTheme="minorHAnsi" w:eastAsiaTheme="minorEastAsia" w:hAnsiTheme="minorHAnsi" w:cstheme="minorBidi"/>
              <w:noProof/>
              <w:sz w:val="22"/>
              <w:szCs w:val="22"/>
            </w:rPr>
          </w:pPr>
          <w:r w:rsidRPr="00DE2213">
            <w:fldChar w:fldCharType="begin"/>
          </w:r>
          <w:r w:rsidRPr="00DE2213">
            <w:instrText xml:space="preserve"> TOC \o "1-3" \h \z \u </w:instrText>
          </w:r>
          <w:r w:rsidRPr="00DE2213">
            <w:fldChar w:fldCharType="separate"/>
          </w:r>
          <w:hyperlink w:anchor="_Toc51774591" w:history="1">
            <w:r w:rsidR="00DE2213" w:rsidRPr="00DE2213">
              <w:rPr>
                <w:rStyle w:val="Hyperlink"/>
                <w:b/>
                <w:noProof/>
                <w:color w:val="auto"/>
              </w:rPr>
              <w:t>1.</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INTRODUÇÃO.</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_Toc51774591 \h </w:instrText>
            </w:r>
            <w:r w:rsidR="00DE2213" w:rsidRPr="00DE2213">
              <w:rPr>
                <w:noProof/>
                <w:webHidden/>
              </w:rPr>
            </w:r>
            <w:r w:rsidR="00DE2213" w:rsidRPr="00DE2213">
              <w:rPr>
                <w:noProof/>
                <w:webHidden/>
              </w:rPr>
              <w:fldChar w:fldCharType="separate"/>
            </w:r>
            <w:r w:rsidR="004B76AA">
              <w:rPr>
                <w:noProof/>
                <w:webHidden/>
              </w:rPr>
              <w:t>1</w:t>
            </w:r>
            <w:r w:rsidR="00DE2213" w:rsidRPr="00DE2213">
              <w:rPr>
                <w:noProof/>
                <w:webHidden/>
              </w:rPr>
              <w:fldChar w:fldCharType="end"/>
            </w:r>
          </w:hyperlink>
        </w:p>
        <w:p w14:paraId="06F64D68" w14:textId="77777777" w:rsidR="00DE2213" w:rsidRPr="00DE2213" w:rsidRDefault="006B1E3D" w:rsidP="00146978">
          <w:pPr>
            <w:pStyle w:val="Sumrio1"/>
            <w:tabs>
              <w:tab w:val="left" w:pos="440"/>
              <w:tab w:val="right" w:leader="dot" w:pos="8494"/>
            </w:tabs>
            <w:spacing w:before="120" w:after="200"/>
            <w:rPr>
              <w:rFonts w:asciiTheme="minorHAnsi" w:eastAsiaTheme="minorEastAsia" w:hAnsiTheme="minorHAnsi" w:cstheme="minorBidi"/>
              <w:noProof/>
              <w:sz w:val="22"/>
              <w:szCs w:val="22"/>
            </w:rPr>
          </w:pPr>
          <w:hyperlink w:anchor="_Toc51774592" w:history="1">
            <w:r w:rsidR="00DE2213" w:rsidRPr="00DE2213">
              <w:rPr>
                <w:rStyle w:val="Hyperlink"/>
                <w:b/>
                <w:noProof/>
                <w:color w:val="auto"/>
              </w:rPr>
              <w:t>2.</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REVISÃO DA LITERATURA</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_Toc51774592 \h </w:instrText>
            </w:r>
            <w:r w:rsidR="00DE2213" w:rsidRPr="00DE2213">
              <w:rPr>
                <w:noProof/>
                <w:webHidden/>
              </w:rPr>
            </w:r>
            <w:r w:rsidR="00DE2213" w:rsidRPr="00DE2213">
              <w:rPr>
                <w:noProof/>
                <w:webHidden/>
              </w:rPr>
              <w:fldChar w:fldCharType="separate"/>
            </w:r>
            <w:r w:rsidR="004B76AA">
              <w:rPr>
                <w:noProof/>
                <w:webHidden/>
              </w:rPr>
              <w:t>4</w:t>
            </w:r>
            <w:r w:rsidR="00DE2213" w:rsidRPr="00DE2213">
              <w:rPr>
                <w:noProof/>
                <w:webHidden/>
              </w:rPr>
              <w:fldChar w:fldCharType="end"/>
            </w:r>
          </w:hyperlink>
        </w:p>
        <w:p w14:paraId="32044435" w14:textId="77777777" w:rsidR="00DE2213" w:rsidRPr="00DE2213" w:rsidRDefault="006B1E3D" w:rsidP="00146978">
          <w:pPr>
            <w:pStyle w:val="Sumrio2"/>
            <w:tabs>
              <w:tab w:val="left" w:pos="880"/>
              <w:tab w:val="right" w:leader="dot" w:pos="8494"/>
            </w:tabs>
            <w:spacing w:before="120" w:after="200"/>
            <w:rPr>
              <w:rFonts w:asciiTheme="minorHAnsi" w:eastAsiaTheme="minorEastAsia" w:hAnsiTheme="minorHAnsi" w:cstheme="minorBidi"/>
              <w:noProof/>
              <w:sz w:val="22"/>
              <w:szCs w:val="22"/>
            </w:rPr>
          </w:pPr>
          <w:hyperlink w:anchor="_Toc51774593" w:history="1">
            <w:r w:rsidR="00DE2213" w:rsidRPr="00DE2213">
              <w:rPr>
                <w:rStyle w:val="Hyperlink"/>
                <w:b/>
                <w:noProof/>
                <w:color w:val="auto"/>
              </w:rPr>
              <w:t>2.1.</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Defesa da concorrência e Controle de Atos de concentração.</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_Toc51774593 \h </w:instrText>
            </w:r>
            <w:r w:rsidR="00DE2213" w:rsidRPr="00DE2213">
              <w:rPr>
                <w:noProof/>
                <w:webHidden/>
              </w:rPr>
            </w:r>
            <w:r w:rsidR="00DE2213" w:rsidRPr="00DE2213">
              <w:rPr>
                <w:noProof/>
                <w:webHidden/>
              </w:rPr>
              <w:fldChar w:fldCharType="separate"/>
            </w:r>
            <w:r w:rsidR="004B76AA">
              <w:rPr>
                <w:noProof/>
                <w:webHidden/>
              </w:rPr>
              <w:t>4</w:t>
            </w:r>
            <w:r w:rsidR="00DE2213" w:rsidRPr="00DE2213">
              <w:rPr>
                <w:noProof/>
                <w:webHidden/>
              </w:rPr>
              <w:fldChar w:fldCharType="end"/>
            </w:r>
          </w:hyperlink>
        </w:p>
        <w:p w14:paraId="68B96C49" w14:textId="77777777" w:rsidR="00DE2213" w:rsidRPr="00DE2213" w:rsidRDefault="006B1E3D" w:rsidP="00146978">
          <w:pPr>
            <w:pStyle w:val="Sumrio2"/>
            <w:tabs>
              <w:tab w:val="left" w:pos="880"/>
              <w:tab w:val="right" w:leader="dot" w:pos="8494"/>
            </w:tabs>
            <w:spacing w:before="120" w:after="200"/>
            <w:rPr>
              <w:rFonts w:asciiTheme="minorHAnsi" w:eastAsiaTheme="minorEastAsia" w:hAnsiTheme="minorHAnsi" w:cstheme="minorBidi"/>
              <w:noProof/>
              <w:sz w:val="22"/>
              <w:szCs w:val="22"/>
            </w:rPr>
          </w:pPr>
          <w:hyperlink w:anchor="_Toc51774594" w:history="1">
            <w:r w:rsidR="00DE2213" w:rsidRPr="00DE2213">
              <w:rPr>
                <w:rStyle w:val="Hyperlink"/>
                <w:b/>
                <w:noProof/>
                <w:color w:val="auto"/>
              </w:rPr>
              <w:t>2.2.</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Método de Controle Sintético</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_Toc51774594 \h </w:instrText>
            </w:r>
            <w:r w:rsidR="00DE2213" w:rsidRPr="00DE2213">
              <w:rPr>
                <w:noProof/>
                <w:webHidden/>
              </w:rPr>
            </w:r>
            <w:r w:rsidR="00DE2213" w:rsidRPr="00DE2213">
              <w:rPr>
                <w:noProof/>
                <w:webHidden/>
              </w:rPr>
              <w:fldChar w:fldCharType="separate"/>
            </w:r>
            <w:r w:rsidR="004B76AA">
              <w:rPr>
                <w:noProof/>
                <w:webHidden/>
              </w:rPr>
              <w:t>7</w:t>
            </w:r>
            <w:r w:rsidR="00DE2213" w:rsidRPr="00DE2213">
              <w:rPr>
                <w:noProof/>
                <w:webHidden/>
              </w:rPr>
              <w:fldChar w:fldCharType="end"/>
            </w:r>
          </w:hyperlink>
        </w:p>
        <w:p w14:paraId="2C7C0DDA" w14:textId="77777777" w:rsidR="00DE2213" w:rsidRPr="00DE2213" w:rsidRDefault="006B1E3D" w:rsidP="00146978">
          <w:pPr>
            <w:pStyle w:val="Sumrio1"/>
            <w:tabs>
              <w:tab w:val="left" w:pos="440"/>
              <w:tab w:val="right" w:leader="dot" w:pos="8494"/>
            </w:tabs>
            <w:spacing w:before="120" w:after="200"/>
            <w:rPr>
              <w:rFonts w:asciiTheme="minorHAnsi" w:eastAsiaTheme="minorEastAsia" w:hAnsiTheme="minorHAnsi" w:cstheme="minorBidi"/>
              <w:noProof/>
              <w:sz w:val="22"/>
              <w:szCs w:val="22"/>
            </w:rPr>
          </w:pPr>
          <w:hyperlink w:anchor="_Toc51774595" w:history="1">
            <w:r w:rsidR="00DE2213" w:rsidRPr="00DE2213">
              <w:rPr>
                <w:rStyle w:val="Hyperlink"/>
                <w:b/>
                <w:noProof/>
                <w:color w:val="auto"/>
              </w:rPr>
              <w:t>3.</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METODOLOGIA</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_Toc51774595 \h </w:instrText>
            </w:r>
            <w:r w:rsidR="00DE2213" w:rsidRPr="00DE2213">
              <w:rPr>
                <w:noProof/>
                <w:webHidden/>
              </w:rPr>
            </w:r>
            <w:r w:rsidR="00DE2213" w:rsidRPr="00DE2213">
              <w:rPr>
                <w:noProof/>
                <w:webHidden/>
              </w:rPr>
              <w:fldChar w:fldCharType="separate"/>
            </w:r>
            <w:r w:rsidR="004B76AA">
              <w:rPr>
                <w:noProof/>
                <w:webHidden/>
              </w:rPr>
              <w:t>10</w:t>
            </w:r>
            <w:r w:rsidR="00DE2213" w:rsidRPr="00DE2213">
              <w:rPr>
                <w:noProof/>
                <w:webHidden/>
              </w:rPr>
              <w:fldChar w:fldCharType="end"/>
            </w:r>
          </w:hyperlink>
        </w:p>
        <w:p w14:paraId="2E2C3C2A" w14:textId="77777777" w:rsidR="00DE2213" w:rsidRPr="00DE2213" w:rsidRDefault="006B1E3D" w:rsidP="00146978">
          <w:pPr>
            <w:pStyle w:val="Sumrio2"/>
            <w:tabs>
              <w:tab w:val="left" w:pos="880"/>
              <w:tab w:val="right" w:leader="dot" w:pos="8494"/>
            </w:tabs>
            <w:spacing w:before="120" w:after="200"/>
            <w:rPr>
              <w:rFonts w:asciiTheme="minorHAnsi" w:eastAsiaTheme="minorEastAsia" w:hAnsiTheme="minorHAnsi" w:cstheme="minorBidi"/>
              <w:noProof/>
              <w:sz w:val="22"/>
              <w:szCs w:val="22"/>
            </w:rPr>
          </w:pPr>
          <w:hyperlink w:anchor="_Toc51774596" w:history="1">
            <w:r w:rsidR="00DE2213" w:rsidRPr="00DE2213">
              <w:rPr>
                <w:rStyle w:val="Hyperlink"/>
                <w:b/>
                <w:noProof/>
                <w:color w:val="auto"/>
              </w:rPr>
              <w:t>3.1.</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Estratégia empírica</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_Toc51774596 \h </w:instrText>
            </w:r>
            <w:r w:rsidR="00DE2213" w:rsidRPr="00DE2213">
              <w:rPr>
                <w:noProof/>
                <w:webHidden/>
              </w:rPr>
            </w:r>
            <w:r w:rsidR="00DE2213" w:rsidRPr="00DE2213">
              <w:rPr>
                <w:noProof/>
                <w:webHidden/>
              </w:rPr>
              <w:fldChar w:fldCharType="separate"/>
            </w:r>
            <w:r w:rsidR="004B76AA">
              <w:rPr>
                <w:noProof/>
                <w:webHidden/>
              </w:rPr>
              <w:t>10</w:t>
            </w:r>
            <w:r w:rsidR="00DE2213" w:rsidRPr="00DE2213">
              <w:rPr>
                <w:noProof/>
                <w:webHidden/>
              </w:rPr>
              <w:fldChar w:fldCharType="end"/>
            </w:r>
          </w:hyperlink>
        </w:p>
        <w:p w14:paraId="720CD42C" w14:textId="77777777" w:rsidR="00DE2213" w:rsidRPr="00DE2213" w:rsidRDefault="006B1E3D" w:rsidP="00146978">
          <w:pPr>
            <w:pStyle w:val="Sumrio2"/>
            <w:tabs>
              <w:tab w:val="left" w:pos="880"/>
              <w:tab w:val="right" w:leader="dot" w:pos="8494"/>
            </w:tabs>
            <w:spacing w:before="120" w:after="200"/>
            <w:rPr>
              <w:rFonts w:asciiTheme="minorHAnsi" w:eastAsiaTheme="minorEastAsia" w:hAnsiTheme="minorHAnsi" w:cstheme="minorBidi"/>
              <w:noProof/>
              <w:sz w:val="22"/>
              <w:szCs w:val="22"/>
            </w:rPr>
          </w:pPr>
          <w:hyperlink w:anchor="_Toc51774597" w:history="1">
            <w:r w:rsidR="00DE2213" w:rsidRPr="00DE2213">
              <w:rPr>
                <w:rStyle w:val="Hyperlink"/>
                <w:b/>
                <w:noProof/>
                <w:color w:val="auto"/>
              </w:rPr>
              <w:t>3.2.</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Base de dados</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_Toc51774597 \h </w:instrText>
            </w:r>
            <w:r w:rsidR="00DE2213" w:rsidRPr="00DE2213">
              <w:rPr>
                <w:noProof/>
                <w:webHidden/>
              </w:rPr>
            </w:r>
            <w:r w:rsidR="00DE2213" w:rsidRPr="00DE2213">
              <w:rPr>
                <w:noProof/>
                <w:webHidden/>
              </w:rPr>
              <w:fldChar w:fldCharType="separate"/>
            </w:r>
            <w:r w:rsidR="004B76AA">
              <w:rPr>
                <w:noProof/>
                <w:webHidden/>
              </w:rPr>
              <w:t>12</w:t>
            </w:r>
            <w:r w:rsidR="00DE2213" w:rsidRPr="00DE2213">
              <w:rPr>
                <w:noProof/>
                <w:webHidden/>
              </w:rPr>
              <w:fldChar w:fldCharType="end"/>
            </w:r>
          </w:hyperlink>
        </w:p>
        <w:p w14:paraId="71348FAC" w14:textId="77777777" w:rsidR="00DE2213" w:rsidRPr="00DE2213" w:rsidRDefault="006B1E3D" w:rsidP="00146978">
          <w:pPr>
            <w:pStyle w:val="Sumrio1"/>
            <w:tabs>
              <w:tab w:val="left" w:pos="440"/>
              <w:tab w:val="right" w:leader="dot" w:pos="8494"/>
            </w:tabs>
            <w:spacing w:before="120" w:after="200"/>
            <w:rPr>
              <w:rFonts w:asciiTheme="minorHAnsi" w:eastAsiaTheme="minorEastAsia" w:hAnsiTheme="minorHAnsi" w:cstheme="minorBidi"/>
              <w:noProof/>
              <w:sz w:val="22"/>
              <w:szCs w:val="22"/>
            </w:rPr>
          </w:pPr>
          <w:hyperlink w:anchor="_Toc51774598" w:history="1">
            <w:r w:rsidR="00DE2213" w:rsidRPr="00DE2213">
              <w:rPr>
                <w:rStyle w:val="Hyperlink"/>
                <w:b/>
                <w:noProof/>
                <w:color w:val="auto"/>
              </w:rPr>
              <w:t>4.</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RESULTADOS</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_Toc51774598 \h </w:instrText>
            </w:r>
            <w:r w:rsidR="00DE2213" w:rsidRPr="00DE2213">
              <w:rPr>
                <w:noProof/>
                <w:webHidden/>
              </w:rPr>
            </w:r>
            <w:r w:rsidR="00DE2213" w:rsidRPr="00DE2213">
              <w:rPr>
                <w:noProof/>
                <w:webHidden/>
              </w:rPr>
              <w:fldChar w:fldCharType="separate"/>
            </w:r>
            <w:r w:rsidR="004B76AA">
              <w:rPr>
                <w:noProof/>
                <w:webHidden/>
              </w:rPr>
              <w:t>13</w:t>
            </w:r>
            <w:r w:rsidR="00DE2213" w:rsidRPr="00DE2213">
              <w:rPr>
                <w:noProof/>
                <w:webHidden/>
              </w:rPr>
              <w:fldChar w:fldCharType="end"/>
            </w:r>
          </w:hyperlink>
        </w:p>
        <w:p w14:paraId="0878A4B6" w14:textId="77777777" w:rsidR="00DE2213" w:rsidRPr="00DE2213" w:rsidRDefault="006B1E3D" w:rsidP="00146978">
          <w:pPr>
            <w:pStyle w:val="Sumrio2"/>
            <w:tabs>
              <w:tab w:val="left" w:pos="880"/>
              <w:tab w:val="right" w:leader="dot" w:pos="8494"/>
            </w:tabs>
            <w:spacing w:before="120" w:after="200"/>
            <w:rPr>
              <w:rFonts w:asciiTheme="minorHAnsi" w:eastAsiaTheme="minorEastAsia" w:hAnsiTheme="minorHAnsi" w:cstheme="minorBidi"/>
              <w:noProof/>
              <w:sz w:val="22"/>
              <w:szCs w:val="22"/>
            </w:rPr>
          </w:pPr>
          <w:hyperlink w:anchor="_Toc51774599" w:history="1">
            <w:r w:rsidR="00DE2213" w:rsidRPr="00DE2213">
              <w:rPr>
                <w:rStyle w:val="Hyperlink"/>
                <w:b/>
                <w:noProof/>
                <w:color w:val="auto"/>
              </w:rPr>
              <w:t>4.1.</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Resultados iniciais do SCM</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_Toc51774599 \h </w:instrText>
            </w:r>
            <w:r w:rsidR="00DE2213" w:rsidRPr="00DE2213">
              <w:rPr>
                <w:noProof/>
                <w:webHidden/>
              </w:rPr>
            </w:r>
            <w:r w:rsidR="00DE2213" w:rsidRPr="00DE2213">
              <w:rPr>
                <w:noProof/>
                <w:webHidden/>
              </w:rPr>
              <w:fldChar w:fldCharType="separate"/>
            </w:r>
            <w:r w:rsidR="004B76AA">
              <w:rPr>
                <w:noProof/>
                <w:webHidden/>
              </w:rPr>
              <w:t>13</w:t>
            </w:r>
            <w:r w:rsidR="00DE2213" w:rsidRPr="00DE2213">
              <w:rPr>
                <w:noProof/>
                <w:webHidden/>
              </w:rPr>
              <w:fldChar w:fldCharType="end"/>
            </w:r>
          </w:hyperlink>
        </w:p>
        <w:p w14:paraId="17538AE6" w14:textId="77777777" w:rsidR="00DE2213" w:rsidRPr="00DE2213" w:rsidRDefault="006B1E3D" w:rsidP="00146978">
          <w:pPr>
            <w:pStyle w:val="Sumrio2"/>
            <w:tabs>
              <w:tab w:val="left" w:pos="880"/>
              <w:tab w:val="right" w:leader="dot" w:pos="8494"/>
            </w:tabs>
            <w:spacing w:before="120" w:after="200"/>
            <w:rPr>
              <w:rFonts w:asciiTheme="minorHAnsi" w:eastAsiaTheme="minorEastAsia" w:hAnsiTheme="minorHAnsi" w:cstheme="minorBidi"/>
              <w:noProof/>
              <w:sz w:val="22"/>
              <w:szCs w:val="22"/>
            </w:rPr>
          </w:pPr>
          <w:hyperlink w:anchor="_Toc51774600" w:history="1">
            <w:r w:rsidR="00DE2213" w:rsidRPr="00DE2213">
              <w:rPr>
                <w:rStyle w:val="Hyperlink"/>
                <w:b/>
                <w:noProof/>
                <w:color w:val="auto"/>
              </w:rPr>
              <w:t>4.2.</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Diferenças em diferenças</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_Toc51774600 \h </w:instrText>
            </w:r>
            <w:r w:rsidR="00DE2213" w:rsidRPr="00DE2213">
              <w:rPr>
                <w:noProof/>
                <w:webHidden/>
              </w:rPr>
            </w:r>
            <w:r w:rsidR="00DE2213" w:rsidRPr="00DE2213">
              <w:rPr>
                <w:noProof/>
                <w:webHidden/>
              </w:rPr>
              <w:fldChar w:fldCharType="separate"/>
            </w:r>
            <w:r w:rsidR="004B76AA">
              <w:rPr>
                <w:noProof/>
                <w:webHidden/>
              </w:rPr>
              <w:t>20</w:t>
            </w:r>
            <w:r w:rsidR="00DE2213" w:rsidRPr="00DE2213">
              <w:rPr>
                <w:noProof/>
                <w:webHidden/>
              </w:rPr>
              <w:fldChar w:fldCharType="end"/>
            </w:r>
          </w:hyperlink>
        </w:p>
        <w:p w14:paraId="7B04568B" w14:textId="77777777" w:rsidR="00DE2213" w:rsidRPr="00DE2213" w:rsidRDefault="006B1E3D" w:rsidP="00146978">
          <w:pPr>
            <w:pStyle w:val="Sumrio1"/>
            <w:tabs>
              <w:tab w:val="left" w:pos="440"/>
              <w:tab w:val="right" w:leader="dot" w:pos="8494"/>
            </w:tabs>
            <w:spacing w:before="120" w:after="200"/>
            <w:rPr>
              <w:rFonts w:asciiTheme="minorHAnsi" w:eastAsiaTheme="minorEastAsia" w:hAnsiTheme="minorHAnsi" w:cstheme="minorBidi"/>
              <w:noProof/>
              <w:sz w:val="22"/>
              <w:szCs w:val="22"/>
            </w:rPr>
          </w:pPr>
          <w:hyperlink w:anchor="_Toc51774601" w:history="1">
            <w:r w:rsidR="00DE2213" w:rsidRPr="00DE2213">
              <w:rPr>
                <w:rStyle w:val="Hyperlink"/>
                <w:b/>
                <w:noProof/>
                <w:color w:val="auto"/>
              </w:rPr>
              <w:t>5.</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CONCLUSÃO</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_Toc51774601 \h </w:instrText>
            </w:r>
            <w:r w:rsidR="00DE2213" w:rsidRPr="00DE2213">
              <w:rPr>
                <w:noProof/>
                <w:webHidden/>
              </w:rPr>
            </w:r>
            <w:r w:rsidR="00DE2213" w:rsidRPr="00DE2213">
              <w:rPr>
                <w:noProof/>
                <w:webHidden/>
              </w:rPr>
              <w:fldChar w:fldCharType="separate"/>
            </w:r>
            <w:r w:rsidR="004B76AA">
              <w:rPr>
                <w:noProof/>
                <w:webHidden/>
              </w:rPr>
              <w:t>22</w:t>
            </w:r>
            <w:r w:rsidR="00DE2213" w:rsidRPr="00DE2213">
              <w:rPr>
                <w:noProof/>
                <w:webHidden/>
              </w:rPr>
              <w:fldChar w:fldCharType="end"/>
            </w:r>
          </w:hyperlink>
        </w:p>
        <w:p w14:paraId="70790D27" w14:textId="77777777" w:rsidR="00DE2213" w:rsidRPr="00DE2213" w:rsidRDefault="006B1E3D" w:rsidP="00146978">
          <w:pPr>
            <w:pStyle w:val="Sumrio1"/>
            <w:tabs>
              <w:tab w:val="left" w:pos="440"/>
              <w:tab w:val="right" w:leader="dot" w:pos="8494"/>
            </w:tabs>
            <w:spacing w:before="120" w:after="200"/>
            <w:rPr>
              <w:rFonts w:asciiTheme="minorHAnsi" w:eastAsiaTheme="minorEastAsia" w:hAnsiTheme="minorHAnsi" w:cstheme="minorBidi"/>
              <w:noProof/>
              <w:sz w:val="22"/>
              <w:szCs w:val="22"/>
            </w:rPr>
          </w:pPr>
          <w:hyperlink w:anchor="_Toc51774602" w:history="1">
            <w:r w:rsidR="00DE2213" w:rsidRPr="00DE2213">
              <w:rPr>
                <w:rStyle w:val="Hyperlink"/>
                <w:b/>
                <w:noProof/>
                <w:color w:val="auto"/>
              </w:rPr>
              <w:t>6.</w:t>
            </w:r>
            <w:r w:rsidR="00DE2213" w:rsidRPr="00DE2213">
              <w:rPr>
                <w:rFonts w:asciiTheme="minorHAnsi" w:eastAsiaTheme="minorEastAsia" w:hAnsiTheme="minorHAnsi" w:cstheme="minorBidi"/>
                <w:noProof/>
                <w:sz w:val="22"/>
                <w:szCs w:val="22"/>
              </w:rPr>
              <w:tab/>
            </w:r>
            <w:r w:rsidR="00DE2213" w:rsidRPr="00DE2213">
              <w:rPr>
                <w:rStyle w:val="Hyperlink"/>
                <w:b/>
                <w:noProof/>
                <w:color w:val="auto"/>
              </w:rPr>
              <w:t>BIBLIOGRAFIA</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_Toc51774602 \h </w:instrText>
            </w:r>
            <w:r w:rsidR="00DE2213" w:rsidRPr="00DE2213">
              <w:rPr>
                <w:noProof/>
                <w:webHidden/>
              </w:rPr>
            </w:r>
            <w:r w:rsidR="00DE2213" w:rsidRPr="00DE2213">
              <w:rPr>
                <w:noProof/>
                <w:webHidden/>
              </w:rPr>
              <w:fldChar w:fldCharType="separate"/>
            </w:r>
            <w:r w:rsidR="004B76AA">
              <w:rPr>
                <w:noProof/>
                <w:webHidden/>
              </w:rPr>
              <w:t>23</w:t>
            </w:r>
            <w:r w:rsidR="00DE2213" w:rsidRPr="00DE2213">
              <w:rPr>
                <w:noProof/>
                <w:webHidden/>
              </w:rPr>
              <w:fldChar w:fldCharType="end"/>
            </w:r>
          </w:hyperlink>
        </w:p>
        <w:p w14:paraId="6EFA7857" w14:textId="77777777" w:rsidR="00DE2213" w:rsidRPr="00DE2213" w:rsidRDefault="006B1E3D" w:rsidP="00146978">
          <w:pPr>
            <w:pStyle w:val="Sumrio1"/>
            <w:tabs>
              <w:tab w:val="right" w:leader="dot" w:pos="8494"/>
            </w:tabs>
            <w:spacing w:before="120" w:after="200"/>
            <w:rPr>
              <w:rFonts w:asciiTheme="minorHAnsi" w:eastAsiaTheme="minorEastAsia" w:hAnsiTheme="minorHAnsi" w:cstheme="minorBidi"/>
              <w:noProof/>
              <w:sz w:val="22"/>
              <w:szCs w:val="22"/>
            </w:rPr>
          </w:pPr>
          <w:hyperlink w:anchor="_Toc51774603" w:history="1">
            <w:r w:rsidR="00DE2213" w:rsidRPr="00DE2213">
              <w:rPr>
                <w:rStyle w:val="Hyperlink"/>
                <w:noProof/>
                <w:color w:val="auto"/>
              </w:rPr>
              <w:t>APÊNDICE A – Testes de permutação com variáveis defasadas</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_Toc51774603 \h </w:instrText>
            </w:r>
            <w:r w:rsidR="00DE2213" w:rsidRPr="00DE2213">
              <w:rPr>
                <w:noProof/>
                <w:webHidden/>
              </w:rPr>
            </w:r>
            <w:r w:rsidR="00DE2213" w:rsidRPr="00DE2213">
              <w:rPr>
                <w:noProof/>
                <w:webHidden/>
              </w:rPr>
              <w:fldChar w:fldCharType="separate"/>
            </w:r>
            <w:r w:rsidR="004B76AA">
              <w:rPr>
                <w:noProof/>
                <w:webHidden/>
              </w:rPr>
              <w:t>26</w:t>
            </w:r>
            <w:r w:rsidR="00DE2213" w:rsidRPr="00DE2213">
              <w:rPr>
                <w:noProof/>
                <w:webHidden/>
              </w:rPr>
              <w:fldChar w:fldCharType="end"/>
            </w:r>
          </w:hyperlink>
        </w:p>
        <w:p w14:paraId="19E7A675" w14:textId="77777777" w:rsidR="00DE2213" w:rsidRPr="00DE2213" w:rsidRDefault="006B1E3D" w:rsidP="00146978">
          <w:pPr>
            <w:pStyle w:val="Sumrio1"/>
            <w:tabs>
              <w:tab w:val="right" w:leader="dot" w:pos="8494"/>
            </w:tabs>
            <w:spacing w:before="120" w:after="200"/>
            <w:rPr>
              <w:rFonts w:asciiTheme="minorHAnsi" w:eastAsiaTheme="minorEastAsia" w:hAnsiTheme="minorHAnsi" w:cstheme="minorBidi"/>
              <w:noProof/>
              <w:sz w:val="22"/>
              <w:szCs w:val="22"/>
            </w:rPr>
          </w:pPr>
          <w:hyperlink w:anchor="_Toc51774604" w:history="1">
            <w:r w:rsidR="00DE2213" w:rsidRPr="00DE2213">
              <w:rPr>
                <w:rStyle w:val="Hyperlink"/>
                <w:noProof/>
                <w:color w:val="auto"/>
              </w:rPr>
              <w:t>APÊNDICE B – Testes de permutação com o ano de 2012 como intervenção</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_Toc51774604 \h </w:instrText>
            </w:r>
            <w:r w:rsidR="00DE2213" w:rsidRPr="00DE2213">
              <w:rPr>
                <w:noProof/>
                <w:webHidden/>
              </w:rPr>
            </w:r>
            <w:r w:rsidR="00DE2213" w:rsidRPr="00DE2213">
              <w:rPr>
                <w:noProof/>
                <w:webHidden/>
              </w:rPr>
              <w:fldChar w:fldCharType="separate"/>
            </w:r>
            <w:r w:rsidR="004B76AA">
              <w:rPr>
                <w:noProof/>
                <w:webHidden/>
              </w:rPr>
              <w:t>28</w:t>
            </w:r>
            <w:r w:rsidR="00DE2213" w:rsidRPr="00DE2213">
              <w:rPr>
                <w:noProof/>
                <w:webHidden/>
              </w:rPr>
              <w:fldChar w:fldCharType="end"/>
            </w:r>
          </w:hyperlink>
        </w:p>
        <w:p w14:paraId="66E98BED" w14:textId="77777777" w:rsidR="00DE2213" w:rsidRPr="00DE2213" w:rsidRDefault="006B1E3D" w:rsidP="00146978">
          <w:pPr>
            <w:pStyle w:val="Sumrio1"/>
            <w:tabs>
              <w:tab w:val="right" w:leader="dot" w:pos="8494"/>
            </w:tabs>
            <w:spacing w:before="120" w:after="200"/>
            <w:rPr>
              <w:rFonts w:asciiTheme="minorHAnsi" w:eastAsiaTheme="minorEastAsia" w:hAnsiTheme="minorHAnsi" w:cstheme="minorBidi"/>
              <w:noProof/>
              <w:sz w:val="22"/>
              <w:szCs w:val="22"/>
            </w:rPr>
          </w:pPr>
          <w:hyperlink w:anchor="_Toc51774605" w:history="1">
            <w:r w:rsidR="00DE2213" w:rsidRPr="00DE2213">
              <w:rPr>
                <w:rStyle w:val="Hyperlink"/>
                <w:noProof/>
                <w:color w:val="auto"/>
              </w:rPr>
              <w:t>APÊNDICE C – Testes de permutação como os países em desenvolvimento</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_Toc51774605 \h </w:instrText>
            </w:r>
            <w:r w:rsidR="00DE2213" w:rsidRPr="00DE2213">
              <w:rPr>
                <w:noProof/>
                <w:webHidden/>
              </w:rPr>
            </w:r>
            <w:r w:rsidR="00DE2213" w:rsidRPr="00DE2213">
              <w:rPr>
                <w:noProof/>
                <w:webHidden/>
              </w:rPr>
              <w:fldChar w:fldCharType="separate"/>
            </w:r>
            <w:r w:rsidR="004B76AA">
              <w:rPr>
                <w:noProof/>
                <w:webHidden/>
              </w:rPr>
              <w:t>31</w:t>
            </w:r>
            <w:r w:rsidR="00DE2213" w:rsidRPr="00DE2213">
              <w:rPr>
                <w:noProof/>
                <w:webHidden/>
              </w:rPr>
              <w:fldChar w:fldCharType="end"/>
            </w:r>
          </w:hyperlink>
        </w:p>
        <w:p w14:paraId="28A9F07F" w14:textId="77777777" w:rsidR="00DE2213" w:rsidRPr="00DE2213" w:rsidRDefault="006B1E3D" w:rsidP="00146978">
          <w:pPr>
            <w:pStyle w:val="Sumrio1"/>
            <w:tabs>
              <w:tab w:val="right" w:leader="dot" w:pos="8494"/>
            </w:tabs>
            <w:spacing w:before="120" w:after="200"/>
            <w:rPr>
              <w:rFonts w:asciiTheme="minorHAnsi" w:eastAsiaTheme="minorEastAsia" w:hAnsiTheme="minorHAnsi" w:cstheme="minorBidi"/>
              <w:noProof/>
              <w:sz w:val="22"/>
              <w:szCs w:val="22"/>
            </w:rPr>
          </w:pPr>
          <w:hyperlink w:anchor="_Toc51774606" w:history="1">
            <w:r w:rsidR="00DE2213" w:rsidRPr="00DE2213">
              <w:rPr>
                <w:rStyle w:val="Hyperlink"/>
                <w:noProof/>
                <w:color w:val="auto"/>
              </w:rPr>
              <w:t>APÊNDICE D –  Testes de permutação com todos os países em desenvolvimento, com a exceção da Argentina.</w:t>
            </w:r>
            <w:r w:rsidR="00DE2213" w:rsidRPr="00DE2213">
              <w:rPr>
                <w:noProof/>
                <w:webHidden/>
              </w:rPr>
              <w:tab/>
            </w:r>
            <w:r w:rsidR="00DE2213" w:rsidRPr="00DE2213">
              <w:rPr>
                <w:noProof/>
                <w:webHidden/>
              </w:rPr>
              <w:fldChar w:fldCharType="begin"/>
            </w:r>
            <w:r w:rsidR="00DE2213" w:rsidRPr="00DE2213">
              <w:rPr>
                <w:noProof/>
                <w:webHidden/>
              </w:rPr>
              <w:instrText xml:space="preserve"> PAGEREF _Toc51774606 \h </w:instrText>
            </w:r>
            <w:r w:rsidR="00DE2213" w:rsidRPr="00DE2213">
              <w:rPr>
                <w:noProof/>
                <w:webHidden/>
              </w:rPr>
            </w:r>
            <w:r w:rsidR="00DE2213" w:rsidRPr="00DE2213">
              <w:rPr>
                <w:noProof/>
                <w:webHidden/>
              </w:rPr>
              <w:fldChar w:fldCharType="separate"/>
            </w:r>
            <w:r w:rsidR="004B76AA">
              <w:rPr>
                <w:noProof/>
                <w:webHidden/>
              </w:rPr>
              <w:t>33</w:t>
            </w:r>
            <w:r w:rsidR="00DE2213" w:rsidRPr="00DE2213">
              <w:rPr>
                <w:noProof/>
                <w:webHidden/>
              </w:rPr>
              <w:fldChar w:fldCharType="end"/>
            </w:r>
          </w:hyperlink>
        </w:p>
        <w:p w14:paraId="175FFAAA" w14:textId="327A5AC5" w:rsidR="00290949" w:rsidRDefault="00290949" w:rsidP="00146978">
          <w:pPr>
            <w:spacing w:before="120" w:after="200"/>
          </w:pPr>
          <w:r w:rsidRPr="00DE2213">
            <w:rPr>
              <w:b/>
              <w:bCs/>
            </w:rPr>
            <w:fldChar w:fldCharType="end"/>
          </w:r>
        </w:p>
      </w:sdtContent>
    </w:sdt>
    <w:p w14:paraId="58473F36" w14:textId="77777777" w:rsidR="00BF7092" w:rsidRDefault="00BF7092" w:rsidP="00BF7092">
      <w:pPr>
        <w:pStyle w:val="PargrafodaLista"/>
        <w:spacing w:line="360" w:lineRule="auto"/>
        <w:jc w:val="both"/>
        <w:outlineLvl w:val="0"/>
        <w:rPr>
          <w:rFonts w:ascii="Times New Roman" w:hAnsi="Times New Roman" w:cs="Times New Roman"/>
          <w:b/>
          <w:smallCaps/>
        </w:rPr>
      </w:pPr>
      <w:bookmarkStart w:id="0" w:name="_Toc51774591"/>
    </w:p>
    <w:p w14:paraId="4050E1B8"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79F02748"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0D1FF463"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1DEF3DC7"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7E21BD87"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6F70D3C2"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5678B316"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6F7B2556" w14:textId="77777777" w:rsidR="00BF7092" w:rsidRDefault="00BF7092" w:rsidP="00BF7092">
      <w:pPr>
        <w:pStyle w:val="PargrafodaLista"/>
        <w:spacing w:line="360" w:lineRule="auto"/>
        <w:jc w:val="both"/>
        <w:outlineLvl w:val="0"/>
        <w:rPr>
          <w:rFonts w:ascii="Times New Roman" w:hAnsi="Times New Roman" w:cs="Times New Roman"/>
          <w:b/>
          <w:smallCaps/>
        </w:rPr>
      </w:pPr>
    </w:p>
    <w:p w14:paraId="7DF3B84F" w14:textId="77777777" w:rsidR="008019E2" w:rsidRDefault="008019E2" w:rsidP="00BF7092">
      <w:pPr>
        <w:pStyle w:val="PargrafodaLista"/>
        <w:spacing w:line="360" w:lineRule="auto"/>
        <w:jc w:val="both"/>
        <w:outlineLvl w:val="0"/>
        <w:rPr>
          <w:rFonts w:ascii="Times New Roman" w:hAnsi="Times New Roman" w:cs="Times New Roman"/>
          <w:b/>
          <w:smallCaps/>
        </w:rPr>
        <w:sectPr w:rsidR="008019E2" w:rsidSect="009156FC">
          <w:footerReference w:type="default" r:id="rId10"/>
          <w:pgSz w:w="11906" w:h="16838"/>
          <w:pgMar w:top="1417" w:right="1701" w:bottom="1417" w:left="1701" w:header="708" w:footer="708" w:gutter="0"/>
          <w:pgNumType w:start="1"/>
          <w:cols w:space="708"/>
          <w:docGrid w:linePitch="360"/>
        </w:sectPr>
      </w:pPr>
    </w:p>
    <w:p w14:paraId="625445FB" w14:textId="45022289" w:rsidR="00BF7092" w:rsidRDefault="00BF7092" w:rsidP="00BF7092">
      <w:pPr>
        <w:pStyle w:val="PargrafodaLista"/>
        <w:spacing w:line="360" w:lineRule="auto"/>
        <w:jc w:val="both"/>
        <w:outlineLvl w:val="0"/>
        <w:rPr>
          <w:rFonts w:ascii="Times New Roman" w:hAnsi="Times New Roman" w:cs="Times New Roman"/>
          <w:b/>
          <w:smallCaps/>
        </w:rPr>
      </w:pPr>
    </w:p>
    <w:p w14:paraId="7F37ADD3" w14:textId="35C121EF" w:rsidR="00125289" w:rsidRPr="005F4CD0" w:rsidRDefault="005F4CD0" w:rsidP="00290949">
      <w:pPr>
        <w:pStyle w:val="PargrafodaLista"/>
        <w:numPr>
          <w:ilvl w:val="0"/>
          <w:numId w:val="13"/>
        </w:numPr>
        <w:spacing w:line="360" w:lineRule="auto"/>
        <w:jc w:val="both"/>
        <w:outlineLvl w:val="0"/>
        <w:rPr>
          <w:rFonts w:ascii="Times New Roman" w:hAnsi="Times New Roman" w:cs="Times New Roman"/>
          <w:b/>
          <w:smallCaps/>
        </w:rPr>
      </w:pPr>
      <w:r w:rsidRPr="005F4CD0">
        <w:rPr>
          <w:rFonts w:ascii="Times New Roman" w:hAnsi="Times New Roman" w:cs="Times New Roman"/>
          <w:b/>
          <w:smallCaps/>
        </w:rPr>
        <w:t>INTRODUÇÃO.</w:t>
      </w:r>
      <w:bookmarkEnd w:id="0"/>
    </w:p>
    <w:p w14:paraId="2BA0A427" w14:textId="119A3173" w:rsidR="00125289" w:rsidRPr="000C0613" w:rsidRDefault="00125289" w:rsidP="00C570E0">
      <w:pPr>
        <w:spacing w:line="360" w:lineRule="auto"/>
        <w:ind w:firstLine="851"/>
        <w:jc w:val="both"/>
      </w:pPr>
      <w:r w:rsidRPr="000C0613">
        <w:t>Desde a década de 90, o Brasil obteve melhor</w:t>
      </w:r>
      <w:r w:rsidR="004D411E">
        <w:t>i</w:t>
      </w:r>
      <w:r w:rsidRPr="000C0613">
        <w:t xml:space="preserve">as institucionais das políticas regulatórias e de defesa da concorrência. Com </w:t>
      </w:r>
      <w:r w:rsidR="007D46C1">
        <w:t xml:space="preserve">a </w:t>
      </w:r>
      <w:r w:rsidRPr="000C0613">
        <w:t>abertura econômica</w:t>
      </w:r>
      <w:r w:rsidR="00C77C4E" w:rsidRPr="000C0613">
        <w:t>, houve a neces</w:t>
      </w:r>
      <w:r w:rsidR="00567776">
        <w:t>sidade de um ajuste do</w:t>
      </w:r>
      <w:r w:rsidRPr="000C0613">
        <w:t xml:space="preserve"> papel do Estado brasileiro</w:t>
      </w:r>
      <w:r w:rsidR="002C309C">
        <w:t>,</w:t>
      </w:r>
      <w:r w:rsidR="00E34E96" w:rsidRPr="000C0613">
        <w:t xml:space="preserve"> </w:t>
      </w:r>
      <w:r w:rsidR="002C309C">
        <w:t>o qual</w:t>
      </w:r>
      <w:r w:rsidR="00C77C4E" w:rsidRPr="000C0613">
        <w:t xml:space="preserve"> demandou a criação de um arca</w:t>
      </w:r>
      <w:r w:rsidRPr="000C0613">
        <w:t>bouço legal e institucional que amparasse</w:t>
      </w:r>
      <w:r w:rsidR="00567776">
        <w:t xml:space="preserve"> estas mudanças</w:t>
      </w:r>
      <w:r w:rsidR="00F87F1B">
        <w:t>.</w:t>
      </w:r>
    </w:p>
    <w:p w14:paraId="4CC636B9" w14:textId="68429640" w:rsidR="00A1184F" w:rsidRPr="000C0613" w:rsidRDefault="004B7918" w:rsidP="00C570E0">
      <w:pPr>
        <w:spacing w:line="360" w:lineRule="auto"/>
        <w:ind w:firstLine="851"/>
        <w:jc w:val="both"/>
      </w:pPr>
      <w:r w:rsidRPr="000C0613">
        <w:t>No âm</w:t>
      </w:r>
      <w:r w:rsidR="00464561" w:rsidRPr="000C0613">
        <w:t>bito da defesa da concorrência, o Brasil realizou diversas alterações legislativas sobre o tema</w:t>
      </w:r>
      <w:r w:rsidR="00A1184F" w:rsidRPr="000C0613">
        <w:t xml:space="preserve"> das quais resultaram na </w:t>
      </w:r>
      <w:r w:rsidR="001D2ACC">
        <w:t>Lei 12.529/</w:t>
      </w:r>
      <w:r w:rsidR="001D2ACC">
        <w:fldChar w:fldCharType="begin" w:fldLock="1"/>
      </w:r>
      <w:r w:rsidR="00B7336C">
        <w:instrText>ADDIN CSL_CITATION {"citationItems":[{"id":"ITEM-1","itemData":{"abstract":"Estrutura o Sistema Brasileiro de Defesa da Concorrência; dispõe sobre a prevenção e repressão às infrações contra a ordem econômica; altera a Lei nº 8.137, de 27 de dezembro de 1990, o Decreto-Lei nº 3.689, de 3 de outubro de 1941 - Código de Processo Penal, e a Lei nº 7.347, de 24 de julho de 1985; revoga dispositivos da Lei nº 8.884, de 11 de junho de 1994, e a Lei nº 9.781, de 19 de janeiro de 1999; e dá outras providências.","author":[{"dropping-particle":"","family":"BRASIL","given":"","non-dropping-particle":"","parse-names":false,"suffix":""}],"id":"ITEM-1","issued":{"date-parts":[["0"]]},"publisher":"strutura o Sistema Brasileiro de Defesa da Concorrência; dispõe sobre a prevenção e repressão às infrações contra a ordem econômica;","publisher-place":"Brsília","title":"Lei nº 12.529, de 30 de novembro de 2011","type":"bill"},"label":"chapter","suppress-author":1,"uris":["http://www.mendeley.com/documents/?uuid=1d3b35f8-66b4-4d1f-92ea-69c95b75fcd0"]}],"mendeley":{"formattedCitation":"(2011)","manualFormatting":"2011"},"properties":{"noteIndex":0},"schema":"https://github.com/citation-style-language/schema/raw/master/csl-citation.json"}</w:instrText>
      </w:r>
      <w:r w:rsidR="001D2ACC">
        <w:fldChar w:fldCharType="separate"/>
      </w:r>
      <w:r w:rsidR="001D2ACC" w:rsidRPr="001D2ACC">
        <w:rPr>
          <w:noProof/>
        </w:rPr>
        <w:t>2011</w:t>
      </w:r>
      <w:r w:rsidR="001D2ACC">
        <w:fldChar w:fldCharType="end"/>
      </w:r>
      <w:r w:rsidR="00647EB3">
        <w:t>,</w:t>
      </w:r>
      <w:r w:rsidR="001D2ACC">
        <w:t xml:space="preserve"> </w:t>
      </w:r>
      <w:r w:rsidRPr="000C0613">
        <w:t xml:space="preserve">que </w:t>
      </w:r>
      <w:r w:rsidR="001B4209" w:rsidRPr="000C0613">
        <w:t>re</w:t>
      </w:r>
      <w:r w:rsidRPr="000C0613">
        <w:t xml:space="preserve">estruturou Sistema Brasileiro de Defesa da Concorrência. </w:t>
      </w:r>
      <w:r w:rsidR="00464561" w:rsidRPr="000C0613">
        <w:t>Este foi um novo marco regulatório na área de defesa da concorrência e da prevenção e repressão às infrações contra a ordem econômica</w:t>
      </w:r>
      <w:r w:rsidR="00A1184F" w:rsidRPr="000C0613">
        <w:t xml:space="preserve">, inclusive aumentando as atribuições e competência do Conselho Administrativo de Defesa Econômica – </w:t>
      </w:r>
      <w:proofErr w:type="spellStart"/>
      <w:r w:rsidR="00A1184F" w:rsidRPr="000C0613">
        <w:t>Cade</w:t>
      </w:r>
      <w:proofErr w:type="spellEnd"/>
      <w:r w:rsidR="00A1184F" w:rsidRPr="000C0613">
        <w:t xml:space="preserve">. </w:t>
      </w:r>
    </w:p>
    <w:p w14:paraId="6B2E26C7" w14:textId="0570D650" w:rsidR="00464561" w:rsidRPr="000C0613" w:rsidRDefault="00464561" w:rsidP="00C570E0">
      <w:pPr>
        <w:spacing w:line="360" w:lineRule="auto"/>
        <w:ind w:firstLine="851"/>
        <w:jc w:val="both"/>
      </w:pPr>
      <w:r w:rsidRPr="000C0613">
        <w:t>Embora as mudanças</w:t>
      </w:r>
      <w:r w:rsidR="004B3838">
        <w:t xml:space="preserve"> trazidas pela nova legislação</w:t>
      </w:r>
      <w:r w:rsidRPr="000C0613">
        <w:t xml:space="preserve"> tenham impacto em diversos aspectos </w:t>
      </w:r>
      <w:r w:rsidR="00A1184F" w:rsidRPr="000C0613">
        <w:t>da defesa da concorrência</w:t>
      </w:r>
      <w:r w:rsidRPr="000C0613">
        <w:t xml:space="preserve">, para fins deste artigo, trataremos de uma </w:t>
      </w:r>
      <w:r w:rsidR="004B3838">
        <w:t xml:space="preserve">das alterações do </w:t>
      </w:r>
      <w:proofErr w:type="spellStart"/>
      <w:r w:rsidR="004B3838">
        <w:t>C</w:t>
      </w:r>
      <w:r w:rsidR="00A1184F" w:rsidRPr="000C0613">
        <w:t>ade</w:t>
      </w:r>
      <w:proofErr w:type="spellEnd"/>
      <w:r w:rsidR="00A1184F" w:rsidRPr="000C0613">
        <w:t xml:space="preserve"> em particular</w:t>
      </w:r>
      <w:r w:rsidRPr="000C0613">
        <w:t>:</w:t>
      </w:r>
      <w:r w:rsidR="00197255">
        <w:t xml:space="preserve"> a mudança de um regime a posteriori para um regime prévio de análise de atos de concentração. </w:t>
      </w:r>
    </w:p>
    <w:p w14:paraId="14A8A2D2" w14:textId="59250612" w:rsidR="00BE579F" w:rsidRDefault="004B3838" w:rsidP="00C570E0">
      <w:pPr>
        <w:spacing w:line="360" w:lineRule="auto"/>
        <w:ind w:firstLine="851"/>
        <w:jc w:val="both"/>
      </w:pPr>
      <w:r>
        <w:t>Ne</w:t>
      </w:r>
      <w:r w:rsidR="002C309C">
        <w:t>sse</w:t>
      </w:r>
      <w:r>
        <w:t xml:space="preserve"> sentido, </w:t>
      </w:r>
      <w:r w:rsidR="00455066">
        <w:t xml:space="preserve">quando ainda da vigência da </w:t>
      </w:r>
      <w:r w:rsidRPr="000C0613">
        <w:t>Lei nº 8.884</w:t>
      </w:r>
      <w:r w:rsidR="00455066">
        <w:t>/1994</w:t>
      </w:r>
      <w:r w:rsidR="00BE579F">
        <w:t>,</w:t>
      </w:r>
      <w:r w:rsidR="00455066">
        <w:t xml:space="preserve"> </w:t>
      </w:r>
      <w:r w:rsidR="00A06513">
        <w:t xml:space="preserve">o controle de atos de concentração era feito </w:t>
      </w:r>
      <w:r w:rsidR="00A06513" w:rsidRPr="00BF7092">
        <w:rPr>
          <w:i/>
        </w:rPr>
        <w:t>a posteriori</w:t>
      </w:r>
      <w:r w:rsidR="00A06513">
        <w:t>: após as empresas realizarem as operações de fusões ou aquisições</w:t>
      </w:r>
      <w:r w:rsidR="00BF7092">
        <w:t>, estas operações era</w:t>
      </w:r>
      <w:r w:rsidR="00EC4B8D">
        <w:t xml:space="preserve">m </w:t>
      </w:r>
      <w:r w:rsidR="00116B0B">
        <w:t>submetidas ao</w:t>
      </w:r>
      <w:r w:rsidR="00E945F9">
        <w:t xml:space="preserve"> </w:t>
      </w:r>
      <w:proofErr w:type="spellStart"/>
      <w:r w:rsidR="00E945F9">
        <w:t>Cade</w:t>
      </w:r>
      <w:proofErr w:type="spellEnd"/>
      <w:r w:rsidR="00EC4B8D">
        <w:t xml:space="preserve"> para que este deliberasse</w:t>
      </w:r>
      <w:r w:rsidR="00A06513">
        <w:t xml:space="preserve"> sobre a aprovaç</w:t>
      </w:r>
      <w:r w:rsidR="00EC4B8D">
        <w:t>ão ou não do ato de concentração</w:t>
      </w:r>
      <w:r w:rsidR="00DD34F6">
        <w:t>.</w:t>
      </w:r>
    </w:p>
    <w:p w14:paraId="64929CBF" w14:textId="4D3FC672" w:rsidR="00020BC8" w:rsidRPr="000C0613" w:rsidRDefault="00A1184F" w:rsidP="00116B0B">
      <w:pPr>
        <w:spacing w:line="360" w:lineRule="auto"/>
        <w:ind w:firstLine="708"/>
        <w:jc w:val="both"/>
      </w:pPr>
      <w:r w:rsidRPr="000C0613">
        <w:t>Com a mudança legal</w:t>
      </w:r>
      <w:r w:rsidR="00455066">
        <w:t xml:space="preserve"> trazida pela lei vigente</w:t>
      </w:r>
      <w:r w:rsidRPr="000C0613">
        <w:t>,</w:t>
      </w:r>
      <w:r w:rsidR="002C309C">
        <w:t xml:space="preserve"> os</w:t>
      </w:r>
      <w:r w:rsidR="00455066">
        <w:t xml:space="preserve"> </w:t>
      </w:r>
      <w:r w:rsidR="002A4ADF" w:rsidRPr="000C0613">
        <w:t xml:space="preserve">atos de concentração </w:t>
      </w:r>
      <w:r w:rsidR="00BE579F">
        <w:t>passaram a ser</w:t>
      </w:r>
      <w:r w:rsidR="00455066">
        <w:t xml:space="preserve"> </w:t>
      </w:r>
      <w:r w:rsidR="002C309C">
        <w:t xml:space="preserve">realizados sob um regime </w:t>
      </w:r>
      <w:r w:rsidR="00BE579F">
        <w:t xml:space="preserve">de </w:t>
      </w:r>
      <w:r w:rsidR="002C309C">
        <w:t>controle prévio</w:t>
      </w:r>
      <w:r w:rsidR="0070273E">
        <w:t>. Isto é,</w:t>
      </w:r>
      <w:r w:rsidR="00E945F9">
        <w:t xml:space="preserve"> </w:t>
      </w:r>
      <w:r w:rsidR="0070273E">
        <w:t xml:space="preserve">as </w:t>
      </w:r>
      <w:r w:rsidR="00BE579F">
        <w:t xml:space="preserve">empresas </w:t>
      </w:r>
      <w:r w:rsidR="0070273E">
        <w:t>devem</w:t>
      </w:r>
      <w:r w:rsidR="00BE579F">
        <w:t xml:space="preserve"> a notificar o </w:t>
      </w:r>
      <w:proofErr w:type="spellStart"/>
      <w:r w:rsidR="00BE579F">
        <w:t>Cade</w:t>
      </w:r>
      <w:proofErr w:type="spellEnd"/>
      <w:r w:rsidR="00BE579F">
        <w:t xml:space="preserve"> antes </w:t>
      </w:r>
      <w:r w:rsidR="00626626">
        <w:t>de efetivarem as operações de fusões e aquisições</w:t>
      </w:r>
      <w:r w:rsidR="00DD34F6">
        <w:t>.</w:t>
      </w:r>
    </w:p>
    <w:p w14:paraId="67944059" w14:textId="3D752A37" w:rsidR="00826B0B" w:rsidRPr="000C0613" w:rsidRDefault="00826B0B" w:rsidP="00C570E0">
      <w:pPr>
        <w:spacing w:line="360" w:lineRule="auto"/>
        <w:ind w:firstLine="851"/>
        <w:jc w:val="both"/>
      </w:pPr>
      <w:r w:rsidRPr="000C0613">
        <w:t xml:space="preserve">Dessa forma, </w:t>
      </w:r>
      <w:r w:rsidR="00DD34F6">
        <w:t xml:space="preserve">a </w:t>
      </w:r>
      <w:r w:rsidRPr="000C0613">
        <w:t xml:space="preserve">intuição econômica </w:t>
      </w:r>
      <w:r w:rsidR="0070273E">
        <w:t>d</w:t>
      </w:r>
      <w:r w:rsidRPr="000C0613">
        <w:t>este estudo é que, na v</w:t>
      </w:r>
      <w:r w:rsidR="00E56585">
        <w:t xml:space="preserve">igência da legislação anterior – de controle </w:t>
      </w:r>
      <w:r w:rsidR="00E56585" w:rsidRPr="00E56585">
        <w:rPr>
          <w:i/>
        </w:rPr>
        <w:t>a posteriori</w:t>
      </w:r>
      <w:r w:rsidR="00E56585">
        <w:t xml:space="preserve"> </w:t>
      </w:r>
      <w:r w:rsidR="00CF4E4B">
        <w:t xml:space="preserve">de atos de concentração </w:t>
      </w:r>
      <w:r w:rsidR="00E56585">
        <w:t xml:space="preserve">– </w:t>
      </w:r>
      <w:r w:rsidRPr="000C0613">
        <w:t xml:space="preserve">gerava-se uma insegurança jurídica para as empresas estrangeiras que teriam interesse em </w:t>
      </w:r>
      <w:r w:rsidR="00E56585">
        <w:t>adquirir uma empresa nacional</w:t>
      </w:r>
      <w:r w:rsidR="00A1184F" w:rsidRPr="000C0613">
        <w:t>.</w:t>
      </w:r>
      <w:r w:rsidR="009F00B7" w:rsidRPr="000C0613">
        <w:t xml:space="preserve"> Assim, ao se trocar</w:t>
      </w:r>
      <w:r w:rsidR="00CF4E4B">
        <w:t xml:space="preserve"> a regra de</w:t>
      </w:r>
      <w:r w:rsidR="009F00B7" w:rsidRPr="000C0613">
        <w:t xml:space="preserve"> um controle posterior para um controle prévio</w:t>
      </w:r>
      <w:r w:rsidR="00CF4E4B">
        <w:t>,</w:t>
      </w:r>
      <w:r w:rsidR="009F00B7" w:rsidRPr="000C0613">
        <w:t xml:space="preserve"> </w:t>
      </w:r>
      <w:r w:rsidR="00D1269B">
        <w:t>pode-se conjecturar que esta mudança cria incentivos para um</w:t>
      </w:r>
      <w:r w:rsidR="00CF4E4B">
        <w:t xml:space="preserve"> maior </w:t>
      </w:r>
      <w:r w:rsidR="00D1269B">
        <w:t xml:space="preserve">interesse </w:t>
      </w:r>
      <w:r w:rsidR="00CF4E4B">
        <w:t>em</w:t>
      </w:r>
      <w:r w:rsidR="009F00B7" w:rsidRPr="000C0613">
        <w:t xml:space="preserve"> fusões e aquisições estrangeiras no Brasil.</w:t>
      </w:r>
    </w:p>
    <w:p w14:paraId="3D7584ED" w14:textId="46AC55A7" w:rsidR="009F00B7" w:rsidRPr="000C0613" w:rsidRDefault="002E1E54" w:rsidP="00C570E0">
      <w:pPr>
        <w:spacing w:line="360" w:lineRule="auto"/>
        <w:ind w:firstLine="851"/>
        <w:jc w:val="both"/>
      </w:pPr>
      <w:r>
        <w:t>O</w:t>
      </w:r>
      <w:r w:rsidR="0039383D" w:rsidRPr="000C0613">
        <w:t xml:space="preserve">s dados sobre fusões e aquisições </w:t>
      </w:r>
      <w:r w:rsidR="00F011EE" w:rsidRPr="000C0613">
        <w:t>internacionais disponíveis</w:t>
      </w:r>
      <w:r w:rsidR="0039383D" w:rsidRPr="000C0613">
        <w:t xml:space="preserve"> mostram que </w:t>
      </w:r>
      <w:r w:rsidR="001D5C71">
        <w:t>no</w:t>
      </w:r>
      <w:r w:rsidR="001D5C71" w:rsidRPr="000C0613">
        <w:t xml:space="preserve"> </w:t>
      </w:r>
      <w:r w:rsidR="0039383D" w:rsidRPr="000C0613">
        <w:t xml:space="preserve">ano anterior da vigência da lei para o seu primeiro ano em vigor o número de fusões e aquisição </w:t>
      </w:r>
      <w:r w:rsidR="001D5C71">
        <w:t>passaram</w:t>
      </w:r>
      <w:r w:rsidR="001D5C71" w:rsidRPr="000C0613">
        <w:t xml:space="preserve"> </w:t>
      </w:r>
      <w:r w:rsidR="0039383D" w:rsidRPr="000C0613">
        <w:t xml:space="preserve">de </w:t>
      </w:r>
      <w:r w:rsidR="00450D6A" w:rsidRPr="000C0613">
        <w:t>129 para 195</w:t>
      </w:r>
      <w:r w:rsidR="0039383D" w:rsidRPr="000C0613">
        <w:t xml:space="preserve"> </w:t>
      </w:r>
      <w:r w:rsidR="00450D6A" w:rsidRPr="000C0613">
        <w:t>operações</w:t>
      </w:r>
      <w:r>
        <w:t xml:space="preserve"> (</w:t>
      </w:r>
      <w:r w:rsidRPr="000C0613">
        <w:t xml:space="preserve">UNCTAD </w:t>
      </w:r>
      <w:r w:rsidRPr="000C0613">
        <w:fldChar w:fldCharType="begin" w:fldLock="1"/>
      </w:r>
      <w:r w:rsidR="009156FC">
        <w:instrText>ADDIN CSL_CITATION {"citationItems":[{"id":"ITEM-1","itemData":{"ISBN":"9789211128284","abstract":"Prospects for foreign direct investment (FDI) continue to be fraught with risks and uncertainties. At $1.5 trillion, flows of global FDI exceeded pre-financial crisis levels in 2011, but the recovery is expected to level off in 2012 at an estimated $1.6 trillion. Despite record cash holdings, transnational corporations have yet to convert available cash into new and sustained FDI, and are unlikely to do so while instability remains in international financial markets. Even so, half of the global total will flow to developing and transition economies, underlining the important development role that FDI can play, including in least developed countries. A broader development policy agenda is emerging that has inclusive and sustainable development goals at its core. For investment policy, this new paradigm poses specific challenges. At the national level they include integrating investment policy into development strategy, incorporating sustainable development objectives, and ensuring relevance and effectiveness. At the international level it is necessary to strengthen the development dimension of international investment agreements, manage their complexity, and balance the rights and obligations of States and investors. Against this background, this year’s World Investment Report unveils the UNCTAD Investment Policy Framework for Sustainable Development. Mobilizing investment for sustainable development is essential in this era of persistent crises and pressing social and environmental challenges. As we look ahead to the post-2015 development framework, I commend this important tool for the international investment community","author":[{"dropping-particle":"","family":"UNCTAD. UNITED NATIONS CONFERENCE ON TRADE AND DEVELOPMENT","given":"","non-dropping-particle":"","parse-names":false,"suffix":""}],"id":"ITEM-1","issue":"June","issued":{"date-parts":[["2019"]]},"title":"World Investment Report 2019","type":"report"},"label":"chapter","suppress-author":1,"uris":["http://www.mendeley.com/documents/?uuid=747a0725-cb91-4242-aa5b-5191542f7bd5"]}],"mendeley":{"formattedCitation":"(2019a)","plainTextFormattedCitation":"(2019a)","previouslyFormattedCitation":"(2019a)"},"properties":{"noteIndex":0},"schema":"https://github.com/citation-style-language/schema/raw/master/csl-citation.json"}</w:instrText>
      </w:r>
      <w:r w:rsidRPr="000C0613">
        <w:fldChar w:fldCharType="separate"/>
      </w:r>
      <w:r w:rsidR="009156FC" w:rsidRPr="009156FC">
        <w:rPr>
          <w:noProof/>
        </w:rPr>
        <w:t>(2019a)</w:t>
      </w:r>
      <w:r w:rsidRPr="000C0613">
        <w:fldChar w:fldCharType="end"/>
      </w:r>
      <w:r>
        <w:t xml:space="preserve">. </w:t>
      </w:r>
      <w:r w:rsidR="0039383D" w:rsidRPr="000C0613">
        <w:t xml:space="preserve"> </w:t>
      </w:r>
      <w:r>
        <w:t>Ou seja,</w:t>
      </w:r>
      <w:r w:rsidR="0039383D" w:rsidRPr="000C0613">
        <w:t xml:space="preserve"> do ano de </w:t>
      </w:r>
      <w:r w:rsidR="0039383D" w:rsidRPr="000C0613">
        <w:lastRenderedPageBreak/>
        <w:t>2011</w:t>
      </w:r>
      <w:r w:rsidR="00450D6A" w:rsidRPr="000C0613">
        <w:t xml:space="preserve"> para 2012</w:t>
      </w:r>
      <w:r>
        <w:t>,</w:t>
      </w:r>
      <w:r w:rsidR="00450D6A" w:rsidRPr="000C0613">
        <w:t xml:space="preserve"> houve um aumento de 51%</w:t>
      </w:r>
      <w:r w:rsidR="0039383D" w:rsidRPr="000C0613">
        <w:t xml:space="preserve"> do número de fusões e aquisições internacionais. </w:t>
      </w:r>
    </w:p>
    <w:p w14:paraId="607955D5" w14:textId="5DD91F48" w:rsidR="0039383D" w:rsidRPr="000C0613" w:rsidRDefault="00222165" w:rsidP="00C570E0">
      <w:pPr>
        <w:spacing w:line="360" w:lineRule="auto"/>
        <w:ind w:firstLine="851"/>
        <w:jc w:val="both"/>
      </w:pPr>
      <w:r w:rsidRPr="000C0613">
        <w:t>Diante disso,</w:t>
      </w:r>
      <w:r w:rsidR="00BA112C" w:rsidRPr="000C0613">
        <w:t xml:space="preserve"> </w:t>
      </w:r>
      <w:r w:rsidRPr="000C0613">
        <w:t xml:space="preserve">tem-se o seguinte problema de pesquisa: a mudança dos critérios </w:t>
      </w:r>
      <w:r w:rsidR="009E7B8F" w:rsidRPr="000C0613">
        <w:t>de análise dos atos de concentração</w:t>
      </w:r>
      <w:r w:rsidRPr="000C0613">
        <w:t xml:space="preserve"> afetou o número de fusões e aquisições internacionais no Brasil? </w:t>
      </w:r>
      <w:r w:rsidR="00D1269B">
        <w:t xml:space="preserve">Essa observação </w:t>
      </w:r>
      <w:r w:rsidR="00F011EE" w:rsidRPr="000C0613">
        <w:t>será testada por meio</w:t>
      </w:r>
      <w:r w:rsidR="00E56585">
        <w:t xml:space="preserve"> de uma análise contrafactual denominada de</w:t>
      </w:r>
      <w:r w:rsidR="00F011EE" w:rsidRPr="000C0613">
        <w:t xml:space="preserve"> </w:t>
      </w:r>
      <w:r w:rsidR="00D1269B">
        <w:t>Método de Controle S</w:t>
      </w:r>
      <w:r w:rsidR="009E7B8F" w:rsidRPr="000C0613">
        <w:t>intético, ou</w:t>
      </w:r>
      <w:r w:rsidR="001D5C71">
        <w:t xml:space="preserve"> </w:t>
      </w:r>
      <w:proofErr w:type="spellStart"/>
      <w:r w:rsidR="008918B3" w:rsidRPr="000C0613">
        <w:rPr>
          <w:i/>
        </w:rPr>
        <w:t>Synthetic</w:t>
      </w:r>
      <w:proofErr w:type="spellEnd"/>
      <w:r w:rsidR="008918B3" w:rsidRPr="000C0613">
        <w:rPr>
          <w:i/>
        </w:rPr>
        <w:t xml:space="preserve"> </w:t>
      </w:r>
      <w:proofErr w:type="spellStart"/>
      <w:r w:rsidR="008918B3" w:rsidRPr="000C0613">
        <w:rPr>
          <w:i/>
        </w:rPr>
        <w:t>Control</w:t>
      </w:r>
      <w:proofErr w:type="spellEnd"/>
      <w:r w:rsidR="008918B3" w:rsidRPr="000C0613">
        <w:rPr>
          <w:i/>
        </w:rPr>
        <w:t xml:space="preserve"> </w:t>
      </w:r>
      <w:proofErr w:type="spellStart"/>
      <w:r w:rsidR="008918B3" w:rsidRPr="000C0613">
        <w:rPr>
          <w:i/>
        </w:rPr>
        <w:t>M</w:t>
      </w:r>
      <w:r w:rsidR="009E7B8F" w:rsidRPr="000C0613">
        <w:rPr>
          <w:i/>
        </w:rPr>
        <w:t>ethod</w:t>
      </w:r>
      <w:proofErr w:type="spellEnd"/>
      <w:r w:rsidR="00D1269B">
        <w:rPr>
          <w:i/>
        </w:rPr>
        <w:t xml:space="preserve"> </w:t>
      </w:r>
      <w:r w:rsidR="00D1269B">
        <w:rPr>
          <w:i/>
        </w:rPr>
        <w:softHyphen/>
      </w:r>
      <w:r w:rsidR="00F94546" w:rsidRPr="000C0613">
        <w:fldChar w:fldCharType="begin" w:fldLock="1"/>
      </w:r>
      <w:r w:rsidR="002E2A91" w:rsidRPr="000C0613">
        <w:instrText>ADDIN CSL_CITATION {"citationItems":[{"id":"ITEM-1","itemData":{"DOI":"10.1198/jasa.2009.ap08746","ISSN":"01621459","abstract":"Building on an idea in Abadie and Gardeazabal (2003), this article investigates the application of synthetic control methods to comparative case studies. We discuss the advantages of these methods and apply them to study the effects of Proposition 99, a large-scale tobacco control program that California implemented in 1988. We demonstrate that, following Proposition 99, tobacco consumption fell markedly in California relative to a comparable synthetic control region. We estimate that by the year 2000 annual per-capita cigarette sales in California were about 26 packs lower than what they would have been in the absence of Proposition 99. Using new inferential methods proposed in this article, we demonstrate the significance of our estimates. Given that many policy interventions and events of interest in social sciences take place at an aggregate level (countries, regions, cities, etc.) and affect a small number of aggregate units, the potential applicability of synthetic control methods to comparative case studies is very large, especially in situations where traditional regression methods are not appropriate. © 2010 American Statistical Association.","author":[{"dropping-particle":"","family":"Abadie","given":"Alberto","non-dropping-particle":"","parse-names":false,"suffix":""},{"dropping-particle":"","family":"Diamond","given":"Alexis","non-dropping-particle":"","parse-names":false,"suffix":""},{"dropping-particle":"","family":"Hainmueller","given":"And Jens","non-dropping-particle":"","parse-names":false,"suffix":""}],"container-title":"Journal of the American Statistical Association","id":"ITEM-1","issue":"490","issued":{"date-parts":[["2010"]]},"page":"493-505","title":"Synthetic control methods for comparative case studies: Estimating the effect of California's Tobacco control program","type":"article-journal","volume":"105"},"uris":["http://www.mendeley.com/documents/?uuid=f2448c27-1ec1-4de9-ac75-dc76c8cb83a1"]}],"mendeley":{"formattedCitation":"(ABADIE; DIAMOND; HAINMUELLER, 2010)","plainTextFormattedCitation":"(ABADIE; DIAMOND; HAINMUELLER, 2010)","previouslyFormattedCitation":"(ABADIE; DIAMOND; HAINMUELLER, 2010)"},"properties":{"noteIndex":0},"schema":"https://github.com/citation-style-language/schema/raw/master/csl-citation.json"}</w:instrText>
      </w:r>
      <w:r w:rsidR="00F94546" w:rsidRPr="000C0613">
        <w:fldChar w:fldCharType="separate"/>
      </w:r>
      <w:r w:rsidR="00F94546" w:rsidRPr="000C0613">
        <w:rPr>
          <w:noProof/>
        </w:rPr>
        <w:t>(ABADIE; DIAMOND; HAINMUELLER, 2010)</w:t>
      </w:r>
      <w:r w:rsidR="00F94546" w:rsidRPr="000C0613">
        <w:fldChar w:fldCharType="end"/>
      </w:r>
      <w:r w:rsidR="00E56585">
        <w:t>. O</w:t>
      </w:r>
      <w:r w:rsidR="00F011EE" w:rsidRPr="000C0613">
        <w:t xml:space="preserve">u seja, procura-se identificar </w:t>
      </w:r>
      <w:r w:rsidR="001D5C71">
        <w:t xml:space="preserve">se, de fato, </w:t>
      </w:r>
      <w:r w:rsidR="0039383D" w:rsidRPr="000C0613">
        <w:t>o no</w:t>
      </w:r>
      <w:r w:rsidR="00455066">
        <w:t xml:space="preserve">vo regramento de notificação </w:t>
      </w:r>
      <w:proofErr w:type="spellStart"/>
      <w:r w:rsidR="00455066" w:rsidRPr="00455066">
        <w:rPr>
          <w:i/>
        </w:rPr>
        <w:t>ex-</w:t>
      </w:r>
      <w:r w:rsidR="0039383D" w:rsidRPr="00455066">
        <w:rPr>
          <w:i/>
        </w:rPr>
        <w:t>ante</w:t>
      </w:r>
      <w:proofErr w:type="spellEnd"/>
      <w:r w:rsidR="0039383D" w:rsidRPr="000C0613">
        <w:t xml:space="preserve"> de atos de concentração </w:t>
      </w:r>
      <w:r w:rsidR="001D5C71">
        <w:t>causou</w:t>
      </w:r>
      <w:r w:rsidR="003A102F">
        <w:t xml:space="preserve"> </w:t>
      </w:r>
      <w:r w:rsidR="001D5C71">
        <w:t xml:space="preserve">um acréscimo no número </w:t>
      </w:r>
      <w:r w:rsidR="00BA112C" w:rsidRPr="000C0613">
        <w:t>de fusões e aquisições internacionais</w:t>
      </w:r>
      <w:r w:rsidR="0039383D" w:rsidRPr="000C0613">
        <w:t>.</w:t>
      </w:r>
    </w:p>
    <w:p w14:paraId="29DEAF23" w14:textId="5B6F2E6F" w:rsidR="00686227" w:rsidRPr="000C0613" w:rsidRDefault="00A60200" w:rsidP="00C570E0">
      <w:pPr>
        <w:spacing w:line="360" w:lineRule="auto"/>
        <w:ind w:firstLine="851"/>
        <w:jc w:val="both"/>
      </w:pPr>
      <w:r w:rsidRPr="000C0613">
        <w:t xml:space="preserve">Esta é, portanto, </w:t>
      </w:r>
      <w:r w:rsidR="00E56585">
        <w:t>a investigação</w:t>
      </w:r>
      <w:r w:rsidRPr="000C0613">
        <w:t xml:space="preserve"> deste trabalho</w:t>
      </w:r>
      <w:r w:rsidR="001D5C71">
        <w:t xml:space="preserve">: </w:t>
      </w:r>
      <w:r w:rsidR="00C5403F" w:rsidRPr="000C0613">
        <w:t>uma análise contrafactual do número de fusões e aquisições estrangeiras caso o Brasil não tivesse adotado os novos critérios de co</w:t>
      </w:r>
      <w:r w:rsidR="009F00B7" w:rsidRPr="000C0613">
        <w:t>ntroles de atos de concentração, utilizando-se para isso o método de controle sintético.</w:t>
      </w:r>
    </w:p>
    <w:p w14:paraId="5EF194A0" w14:textId="09012FBE" w:rsidR="00BA112C" w:rsidRPr="000C0613" w:rsidRDefault="00BA112C" w:rsidP="00BA112C">
      <w:pPr>
        <w:spacing w:line="360" w:lineRule="auto"/>
        <w:ind w:firstLine="851"/>
        <w:jc w:val="both"/>
      </w:pPr>
      <w:r w:rsidRPr="000C0613">
        <w:t xml:space="preserve">A hipótese que norteia este </w:t>
      </w:r>
      <w:r w:rsidR="006721BB">
        <w:t>trabalho</w:t>
      </w:r>
      <w:r w:rsidRPr="000C0613">
        <w:t xml:space="preserve"> é a suposição de que, com um controle </w:t>
      </w:r>
      <w:r w:rsidRPr="006721BB">
        <w:rPr>
          <w:i/>
        </w:rPr>
        <w:t>a posteriori</w:t>
      </w:r>
      <w:r w:rsidRPr="000C0613">
        <w:t xml:space="preserve"> dos atos de concentração</w:t>
      </w:r>
      <w:r w:rsidR="00FB0827" w:rsidRPr="000C0613">
        <w:t xml:space="preserve"> e os demais entraves processuais destes julgamentos</w:t>
      </w:r>
      <w:r w:rsidRPr="000C0613">
        <w:t xml:space="preserve">, gerava-se uma insegurança jurídica </w:t>
      </w:r>
      <w:r w:rsidR="001D5C71">
        <w:t xml:space="preserve">para as </w:t>
      </w:r>
      <w:r w:rsidRPr="000C0613">
        <w:t xml:space="preserve">empresas estrangeiras </w:t>
      </w:r>
      <w:r w:rsidR="001D5C71">
        <w:t>efetuarem</w:t>
      </w:r>
      <w:r w:rsidRPr="000C0613">
        <w:t xml:space="preserve"> aquisições e fusões no Brasil. Assim, com a criação do novo regramento,</w:t>
      </w:r>
      <w:r w:rsidR="006721BB">
        <w:t xml:space="preserve"> reduzir-se-iam as incertezas desses empreendimentos e incentivariam</w:t>
      </w:r>
      <w:r w:rsidR="00FB0827" w:rsidRPr="000C0613">
        <w:t xml:space="preserve"> as transações</w:t>
      </w:r>
      <w:r w:rsidRPr="000C0613">
        <w:t xml:space="preserve"> de fusão e aquisição de empresas estrangeiras no Brasil.</w:t>
      </w:r>
    </w:p>
    <w:p w14:paraId="74DF9FD4" w14:textId="7C7A31CE" w:rsidR="00BA112C" w:rsidRPr="000C0613" w:rsidRDefault="001D5C71" w:rsidP="00BA112C">
      <w:pPr>
        <w:spacing w:line="360" w:lineRule="auto"/>
        <w:ind w:firstLine="851"/>
        <w:jc w:val="both"/>
      </w:pPr>
      <w:r>
        <w:t>Em suma</w:t>
      </w:r>
      <w:r w:rsidR="00455066">
        <w:t>, o o</w:t>
      </w:r>
      <w:r w:rsidR="00BA112C" w:rsidRPr="000C0613">
        <w:t>bjetivo principal deste trabalho é avaliar o impacto da nova legislação sobre controle de atos de concentração em relação número de fusões e aquisições estrangeiras no Brasil.</w:t>
      </w:r>
    </w:p>
    <w:p w14:paraId="420382D3" w14:textId="0F25ED9D" w:rsidR="00BA112C" w:rsidRPr="000C0613" w:rsidRDefault="00BA112C" w:rsidP="00BA112C">
      <w:pPr>
        <w:spacing w:line="360" w:lineRule="auto"/>
        <w:ind w:firstLine="851"/>
        <w:jc w:val="both"/>
      </w:pPr>
      <w:r w:rsidRPr="000C0613">
        <w:t>A justificativa deste trabalho</w:t>
      </w:r>
      <w:r w:rsidR="00455066">
        <w:t xml:space="preserve"> é fundamentada,</w:t>
      </w:r>
      <w:r w:rsidRPr="000C0613">
        <w:t xml:space="preserve"> principalmente</w:t>
      </w:r>
      <w:r w:rsidR="00455066">
        <w:t>,</w:t>
      </w:r>
      <w:r w:rsidRPr="000C0613">
        <w:t xml:space="preserve"> na importância de se averiguar os impactos das políticas públicas. Neste escopo, não só as políticas públicas sociais são passíveis deste tipo de regulação. As políticas econômicas e regulatórias também já são objetos destes estudos. Atualmente, estas avaliações estão </w:t>
      </w:r>
      <w:r w:rsidR="001D5C71">
        <w:t xml:space="preserve">sendo </w:t>
      </w:r>
      <w:r w:rsidRPr="000C0613">
        <w:t>incorporadas cada vez mais às políticas públicas brasileiras. E, de fato, est</w:t>
      </w:r>
      <w:r w:rsidR="008F1913">
        <w:t>a dissertação</w:t>
      </w:r>
      <w:r w:rsidRPr="000C0613">
        <w:t xml:space="preserve"> é parte desse interesse em avaliar políticas microeconômicas, com ênfase nas políticas de defesa da concorrência.</w:t>
      </w:r>
    </w:p>
    <w:p w14:paraId="7C28F095" w14:textId="757C88C9" w:rsidR="00BA112C" w:rsidRPr="000C0613" w:rsidRDefault="00BA112C" w:rsidP="00B0295D">
      <w:pPr>
        <w:spacing w:line="360" w:lineRule="auto"/>
        <w:ind w:firstLine="851"/>
        <w:jc w:val="both"/>
      </w:pPr>
      <w:r w:rsidRPr="000C0613">
        <w:t>Outro motivo do qual este trabalho se justifica é a necessidade de trazer técnicas modernas para as avaliações políticas públicas brasileiras.</w:t>
      </w:r>
      <w:r w:rsidR="00C55FA1">
        <w:rPr>
          <w:color w:val="FF0000"/>
        </w:rPr>
        <w:t xml:space="preserve"> </w:t>
      </w:r>
      <w:r w:rsidRPr="00C55FA1">
        <w:t>O</w:t>
      </w:r>
      <w:r w:rsidRPr="009703C8">
        <w:rPr>
          <w:color w:val="FF0000"/>
        </w:rPr>
        <w:t xml:space="preserve"> </w:t>
      </w:r>
      <w:r w:rsidRPr="000C0613">
        <w:t xml:space="preserve">trabalho se fundamentará em métodos modernos, tal como é o método de controle sintético. O uso </w:t>
      </w:r>
      <w:r w:rsidR="00E15F80">
        <w:t xml:space="preserve">do </w:t>
      </w:r>
      <w:r w:rsidR="00116B0B">
        <w:t>M</w:t>
      </w:r>
      <w:r w:rsidRPr="000C0613">
        <w:t xml:space="preserve">étodo </w:t>
      </w:r>
      <w:r w:rsidR="00116B0B">
        <w:t>C</w:t>
      </w:r>
      <w:r w:rsidRPr="000C0613">
        <w:t xml:space="preserve">ontrole </w:t>
      </w:r>
      <w:r w:rsidR="00116B0B">
        <w:t>S</w:t>
      </w:r>
      <w:r w:rsidRPr="000C0613">
        <w:t xml:space="preserve">intético é relativamente novo na academia como um todo, </w:t>
      </w:r>
      <w:r w:rsidR="001D5C71">
        <w:t>tendo iniciado</w:t>
      </w:r>
      <w:r w:rsidRPr="000C0613">
        <w:t xml:space="preserve"> em Abadie &amp; </w:t>
      </w:r>
      <w:proofErr w:type="spellStart"/>
      <w:r w:rsidRPr="000C0613">
        <w:t>Gardeazabal</w:t>
      </w:r>
      <w:proofErr w:type="spellEnd"/>
      <w:r w:rsidRPr="000C0613">
        <w:t xml:space="preserve"> </w:t>
      </w:r>
      <w:r w:rsidRPr="000C0613">
        <w:fldChar w:fldCharType="begin" w:fldLock="1"/>
      </w:r>
      <w:r w:rsidRPr="000C0613">
        <w:instrText>ADDIN CSL_CITATION {"citationItems":[{"id":"ITEM-1","itemData":{"DOI":"10.1257/000282803321455188","ISSN":"00028282","abstract":"This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author":[{"dropping-particle":"","family":"Abadie","given":"Alberto","non-dropping-particle":"","parse-names":false,"suffix":""},{"dropping-particle":"","family":"Gardeazabal","given":"Javier","non-dropping-particle":"","parse-names":false,"suffix":""}],"container-title":"American Economic Review","id":"ITEM-1","issue":"1","issued":{"date-parts":[["2003"]]},"page":"113-132","title":"The economic costs of conflict: A case study of the Basque country","type":"article-journal","volume":"93"},"suppress-author":1,"uris":["http://www.mendeley.com/documents/?uuid=dde319c1-7ef6-46c7-8610-96ee645d11cb"]}],"mendeley":{"formattedCitation":"(2003)","plainTextFormattedCitation":"(2003)","previouslyFormattedCitation":"(2003)"},"properties":{"noteIndex":0},"schema":"https://github.com/citation-style-language/schema/raw/master/csl-citation.json"}</w:instrText>
      </w:r>
      <w:r w:rsidRPr="000C0613">
        <w:fldChar w:fldCharType="separate"/>
      </w:r>
      <w:r w:rsidRPr="000C0613">
        <w:rPr>
          <w:noProof/>
        </w:rPr>
        <w:t>(2003)</w:t>
      </w:r>
      <w:r w:rsidRPr="000C0613">
        <w:fldChar w:fldCharType="end"/>
      </w:r>
      <w:r w:rsidR="00F94546" w:rsidRPr="000C0613">
        <w:t xml:space="preserve"> e</w:t>
      </w:r>
      <w:r w:rsidRPr="000C0613">
        <w:t xml:space="preserve"> Abadie et al. </w:t>
      </w:r>
      <w:r w:rsidRPr="000C0613">
        <w:fldChar w:fldCharType="begin" w:fldLock="1"/>
      </w:r>
      <w:r w:rsidRPr="000C0613">
        <w:instrText>ADDIN CSL_CITATION {"citationItems":[{"id":"ITEM-1","itemData":{"DOI":"10.1198/jasa.2009.ap08746","ISSN":"01621459","abstract":"Building on an idea in Abadie and Gardeazabal (2003), this article investigates the application of synthetic control methods to comparative case studies. We discuss the advantages of these methods and apply them to study the effects of Proposition 99, a large-scale tobacco control program that California implemented in 1988. We demonstrate that, following Proposition 99, tobacco consumption fell markedly in California relative to a comparable synthetic control region. We estimate that by the year 2000 annual per-capita cigarette sales in California were about 26 packs lower than what they would have been in the absence of Proposition 99. Using new inferential methods proposed in this article, we demonstrate the significance of our estimates. Given that many policy interventions and events of interest in social sciences take place at an aggregate level (countries, regions, cities, etc.) and affect a small number of aggregate units, the potential applicability of synthetic control methods to comparative case studies is very large, especially in situations where traditional regression methods are not appropriate. © 2010 American Statistical Association.","author":[{"dropping-particle":"","family":"Abadie","given":"Alberto","non-dropping-particle":"","parse-names":false,"suffix":""},{"dropping-particle":"","family":"Diamond","given":"Alexis","non-dropping-particle":"","parse-names":false,"suffix":""},{"dropping-particle":"","family":"Hainmueller","given":"And Jens","non-dropping-particle":"","parse-names":false,"suffix":""}],"container-title":"Journal of the American Statistical Association","id":"ITEM-1","issue":"490","issued":{"date-parts":[["2010"]]},"page":"493-505","title":"Synthetic control methods for comparative case studies: Estimating the effect of California's Tobacco control program","type":"article-journal","volume":"105"},"suppress-author":1,"uris":["http://www.mendeley.com/documents/?uuid=f2448c27-1ec1-4de9-ac75-dc76c8cb83a1"]}],"mendeley":{"formattedCitation":"(2010)","plainTextFormattedCitation":"(2010)","previouslyFormattedCitation":"(2010)"},"properties":{"noteIndex":0},"schema":"https://github.com/citation-style-language/schema/raw/master/csl-citation.json"}</w:instrText>
      </w:r>
      <w:r w:rsidRPr="000C0613">
        <w:fldChar w:fldCharType="separate"/>
      </w:r>
      <w:r w:rsidRPr="000C0613">
        <w:rPr>
          <w:noProof/>
        </w:rPr>
        <w:t>(2010)</w:t>
      </w:r>
      <w:r w:rsidRPr="000C0613">
        <w:fldChar w:fldCharType="end"/>
      </w:r>
      <w:r w:rsidRPr="000C0613">
        <w:t xml:space="preserve"> e ganhando mais </w:t>
      </w:r>
      <w:r w:rsidRPr="000C0613">
        <w:lastRenderedPageBreak/>
        <w:t xml:space="preserve">popularidade desta última publicação. </w:t>
      </w:r>
      <w:proofErr w:type="spellStart"/>
      <w:r w:rsidR="001D5C71">
        <w:t>Athey</w:t>
      </w:r>
      <w:proofErr w:type="spellEnd"/>
      <w:r w:rsidR="001D5C71">
        <w:t xml:space="preserve"> e </w:t>
      </w:r>
      <w:proofErr w:type="spellStart"/>
      <w:r w:rsidR="001D5C71">
        <w:t>Imbens</w:t>
      </w:r>
      <w:proofErr w:type="spellEnd"/>
      <w:r w:rsidR="001D5C71">
        <w:t xml:space="preserve"> (2017) até consideram que o método d</w:t>
      </w:r>
      <w:r w:rsidRPr="000C0613">
        <w:t xml:space="preserve">e controle sintético é a maior inovação na literatura econômica sobre avaliação de políticas nos últimos 15 anos </w:t>
      </w:r>
      <w:r w:rsidRPr="000C0613">
        <w:fldChar w:fldCharType="begin" w:fldLock="1"/>
      </w:r>
      <w:r w:rsidRPr="000C0613">
        <w:instrText>ADDIN CSL_CITATION {"citationItems":[{"id":"ITEM-1","itemData":{"DOI":"10.1257/jep.31.2.3","ISSN":"08953309","author":[{"dropping-particle":"","family":"Athey","given":"Susan","non-dropping-particle":"","parse-names":false,"suffix":""},{"dropping-particle":"","family":"Imbens","given":"Guido W.","non-dropping-particle":"","parse-names":false,"suffix":""}],"container-title":"Journal of Economic Perspectives","id":"ITEM-1","issue":"2","issued":{"date-parts":[["2017"]]},"page":"3-32","title":"The state of applied econometrics: Causality and policy evaluation","type":"article-journal","volume":"31"},"uris":["http://www.mendeley.com/documents/?uuid=4baca448-4411-462a-9aeb-d3d15de1ce34"]}],"mendeley":{"formattedCitation":"(ATHEY; IMBENS, 2017)","plainTextFormattedCitation":"(ATHEY; IMBENS, 2017)","previouslyFormattedCitation":"(ATHEY; IMBENS, 2017)"},"properties":{"noteIndex":0},"schema":"https://github.com/citation-style-language/schema/raw/master/csl-citation.json"}</w:instrText>
      </w:r>
      <w:r w:rsidRPr="000C0613">
        <w:fldChar w:fldCharType="separate"/>
      </w:r>
      <w:r w:rsidRPr="000C0613">
        <w:rPr>
          <w:noProof/>
        </w:rPr>
        <w:t>(ATHEY; IMBENS, 2017)</w:t>
      </w:r>
      <w:r w:rsidRPr="000C0613">
        <w:fldChar w:fldCharType="end"/>
      </w:r>
      <w:r w:rsidRPr="000C0613">
        <w:t xml:space="preserve">. </w:t>
      </w:r>
    </w:p>
    <w:p w14:paraId="49A27FFC" w14:textId="3DECE4E5" w:rsidR="00BA112C" w:rsidRPr="000C0613" w:rsidRDefault="00BA112C" w:rsidP="00BA112C">
      <w:pPr>
        <w:spacing w:line="360" w:lineRule="auto"/>
        <w:ind w:firstLine="851"/>
        <w:jc w:val="both"/>
      </w:pPr>
      <w:r w:rsidRPr="000C0613">
        <w:t>Enfat</w:t>
      </w:r>
      <w:r w:rsidR="001F0EC2">
        <w:t xml:space="preserve">iza-se que a adoção deste </w:t>
      </w:r>
      <w:r w:rsidR="008F1913">
        <w:t xml:space="preserve">método </w:t>
      </w:r>
      <w:r w:rsidR="001F0EC2">
        <w:t>em artigos nacionais vem ganhando</w:t>
      </w:r>
      <w:r w:rsidRPr="000C0613">
        <w:t xml:space="preserve"> destaque</w:t>
      </w:r>
      <w:r w:rsidR="008F1913">
        <w:t>. Destacam-se</w:t>
      </w:r>
      <w:r w:rsidRPr="000C0613">
        <w:t xml:space="preserve"> os estudos de: Resende </w:t>
      </w:r>
      <w:r w:rsidRPr="000C0613">
        <w:fldChar w:fldCharType="begin" w:fldLock="1"/>
      </w:r>
      <w:r w:rsidRPr="000C0613">
        <w:instrText>ADDIN CSL_CITATION {"citationItems":[{"id":"ITEM-1","itemData":{"abstract":"Este trabalho consiste em um conjunto de ensaios que avaliam três importantes políticas públicas implementadas recentemente no Brasil. O primeiro ensaio avalia a política nacional de privatização de aeroportos. Utilizamos a metodologia de controle sintético para estimar o contrafactual de como teriam evoluído as receitas dos aeroportos privatizados caso tivessem permanecido sob operação da Infraero. Trata-se de uma aplicação inédita dessa metodologia para avaliação de políticas de privatização. Mostramos que os impactos da privatização nas receitas comerciais são de grande magnitude, estatisticamente significativos e imediatos em todos os aeroportos avaliados. Os resultados mostraram-se robustos a uma série de testes de placebo e falsificações. O segundo ensaio avalia o Programa Mais Educação - PME, principal política de estímulo à educação integral atualmente vigente no Brasil. Neste trabalho, exploramos a descontinuidade existente no critério de elegibilidade do programa a partir de 2012 para avaliar seu impacto em dois indicadores sociais: o trabalho infantil e o desemprego das mães. Além disso, avaliamos o impacto do programa em indicadores relacionados à satisfação dos pais e dos estudantes com a escola, ao comportamento dos estudantes e aos índices de estudantes em recuperação. Não encontramos evidência de impacto significativo do programa em nenhum dos indicadores avaliados. Por fim, o terceiro ensaio o analisa os efeitos da inserção de tecnologias de informação e comunicação (TIC) no ambiente escolar no desempenho acadêmico de estudantes. Para isso, realizamos a primeira avaliação de impacto rigorosa do Programa Um Computador por Aluno – Prouca, que forneceu um laptop para cada estudante, além de 120 horas de treinamento para docentes, em mais de 300 escolas brasileiras em 2010. Os resultados indicam que, embora o programa tenha impactado positivamente a razão computador por aluno e a utilização de computadores e da internet para fins pedagógicos, não há e","author":[{"dropping-particle":"de","family":"Resende","given":"Caio Cordeiro","non-dropping-particle":"","parse-names":false,"suffix":""}],"id":"ITEM-1","issued":{"date-parts":[["2017"]]},"publisher":"Universidade de Brasília","title":"Ensaios em Avaliação de Políticas Públicas","type":"thesis"},"label":"chapter","suppress-author":1,"uris":["http://www.mendeley.com/documents/?uuid=74cde43d-cf48-40f9-8ea3-fcdbafedea30"]}],"mendeley":{"formattedCitation":"(2017)","plainTextFormattedCitation":"(2017)","previouslyFormattedCitation":"(2017)"},"properties":{"noteIndex":0},"schema":"https://github.com/citation-style-language/schema/raw/master/csl-citation.json"}</w:instrText>
      </w:r>
      <w:r w:rsidRPr="000C0613">
        <w:fldChar w:fldCharType="separate"/>
      </w:r>
      <w:r w:rsidRPr="000C0613">
        <w:rPr>
          <w:noProof/>
        </w:rPr>
        <w:t>(2017)</w:t>
      </w:r>
      <w:r w:rsidRPr="000C0613">
        <w:fldChar w:fldCharType="end"/>
      </w:r>
      <w:r w:rsidRPr="000C0613">
        <w:t xml:space="preserve"> sobre as privatizações de aeroportos; </w:t>
      </w:r>
      <w:proofErr w:type="spellStart"/>
      <w:r w:rsidRPr="000C0613">
        <w:t>Sachsida</w:t>
      </w:r>
      <w:proofErr w:type="spellEnd"/>
      <w:r w:rsidRPr="000C0613">
        <w:t xml:space="preserve"> et al. </w:t>
      </w:r>
      <w:r w:rsidRPr="000C0613">
        <w:fldChar w:fldCharType="begin" w:fldLock="1"/>
      </w:r>
      <w:r w:rsidRPr="000C0613">
        <w:instrText>ADDIN CSL_CITATION {"citationItems":[{"id":"ITEM-1","itemData":{"ISBN":"978-85-7811-333-9","abstract":"O capítulo apresenta o método de grupo de controle sintético, a implementação do método no software R e oferece como exemplo uma avaliação preliminar do Programa de Substituição do Investimento (PSI). O método do controle sintético vem ganhando atenção de economistas aplicados por permitir a criação de um contrafatual, a unidade sintética, que permite tirar conclusões a respeito de como seria o desempenho da unidade tratada na ausência do tratamento. A avaliação preliminar do PSI sugere que o programa não teve efeito significativo no investimento","author":[{"dropping-particle":"","family":"Júnior","given":"Roberto Ellery","non-dropping-particle":"","parse-names":false,"suffix":""},{"dropping-particle":"","family":"Sachsida","given":"Adolfo","non-dropping-particle":"","parse-names":false,"suffix":""},{"dropping-particle":"","family":"Junior","given":"Antônio Nascimento","non-dropping-particle":"","parse-names":false,"suffix":""}],"chapter-number":"12","container-title":"Políticas públicas: avaliando mais de meio trilhão de reais em gastos públicos /","editor":[{"dropping-particle":"","family":"Sachsida","given":"Adolfo","non-dropping-particle":"","parse-names":false,"suffix":""}],"id":"ITEM-1","issued":{"date-parts":[["2018"]]},"publisher":"IPEA","publisher-place":"Brasília","title":"Controle sintético como ferramenta para avaliação","type":"chapter"},"label":"chapter","suppress-author":1,"uris":["http://www.mendeley.com/documents/?uuid=4a7b64ec-41cf-4a78-a477-8ecd83917acb"]}],"mendeley":{"formattedCitation":"(2018)","plainTextFormattedCitation":"(2018)","previouslyFormattedCitation":"(2018)"},"properties":{"noteIndex":0},"schema":"https://github.com/citation-style-language/schema/raw/master/csl-citation.json"}</w:instrText>
      </w:r>
      <w:r w:rsidRPr="000C0613">
        <w:fldChar w:fldCharType="separate"/>
      </w:r>
      <w:r w:rsidRPr="000C0613">
        <w:rPr>
          <w:noProof/>
        </w:rPr>
        <w:t>(2018)</w:t>
      </w:r>
      <w:r w:rsidRPr="000C0613">
        <w:fldChar w:fldCharType="end"/>
      </w:r>
      <w:r w:rsidRPr="000C0613">
        <w:t xml:space="preserve"> na avaliação Programa de Sustentação do Investimento (PSI); Rocha e </w:t>
      </w:r>
      <w:proofErr w:type="spellStart"/>
      <w:r w:rsidRPr="000C0613">
        <w:t>Rauen</w:t>
      </w:r>
      <w:proofErr w:type="spellEnd"/>
      <w:r w:rsidRPr="000C0613">
        <w:t xml:space="preserve"> </w:t>
      </w:r>
      <w:r w:rsidRPr="000C0613">
        <w:fldChar w:fldCharType="begin" w:fldLock="1"/>
      </w:r>
      <w:r w:rsidRPr="000C0613">
        <w:instrText>ADDIN CSL_CITATION {"citationItems":[{"id":"ITEM-1","itemData":{"abstract":"O objetivo deste trabalho é avaliar os efeitos da estratégia do governo brasileiro de intensi- ficação da concessão de incentivos fiscais a pesquisa e desenvolvimento (P&amp;D), ocorrida a partir de 2008. Aplicamos o método do controle sintético para estimar seus impactos causais no horizonte 2010-2015. Demonstramos que ela não teve efeito relevante no investimento empresarial em P&amp;D. Apesar do expressivo aumento da desoneração, não alavancou o dispêndio privado. Ademais, parece ter ajudado a produzir um mix de sub- sídio (direto versus indireto) pouco eficaz, que gerou uma ligeira diminuição do gasto privado, em relação ao que teria sido sem a ocorrência do aumento das desonerações.","author":[{"dropping-particle":"","family":"Rocha","given":"Glauter","non-dropping-particle":"","parse-names":false,"suffix":""},{"dropping-particle":"","family":"Rauen","given":"André","non-dropping-particle":"","parse-names":false,"suffix":""}],"collection-title":"Texto para Discussão","id":"ITEM-1","issued":{"date-parts":[["2018"]]},"publisher-place":"Brasília","title":"Mais desoneração, mais inovação? Uma avaliação da recente estratégia brasileira de intensificação dos incentivos fiscais a pesquisa e desenvolvimento","type":"report"},"label":"chapter","suppress-author":1,"uris":["http://www.mendeley.com/documents/?uuid=ac1231b8-1dde-41d6-93ee-31664d8d1cfa"]}],"mendeley":{"formattedCitation":"(2018)","plainTextFormattedCitation":"(2018)","previouslyFormattedCitation":"(2018)"},"properties":{"noteIndex":0},"schema":"https://github.com/citation-style-language/schema/raw/master/csl-citation.json"}</w:instrText>
      </w:r>
      <w:r w:rsidRPr="000C0613">
        <w:fldChar w:fldCharType="separate"/>
      </w:r>
      <w:r w:rsidRPr="000C0613">
        <w:rPr>
          <w:noProof/>
        </w:rPr>
        <w:t>(2018)</w:t>
      </w:r>
      <w:r w:rsidRPr="000C0613">
        <w:fldChar w:fldCharType="end"/>
      </w:r>
      <w:r w:rsidRPr="000C0613">
        <w:t xml:space="preserve"> sobre os efeitos da estratégia do governo brasileiro de intensificação da concessão de incentivos fiscais a pesquisa e desenvolvimento (P&amp;D); e Ribeiro et al </w:t>
      </w:r>
      <w:r w:rsidRPr="000C0613">
        <w:fldChar w:fldCharType="begin" w:fldLock="1"/>
      </w:r>
      <w:r w:rsidRPr="000C0613">
        <w:instrText>ADDIN CSL_CITATION {"citationItems":[{"id":"ITEM-1","itemData":{"ISSN":"0146-8693","abstract":"ste estudo investiga o custo econômico do excesso de chuvas ocorrido em Santa Catarina entre os meses de novembro a dezembro de 2008. Utiliza-se o controle sintético para medir o impacto das chuvas na produção industrial do estado. Os resultados apontam que até o final de 2010, a produção industrial mensal foi 5,13% menor do que seria caso as chuvas não tivessem ocorrido.","author":[{"dropping-particle":"","family":"Ribeiro","given":"Felipe Garcia","non-dropping-particle":"","parse-names":false,"suffix":""},{"dropping-particle":"","family":"Stein","given":"Guilherme","non-dropping-particle":"","parse-names":false,"suffix":""},{"dropping-particle":"","family":"Carraro","given":"André","non-dropping-particle":"","parse-names":false,"suffix":""},{"dropping-particle":"","family":"Ramos","given":"Pedro Lutz","non-dropping-particle":"","parse-names":false,"suffix":""}],"container-title":"Planejamento e Políticas Públicas","id":"ITEM-1","issued":{"date-parts":[["2014"]]},"page":"299-322","title":"O impacto econômico dos desastres naturais: o caso das chuvas de 2008 em Santa Catarina","type":"article-journal","volume":"43"},"label":"chapter","suppress-author":1,"uris":["http://www.mendeley.com/documents/?uuid=2db2d0a1-efe5-4ff9-ae5a-42983556593c"]}],"mendeley":{"formattedCitation":"(2014)","plainTextFormattedCitation":"(2014)","previouslyFormattedCitation":"(2014)"},"properties":{"noteIndex":0},"schema":"https://github.com/citation-style-language/schema/raw/master/csl-citation.json"}</w:instrText>
      </w:r>
      <w:r w:rsidRPr="000C0613">
        <w:fldChar w:fldCharType="separate"/>
      </w:r>
      <w:r w:rsidRPr="000C0613">
        <w:rPr>
          <w:noProof/>
        </w:rPr>
        <w:t>(2014)</w:t>
      </w:r>
      <w:r w:rsidRPr="000C0613">
        <w:fldChar w:fldCharType="end"/>
      </w:r>
      <w:r w:rsidRPr="000C0613">
        <w:t xml:space="preserve"> sobre o custo econômico do excesso de chuvas ocorrido em Santa Catarina entre os meses de novembro a dezembro de 2008. Além do trabalho de </w:t>
      </w:r>
      <w:proofErr w:type="spellStart"/>
      <w:r w:rsidRPr="000C0613">
        <w:t>Possebom</w:t>
      </w:r>
      <w:proofErr w:type="spellEnd"/>
      <w:r w:rsidRPr="000C0613">
        <w:t xml:space="preserve"> </w:t>
      </w:r>
      <w:r w:rsidRPr="000C0613">
        <w:fldChar w:fldCharType="begin" w:fldLock="1"/>
      </w:r>
      <w:r w:rsidRPr="000C0613">
        <w:instrText>ADDIN CSL_CITATION {"citationItems":[{"id":"ITEM-1","itemData":{"DOI":"10.5935/0034-7140.20170011","ISSN":"00347140","abstract":"I apply the synthetic control method to Brazilian city-level data during the twentieth century in order to evaluate the economic impact of the Free Trade Zone of Manaus (FTZM). I find that this enterprise zone had significantly positive effects on real GDP per capita and Services Total Production per capita, but it also had significantly negative effects on Agriculture Total Production per capita. My results suggest that this subsidy policy achieved its goal of promoting regional economic growth at the cost of creating mis-allocation of resources among economic sectors. They also reject the view that an industrialization policy will benefit all economic sectors due to positive spill-overs from the manufacturing sector that are strong enough to compensate for the negative effect of the mis-allocation of resources.","author":[{"dropping-particle":"","family":"Possebom","given":"Vítor","non-dropping-particle":"","parse-names":false,"suffix":""}],"container-title":"Revista Brasileira de Economia","id":"ITEM-1","issue":"2","issued":{"date-parts":[["2017"]]},"page":"217-231","title":"Free trade zone of manaus: An impact evaluation using the synthetic control method","type":"article-journal","volume":"71"},"label":"chapter","suppress-author":1,"uris":["http://www.mendeley.com/documents/?uuid=a9fac5a7-76a9-4f9d-9cec-55f310522221"]}],"mendeley":{"formattedCitation":"(2017)","plainTextFormattedCitation":"(2017)","previouslyFormattedCitation":"(2017)"},"properties":{"noteIndex":0},"schema":"https://github.com/citation-style-language/schema/raw/master/csl-citation.json"}</w:instrText>
      </w:r>
      <w:r w:rsidRPr="000C0613">
        <w:fldChar w:fldCharType="separate"/>
      </w:r>
      <w:r w:rsidRPr="000C0613">
        <w:rPr>
          <w:noProof/>
        </w:rPr>
        <w:t>(2017)</w:t>
      </w:r>
      <w:r w:rsidRPr="000C0613">
        <w:fldChar w:fldCharType="end"/>
      </w:r>
      <w:r w:rsidRPr="000C0613">
        <w:t xml:space="preserve"> sobre o impacto econômico da Zona Franca de Manaus.</w:t>
      </w:r>
    </w:p>
    <w:p w14:paraId="7A14CA20" w14:textId="0D20F841" w:rsidR="002E2A91" w:rsidRPr="003842BA" w:rsidRDefault="00410301" w:rsidP="00BA112C">
      <w:pPr>
        <w:spacing w:line="360" w:lineRule="auto"/>
        <w:ind w:firstLine="851"/>
        <w:jc w:val="both"/>
      </w:pPr>
      <w:r w:rsidRPr="003842BA">
        <w:rPr>
          <w:color w:val="000000"/>
        </w:rPr>
        <w:t xml:space="preserve">Para criar o Brasil sintético, sem a mudança legal, </w:t>
      </w:r>
      <w:proofErr w:type="gramStart"/>
      <w:r w:rsidRPr="003842BA">
        <w:rPr>
          <w:color w:val="000000"/>
        </w:rPr>
        <w:t>selecionou-se</w:t>
      </w:r>
      <w:proofErr w:type="gramEnd"/>
      <w:r w:rsidRPr="003842BA">
        <w:rPr>
          <w:color w:val="000000"/>
        </w:rPr>
        <w:t xml:space="preserve"> país</w:t>
      </w:r>
      <w:r w:rsidR="00D67FED">
        <w:rPr>
          <w:color w:val="000000"/>
        </w:rPr>
        <w:t xml:space="preserve">es da América do Sul, México e </w:t>
      </w:r>
      <w:r w:rsidRPr="003842BA">
        <w:rPr>
          <w:color w:val="000000"/>
        </w:rPr>
        <w:t xml:space="preserve">os países que compõem o grupo BRICS, entre 2000 e 2018, para compor o que se chama de unidade sintética ou a unidade contrafactual. A partir disso calculou-se a diferença entre os dados reais e da unidade sintética. Além disso, </w:t>
      </w:r>
      <w:proofErr w:type="gramStart"/>
      <w:r w:rsidR="001F4CA6">
        <w:rPr>
          <w:color w:val="000000"/>
        </w:rPr>
        <w:t>efetuou-se</w:t>
      </w:r>
      <w:proofErr w:type="gramEnd"/>
      <w:r w:rsidRPr="003842BA">
        <w:rPr>
          <w:color w:val="000000"/>
        </w:rPr>
        <w:t xml:space="preserve"> os testes de placebo e o cálculo </w:t>
      </w:r>
      <w:r w:rsidR="004D5F72" w:rsidRPr="003842BA">
        <w:rPr>
          <w:color w:val="000000"/>
        </w:rPr>
        <w:t>do</w:t>
      </w:r>
      <w:r w:rsidRPr="003842BA">
        <w:rPr>
          <w:i/>
          <w:iCs/>
          <w:color w:val="000000"/>
        </w:rPr>
        <w:t xml:space="preserve"> </w:t>
      </w:r>
      <w:proofErr w:type="spellStart"/>
      <w:r w:rsidRPr="003842BA">
        <w:rPr>
          <w:i/>
          <w:iCs/>
          <w:color w:val="000000"/>
        </w:rPr>
        <w:t>Mean</w:t>
      </w:r>
      <w:proofErr w:type="spellEnd"/>
      <w:r w:rsidRPr="003842BA">
        <w:rPr>
          <w:i/>
          <w:iCs/>
          <w:color w:val="000000"/>
        </w:rPr>
        <w:t xml:space="preserve"> Square </w:t>
      </w:r>
      <w:proofErr w:type="spellStart"/>
      <w:r w:rsidRPr="003842BA">
        <w:rPr>
          <w:i/>
          <w:iCs/>
          <w:color w:val="000000"/>
        </w:rPr>
        <w:t>Error</w:t>
      </w:r>
      <w:proofErr w:type="spellEnd"/>
      <w:r w:rsidRPr="003842BA">
        <w:rPr>
          <w:i/>
          <w:iCs/>
          <w:color w:val="000000"/>
        </w:rPr>
        <w:t xml:space="preserve"> </w:t>
      </w:r>
      <w:proofErr w:type="spellStart"/>
      <w:r w:rsidRPr="003842BA">
        <w:rPr>
          <w:color w:val="000000"/>
        </w:rPr>
        <w:t>pré</w:t>
      </w:r>
      <w:proofErr w:type="spellEnd"/>
      <w:r w:rsidRPr="003842BA">
        <w:rPr>
          <w:color w:val="000000"/>
        </w:rPr>
        <w:t xml:space="preserve"> e pós-intervenção. Os resultados in</w:t>
      </w:r>
      <w:r w:rsidR="00E15F80" w:rsidRPr="003842BA">
        <w:rPr>
          <w:color w:val="000000"/>
        </w:rPr>
        <w:t>dicam</w:t>
      </w:r>
      <w:r w:rsidRPr="003842BA">
        <w:rPr>
          <w:color w:val="000000"/>
        </w:rPr>
        <w:t xml:space="preserve"> que as mudanças referentes ao controle de atos de concentração aumentaram de fato o número de fusões e aquisições internacionais. Além disso, como teste adicional foi realizado uma</w:t>
      </w:r>
      <w:r w:rsidR="004D5F72" w:rsidRPr="003842BA">
        <w:rPr>
          <w:color w:val="000000"/>
        </w:rPr>
        <w:t xml:space="preserve"> </w:t>
      </w:r>
      <w:r w:rsidR="008F1913" w:rsidRPr="003842BA">
        <w:rPr>
          <w:color w:val="000000"/>
        </w:rPr>
        <w:t xml:space="preserve">estimação com base no </w:t>
      </w:r>
      <w:r w:rsidRPr="003842BA">
        <w:rPr>
          <w:color w:val="000000"/>
        </w:rPr>
        <w:t>modelo de diferenças em diferenças</w:t>
      </w:r>
      <w:r w:rsidR="008F1913" w:rsidRPr="003842BA">
        <w:rPr>
          <w:color w:val="000000"/>
        </w:rPr>
        <w:t xml:space="preserve">. Os </w:t>
      </w:r>
      <w:r w:rsidRPr="003842BA">
        <w:rPr>
          <w:color w:val="000000"/>
        </w:rPr>
        <w:t xml:space="preserve">resultados </w:t>
      </w:r>
      <w:r w:rsidR="008F1913" w:rsidRPr="003842BA">
        <w:rPr>
          <w:color w:val="000000"/>
        </w:rPr>
        <w:t xml:space="preserve">deste </w:t>
      </w:r>
      <w:r w:rsidRPr="003842BA">
        <w:rPr>
          <w:color w:val="000000"/>
        </w:rPr>
        <w:t>corroboram as evidências obtidas pelo método de controle sintético. Testes de robustez e de placebo reforçam a hipótese de que o controle a priori impactou de forma substantiva e positiva as fusões e aquisições</w:t>
      </w:r>
      <w:r w:rsidR="00834A5B" w:rsidRPr="003842BA">
        <w:t>.</w:t>
      </w:r>
    </w:p>
    <w:p w14:paraId="7AC77763" w14:textId="7AA6AE7D" w:rsidR="00BA112C" w:rsidRPr="000C0613" w:rsidRDefault="00BA112C" w:rsidP="00BA112C">
      <w:pPr>
        <w:spacing w:line="360" w:lineRule="auto"/>
        <w:ind w:firstLine="851"/>
        <w:jc w:val="both"/>
      </w:pPr>
      <w:r w:rsidRPr="000C0613">
        <w:t xml:space="preserve">Além </w:t>
      </w:r>
      <w:r w:rsidR="00F66F83">
        <w:t>da Introdução</w:t>
      </w:r>
      <w:r w:rsidR="00B43BC3">
        <w:t>,</w:t>
      </w:r>
      <w:r w:rsidR="00F66F83">
        <w:t xml:space="preserve"> o trabalho</w:t>
      </w:r>
      <w:r w:rsidR="00FC513A">
        <w:t xml:space="preserve"> </w:t>
      </w:r>
      <w:r w:rsidR="00F66F83">
        <w:t>terá</w:t>
      </w:r>
      <w:r w:rsidRPr="000C0613">
        <w:t xml:space="preserve">, na sessão </w:t>
      </w:r>
      <w:r w:rsidR="00834A5B">
        <w:t>dois</w:t>
      </w:r>
      <w:r w:rsidRPr="000C0613">
        <w:t xml:space="preserve">, a revisão de literatura referente à política de defesa da concorrência e a formalização teórica do método de controle sintético. Na sessão </w:t>
      </w:r>
      <w:r w:rsidR="00834A5B">
        <w:t xml:space="preserve">três </w:t>
      </w:r>
      <w:r w:rsidRPr="000C0613">
        <w:t>3</w:t>
      </w:r>
      <w:r w:rsidR="00834A5B">
        <w:t>, a explicação</w:t>
      </w:r>
      <w:r w:rsidRPr="000C0613">
        <w:t xml:space="preserve"> </w:t>
      </w:r>
      <w:r w:rsidR="00834A5B">
        <w:t>d</w:t>
      </w:r>
      <w:r w:rsidRPr="000C0613">
        <w:t xml:space="preserve">a metodologia, as bases de dados e os pacotes estatísticos utilizados. Posteriormente, serão apresentados e debatidos os resultados da utilização do método. Por fim, serão apresentados a bibliografia e os </w:t>
      </w:r>
      <w:r w:rsidR="00B43BC3">
        <w:t>Apêndices</w:t>
      </w:r>
      <w:r w:rsidRPr="000C0613">
        <w:t xml:space="preserve">. </w:t>
      </w:r>
    </w:p>
    <w:p w14:paraId="17CD0EBA" w14:textId="77777777" w:rsidR="005C38AD" w:rsidRDefault="005C38AD" w:rsidP="00C570E0">
      <w:pPr>
        <w:spacing w:line="360" w:lineRule="auto"/>
        <w:ind w:firstLine="851"/>
        <w:jc w:val="both"/>
      </w:pPr>
    </w:p>
    <w:p w14:paraId="23883F92" w14:textId="77777777" w:rsidR="00CD4A1E" w:rsidRDefault="00CD4A1E" w:rsidP="00C570E0">
      <w:pPr>
        <w:spacing w:line="360" w:lineRule="auto"/>
        <w:ind w:firstLine="851"/>
        <w:jc w:val="both"/>
      </w:pPr>
    </w:p>
    <w:p w14:paraId="3CFB8C7F" w14:textId="77777777" w:rsidR="00CD4A1E" w:rsidRDefault="00CD4A1E" w:rsidP="00C570E0">
      <w:pPr>
        <w:spacing w:line="360" w:lineRule="auto"/>
        <w:ind w:firstLine="851"/>
        <w:jc w:val="both"/>
      </w:pPr>
    </w:p>
    <w:p w14:paraId="1949B06B" w14:textId="77777777" w:rsidR="00CD4A1E" w:rsidRDefault="00CD4A1E" w:rsidP="00C570E0">
      <w:pPr>
        <w:spacing w:line="360" w:lineRule="auto"/>
        <w:ind w:firstLine="851"/>
        <w:jc w:val="both"/>
      </w:pPr>
    </w:p>
    <w:p w14:paraId="5FCAA798" w14:textId="77777777" w:rsidR="00F66F83" w:rsidRPr="000C0613" w:rsidRDefault="00F66F83" w:rsidP="00C570E0">
      <w:pPr>
        <w:spacing w:line="360" w:lineRule="auto"/>
        <w:ind w:firstLine="851"/>
        <w:jc w:val="both"/>
      </w:pPr>
    </w:p>
    <w:p w14:paraId="4A187E3C" w14:textId="2D8446ED" w:rsidR="00602D4E" w:rsidRPr="005F4CD0" w:rsidRDefault="00290949" w:rsidP="00290949">
      <w:pPr>
        <w:pStyle w:val="PargrafodaLista"/>
        <w:numPr>
          <w:ilvl w:val="0"/>
          <w:numId w:val="12"/>
        </w:numPr>
        <w:spacing w:line="360" w:lineRule="auto"/>
        <w:jc w:val="both"/>
        <w:outlineLvl w:val="0"/>
        <w:rPr>
          <w:rFonts w:ascii="Times New Roman" w:hAnsi="Times New Roman" w:cs="Times New Roman"/>
          <w:b/>
          <w:smallCaps/>
        </w:rPr>
      </w:pPr>
      <w:bookmarkStart w:id="1" w:name="_Toc51774592"/>
      <w:r w:rsidRPr="005F4CD0">
        <w:rPr>
          <w:rFonts w:ascii="Times New Roman" w:hAnsi="Times New Roman" w:cs="Times New Roman"/>
          <w:b/>
          <w:smallCaps/>
        </w:rPr>
        <w:lastRenderedPageBreak/>
        <w:t>REVISÃO DA LITERATURA</w:t>
      </w:r>
      <w:bookmarkEnd w:id="1"/>
    </w:p>
    <w:p w14:paraId="053F9920" w14:textId="77777777" w:rsidR="00290949" w:rsidRPr="000C0613" w:rsidRDefault="00290949" w:rsidP="00290949">
      <w:pPr>
        <w:pStyle w:val="PargrafodaLista"/>
        <w:spacing w:line="360" w:lineRule="auto"/>
        <w:ind w:left="360"/>
        <w:jc w:val="both"/>
        <w:outlineLvl w:val="0"/>
        <w:rPr>
          <w:rFonts w:ascii="Times New Roman" w:hAnsi="Times New Roman" w:cs="Times New Roman"/>
          <w:b/>
          <w:smallCaps/>
          <w:sz w:val="24"/>
          <w:szCs w:val="24"/>
        </w:rPr>
      </w:pPr>
    </w:p>
    <w:p w14:paraId="28AFA9C7" w14:textId="35F9F359" w:rsidR="001241E3" w:rsidRPr="00290949" w:rsidRDefault="001241E3" w:rsidP="00290949">
      <w:pPr>
        <w:pStyle w:val="PargrafodaLista"/>
        <w:numPr>
          <w:ilvl w:val="1"/>
          <w:numId w:val="12"/>
        </w:numPr>
        <w:spacing w:line="360" w:lineRule="auto"/>
        <w:jc w:val="both"/>
        <w:outlineLvl w:val="1"/>
        <w:rPr>
          <w:rFonts w:ascii="Times New Roman" w:hAnsi="Times New Roman" w:cs="Times New Roman"/>
          <w:b/>
          <w:smallCaps/>
          <w:sz w:val="24"/>
          <w:szCs w:val="24"/>
        </w:rPr>
      </w:pPr>
      <w:r w:rsidRPr="00290949">
        <w:rPr>
          <w:rFonts w:ascii="Times New Roman" w:hAnsi="Times New Roman" w:cs="Times New Roman"/>
          <w:b/>
          <w:smallCaps/>
          <w:sz w:val="24"/>
          <w:szCs w:val="24"/>
        </w:rPr>
        <w:t xml:space="preserve">   </w:t>
      </w:r>
      <w:bookmarkStart w:id="2" w:name="_Toc51774593"/>
      <w:r w:rsidRPr="00290949">
        <w:rPr>
          <w:rFonts w:ascii="Times New Roman" w:hAnsi="Times New Roman" w:cs="Times New Roman"/>
          <w:b/>
          <w:smallCaps/>
          <w:sz w:val="24"/>
          <w:szCs w:val="24"/>
        </w:rPr>
        <w:t>Defesa da concorrência e Controle de Atos de concentração</w:t>
      </w:r>
      <w:r w:rsidR="00E47EAA" w:rsidRPr="00290949">
        <w:rPr>
          <w:rFonts w:ascii="Times New Roman" w:hAnsi="Times New Roman" w:cs="Times New Roman"/>
          <w:b/>
          <w:smallCaps/>
          <w:sz w:val="24"/>
          <w:szCs w:val="24"/>
        </w:rPr>
        <w:t>.</w:t>
      </w:r>
      <w:bookmarkEnd w:id="2"/>
    </w:p>
    <w:p w14:paraId="7610F2EF" w14:textId="25100E31" w:rsidR="00AE5464" w:rsidRPr="000C0613" w:rsidRDefault="007E5B65" w:rsidP="007E5B65">
      <w:pPr>
        <w:spacing w:line="360" w:lineRule="auto"/>
        <w:ind w:firstLine="851"/>
        <w:jc w:val="both"/>
      </w:pPr>
      <w:r w:rsidRPr="000C0613">
        <w:t>No</w:t>
      </w:r>
      <w:r w:rsidR="000638D4">
        <w:t xml:space="preserve"> Brasil, assim como na América L</w:t>
      </w:r>
      <w:r w:rsidRPr="000C0613">
        <w:t xml:space="preserve">atina, as legislações </w:t>
      </w:r>
      <w:r w:rsidR="009F00B7" w:rsidRPr="000C0613">
        <w:t>sobre regulação e concorrência</w:t>
      </w:r>
      <w:r w:rsidRPr="000C0613">
        <w:t xml:space="preserve"> ganharam maior relevância na década de 90. No caso brasileiro, devido às crises dos anos 80, várias reformas foram feitas na economia, destacando-se a abertura econômica, as privatizações e o Plano Real. O país saiu de um estado empreendedor com diversas estatais para um </w:t>
      </w:r>
      <w:r w:rsidR="001D5C71">
        <w:t>papel</w:t>
      </w:r>
      <w:r w:rsidR="004B1762">
        <w:t xml:space="preserve"> </w:t>
      </w:r>
      <w:r w:rsidRPr="000C0613">
        <w:t>mais regulador</w:t>
      </w:r>
      <w:r w:rsidR="00F47E90" w:rsidRPr="000C0613">
        <w:t xml:space="preserve"> </w:t>
      </w:r>
      <w:r w:rsidR="00F47E90" w:rsidRPr="000C0613">
        <w:fldChar w:fldCharType="begin" w:fldLock="1"/>
      </w:r>
      <w:r w:rsidR="00FD2795" w:rsidRPr="000C0613">
        <w:instrText>ADDIN CSL_CITATION {"citationItems":[{"id":"ITEM-1","itemData":{"DOI":"10.1590/S1415-65552006000200004","ISBN":"1415-6555","ISSN":"1415-6555","abstract":"É essencial, numa economia de mercado como a brasileira, que o governo possa contar com dois importantes instrumentos - que interagem e se complementam -, para garantir o crescimento econômico: a legislação antitruste e a política de regulação econômica. Nesse sentido, este artigo - apoiado na denominada Nova Economia Institucional (Williamson, 1975, 1985, 1996; North, 1984, 1997; Olson, 1996; Stiglitz, 1990) -, tem o objetivo de retratar em linhas gerais a política e o sistema de defesa da concorrência no Brasil, bem como avaliar se as decisões do Conselho Administrativo de Defesa Econômica (CADE), a partir da abertura da economia brasileira nos anos noventa, estão contribuindo para o fortalecimento institucional do sistema de defesa da concorrência no Brasil, com destaque para os atos de concentração examinados pós-1994. Concluímos que, o sistema de defesa da concorrência no Brasil necessita de maior celeridade na apreciação de determinados atos, e aperfeiçoar o mecanismo de coordenação dos órgãos do sistema, para consolidar-se institucionalmente no Brasil.","author":[{"dropping-particle":"","family":"Matias-Pereira","given":"José","non-dropping-particle":"","parse-names":false,"suffix":""}],"container-title":"Revista de Administração Contemporânea","id":"ITEM-1","issue":"2","issued":{"date-parts":[["2006"]]},"page":"51-73","title":"Políticas de defesa da concorrência e de regulação econômica: as deficiências do sistema brasileiro de defesa da concorrência","type":"article-journal","volume":"10"},"uris":["http://www.mendeley.com/documents/?uuid=e904c977-8c0d-3b18-a837-9910217b12ec"]}],"mendeley":{"formattedCitation":"(MATIAS-PEREIRA, 2006)","plainTextFormattedCitation":"(MATIAS-PEREIRA, 2006)","previouslyFormattedCitation":"(MATIAS-PEREIRA, 2006)"},"properties":{"noteIndex":0},"schema":"https://github.com/citation-style-language/schema/raw/master/csl-citation.json"}</w:instrText>
      </w:r>
      <w:r w:rsidR="00F47E90" w:rsidRPr="000C0613">
        <w:fldChar w:fldCharType="separate"/>
      </w:r>
      <w:r w:rsidR="00F47E90" w:rsidRPr="000C0613">
        <w:rPr>
          <w:noProof/>
        </w:rPr>
        <w:t>(MATIAS-PEREIRA, 2006)</w:t>
      </w:r>
      <w:r w:rsidR="00F47E90" w:rsidRPr="000C0613">
        <w:fldChar w:fldCharType="end"/>
      </w:r>
      <w:r w:rsidR="00FB1A7E">
        <w:t xml:space="preserve"> devido às privatizações e um determinado </w:t>
      </w:r>
      <w:r w:rsidR="00BB293A">
        <w:t>grau de</w:t>
      </w:r>
      <w:r w:rsidRPr="000C0613">
        <w:t xml:space="preserve"> abertura comercial. </w:t>
      </w:r>
    </w:p>
    <w:p w14:paraId="0344AB25" w14:textId="45F6C02B" w:rsidR="00F47E90" w:rsidRPr="000C0613" w:rsidRDefault="007E5B65" w:rsidP="007E5B65">
      <w:pPr>
        <w:spacing w:line="360" w:lineRule="auto"/>
        <w:ind w:firstLine="851"/>
        <w:jc w:val="both"/>
      </w:pPr>
      <w:r w:rsidRPr="000C0613">
        <w:t xml:space="preserve">É, portanto, neste contexto que </w:t>
      </w:r>
      <w:r w:rsidR="00633820">
        <w:t>foram introduzidas</w:t>
      </w:r>
      <w:r w:rsidR="00180998">
        <w:t xml:space="preserve"> revisões na</w:t>
      </w:r>
      <w:r w:rsidR="00633820">
        <w:t xml:space="preserve"> </w:t>
      </w:r>
      <w:r w:rsidR="00180998">
        <w:t>política</w:t>
      </w:r>
      <w:r w:rsidRPr="000C0613">
        <w:t xml:space="preserve"> de defesa da concorrência.</w:t>
      </w:r>
      <w:r w:rsidR="00AE5464" w:rsidRPr="000C0613">
        <w:t xml:space="preserve"> </w:t>
      </w:r>
      <w:r w:rsidR="00E03B1E">
        <w:t>Denomina-se política de defesa da concorrência</w:t>
      </w:r>
      <w:r w:rsidR="00633820">
        <w:t xml:space="preserve"> </w:t>
      </w:r>
      <w:r w:rsidR="00E03B1E">
        <w:t xml:space="preserve">as </w:t>
      </w:r>
      <w:r w:rsidR="00E03B1E" w:rsidRPr="00E03B1E">
        <w:t>políticas</w:t>
      </w:r>
      <w:r w:rsidR="00E03B1E">
        <w:t xml:space="preserve"> </w:t>
      </w:r>
      <w:r w:rsidR="00633820">
        <w:t>que dispõem</w:t>
      </w:r>
      <w:r w:rsidR="00DD38B1">
        <w:t xml:space="preserve"> </w:t>
      </w:r>
      <w:r w:rsidR="00F47E90" w:rsidRPr="000C0613">
        <w:t>sobre a prevenção e a repressão às infrações contra a ordem econômica</w:t>
      </w:r>
      <w:r w:rsidR="00FB1A7E">
        <w:t>,</w:t>
      </w:r>
      <w:r w:rsidR="00AE5464" w:rsidRPr="000C0613">
        <w:t xml:space="preserve"> atuando tanto </w:t>
      </w:r>
      <w:r w:rsidR="004D5E21">
        <w:t>em combate a essas infrações</w:t>
      </w:r>
      <w:r w:rsidR="00AE5464" w:rsidRPr="000C0613">
        <w:t xml:space="preserve"> como avaliando fusões e aquisições de empresa</w:t>
      </w:r>
      <w:r w:rsidR="00B07E49" w:rsidRPr="000C0613">
        <w:t xml:space="preserve">s que possam ter efeitos no </w:t>
      </w:r>
      <w:r w:rsidR="00633820">
        <w:t>b</w:t>
      </w:r>
      <w:r w:rsidR="00B07E49" w:rsidRPr="000C0613">
        <w:t>em-</w:t>
      </w:r>
      <w:r w:rsidR="00AE5464" w:rsidRPr="000C0613">
        <w:t>estar econômico.</w:t>
      </w:r>
    </w:p>
    <w:p w14:paraId="7C6668B4" w14:textId="1C922012" w:rsidR="007E5B65" w:rsidRPr="000C0613" w:rsidRDefault="007E5B65" w:rsidP="007E5B65">
      <w:pPr>
        <w:spacing w:line="360" w:lineRule="auto"/>
        <w:ind w:firstLine="851"/>
        <w:jc w:val="both"/>
      </w:pPr>
      <w:r w:rsidRPr="000C0613">
        <w:t>Entre outras leis importantes para a defesa da concorrência na década de 90, destaca-se como marco legal fundamental</w:t>
      </w:r>
      <w:r w:rsidR="00F47E90" w:rsidRPr="000C0613">
        <w:t>,</w:t>
      </w:r>
      <w:r w:rsidRPr="000C0613">
        <w:t xml:space="preserve"> no contexto da época</w:t>
      </w:r>
      <w:r w:rsidR="00F47E90" w:rsidRPr="000C0613">
        <w:t>,</w:t>
      </w:r>
      <w:r w:rsidRPr="000C0613">
        <w:t xml:space="preserve"> a instituição da Lei nº 8.884, a “Lei Antitruste”, de junho de </w:t>
      </w:r>
      <w:r w:rsidR="00E219DD">
        <w:fldChar w:fldCharType="begin" w:fldLock="1"/>
      </w:r>
      <w:r w:rsidR="004D588A">
        <w:instrText>ADDIN CSL_CITATION {"citationItems":[{"id":"ITEM-1","itemData":{"abstract":"Transforma o Conselho Administrativo de Defesa Econômica (CADE) em Autarquia, dispõe sobre a prevenção e a repressão às infrações contra a ordem econômica e dá outras providências.","author":[{"dropping-particle":"","family":"BRASIL","given":"","non-dropping-particle":"","parse-names":false,"suffix":""}],"id":"ITEM-1","issued":{"date-parts":[["1994"]]},"publisher":"Transforma o Conselho Administrativo de Defesa Econômica (CADE) em Autarquia, dispõe sobre a prevenção e a repressão às infrações contra a ordem econômica e dá outras providências.","publisher-place":"Brasília","title":"Lei n° 8.884, de 11 de julho de 1994.","type":"bill"},"label":"chapter","suppress-author":1,"uris":["http://www.mendeley.com/documents/?uuid=697db820-916e-4b12-96ec-0b8b7891dbe6"]}],"mendeley":{"formattedCitation":"(1994)","manualFormatting":"1994","plainTextFormattedCitation":"(1994)","previouslyFormattedCitation":"(1994)"},"properties":{"noteIndex":0},"schema":"https://github.com/citation-style-language/schema/raw/master/csl-citation.json"}</w:instrText>
      </w:r>
      <w:r w:rsidR="00E219DD">
        <w:fldChar w:fldCharType="separate"/>
      </w:r>
      <w:r w:rsidR="00E219DD" w:rsidRPr="00E219DD">
        <w:rPr>
          <w:noProof/>
        </w:rPr>
        <w:t>1994</w:t>
      </w:r>
      <w:r w:rsidR="00E219DD">
        <w:fldChar w:fldCharType="end"/>
      </w:r>
      <w:r w:rsidRPr="000C0613">
        <w:t>, que transformou o Conselho Administrativo de Defesa Econômica (</w:t>
      </w:r>
      <w:proofErr w:type="spellStart"/>
      <w:r w:rsidRPr="000C0613">
        <w:t>Cade</w:t>
      </w:r>
      <w:proofErr w:type="spellEnd"/>
      <w:r w:rsidRPr="000C0613">
        <w:t xml:space="preserve">) em Autarquia e dispôs sobre a prevenção e a repressão às infrações contra a ordem econômica, aumentando as atribuições do </w:t>
      </w:r>
      <w:proofErr w:type="spellStart"/>
      <w:r w:rsidRPr="000C0613">
        <w:t>Cade</w:t>
      </w:r>
      <w:proofErr w:type="spellEnd"/>
      <w:r w:rsidRPr="000C0613">
        <w:t xml:space="preserve"> e transformando-o </w:t>
      </w:r>
      <w:r w:rsidR="00E03B1E">
        <w:t>em uma agê</w:t>
      </w:r>
      <w:r w:rsidRPr="000C0613">
        <w:t xml:space="preserve">ncia independente para efetivamente proceder a aplicação da legislação </w:t>
      </w:r>
      <w:r w:rsidR="00696C88" w:rsidRPr="000C0613">
        <w:t xml:space="preserve">da concorrência </w:t>
      </w:r>
      <w:r w:rsidR="00696C88" w:rsidRPr="000C0613">
        <w:fldChar w:fldCharType="begin" w:fldLock="1"/>
      </w:r>
      <w:r w:rsidR="00E70DBC">
        <w:instrText>ADDIN CSL_CITATION {"citationItems":[{"id":"ITEM-1","itemData":{"abstract":"Este trabalho pretende mostrar alguns dos aspectos, insertos no contexto de política antitruste, que sejam relevantes para o caso brasileiro. Para tanto, o presente estudo é dividido em cinco partes. O Capítulo I – Introdução, que, conforme a sugestão do título, simultaneamente introduz e sublinha o que será tratado nos capítulos subseqüentes. O Capítulo II – Visão geral ou compreendendo o antitruste, que esboça uma visão panorâmica do assunto, primeiramente fazendo um apanhado histórico, em seguida discutindo os temas atuação do Estado, globalização e competitividade e concluindo com a apresentação de alguns conceitos essenciais no âmbito do antitruste. O Capítulo III – A política antitruste no Brasil, que aborda a política antitruste nacional, discorrendo sobre a evolução legal dos institutos antitruste, destacando a dimensão estratégica da disciplina e a sua inserção no planejamento de longo prazo do governo brasileiro e apresentando, como fecho, o atual Sistema Brasileiro de Defesa da Concorrência – SBDC, sua composição e formas de atuação. O Capítulo IV – Política antitruste, conexões e desdobramentos, que pontua as ligações e inferências no tema julgadas relevantes para o caso brasileiro: as interações com o desenvolvimento de vantagens competitivas, o peso na formulação de estratégias competitivas, os objetivos e instrumentos de política antitruste amplamente aceitos, os princípios para um desenho institucional desejável para o arcabouço antitruste e, por fim, os aspectos críticos que o modelo nacional exibe, com os respectivos melhoramentos sugeridos. Finalmente, à guisa de conclusão, o Capítulo V – Considerações finais, que tece algumas reflexões consoantes à matéria focalizada ao longo do texto.","author":[{"dropping-particle":"","family":"MONTEIRO","given":"CARMEN BELTRÃO","non-dropping-particle":"","parse-names":false,"suffix":""}],"id":"ITEM-1","issued":{"date-parts":[["2003"]]},"publisher":"FUNDAÇÃO GETÚLIO VARGAS - FGV","title":"Política Antitruste: aspectos relevantes para o caso brasileiro","type":"thesis"},"uris":["http://www.mendeley.com/documents/?uuid=e549e302-e1c6-4a69-895e-ff81ab12e12a"]}],"mendeley":{"formattedCitation":"(MONTEIRO, 2003)","plainTextFormattedCitation":"(MONTEIRO, 2003)","previouslyFormattedCitation":"(MONTEIRO, 2003)"},"properties":{"noteIndex":0},"schema":"https://github.com/citation-style-language/schema/raw/master/csl-citation.json"}</w:instrText>
      </w:r>
      <w:r w:rsidR="00696C88" w:rsidRPr="000C0613">
        <w:fldChar w:fldCharType="separate"/>
      </w:r>
      <w:r w:rsidR="00696C88" w:rsidRPr="000C0613">
        <w:rPr>
          <w:noProof/>
        </w:rPr>
        <w:t>(MONTEIRO, 2003)</w:t>
      </w:r>
      <w:r w:rsidR="00696C88" w:rsidRPr="000C0613">
        <w:fldChar w:fldCharType="end"/>
      </w:r>
      <w:r w:rsidRPr="000C0613">
        <w:t xml:space="preserve"> </w:t>
      </w:r>
    </w:p>
    <w:p w14:paraId="7FCBBF6B" w14:textId="3EB85647" w:rsidR="00FB662D" w:rsidRPr="000C0613" w:rsidRDefault="00FB662D" w:rsidP="00FB662D">
      <w:pPr>
        <w:spacing w:line="360" w:lineRule="auto"/>
        <w:ind w:firstLine="851"/>
        <w:jc w:val="both"/>
      </w:pPr>
      <w:r w:rsidRPr="000C0613">
        <w:t xml:space="preserve">A Lei 8.884/94 estabeleceu a regra de notificação ao </w:t>
      </w:r>
      <w:proofErr w:type="spellStart"/>
      <w:r w:rsidRPr="000C0613">
        <w:t>Cade</w:t>
      </w:r>
      <w:proofErr w:type="spellEnd"/>
      <w:r w:rsidRPr="000C0613">
        <w:t xml:space="preserve"> operações que envolvessem empresas ou grupos empresariais com faturamento igual ou superior a R$ 400 milhões ou que resultassem em uma concentração de mercado de 20% ou mais. Além disso, a lei também previa a submissão da operação de fusão ou aquisição após o acordo entre as partes, no prazo de até 15 dias após sua realização</w:t>
      </w:r>
      <w:r w:rsidR="00FD2795" w:rsidRPr="000C0613">
        <w:t xml:space="preserve"> </w:t>
      </w:r>
      <w:r w:rsidR="00FD2795" w:rsidRPr="000C0613">
        <w:fldChar w:fldCharType="begin" w:fldLock="1"/>
      </w:r>
      <w:r w:rsidR="009156FC">
        <w:instrText>ADDIN CSL_CITATION {"citationItems":[{"id":"ITEM-1","itemData":{"author":[{"dropping-particle":"de","family":"Carvalho","given":"Julia Mendes","non-dropping-particle":"","parse-names":false,"suffix":""}],"container-title":"RDC","id":"ITEM-1","issue":"2","issued":{"date-parts":[["2013"]]},"page":"134-148","title":"A nova lei da concorrência e o impacto de suas mudanças nas análises de atos de concentração pelo Cade","type":"article-journal","volume":"1"},"uris":["http://www.mendeley.com/documents/?uuid=92eb9070-7823-48a6-9e46-5767db25d590"]}],"mendeley":{"formattedCitation":"(CARVALHO, 2013)","plainTextFormattedCitation":"(CARVALHO, 2013)","previouslyFormattedCitation":"(CARVALHO, 2013)"},"properties":{"noteIndex":0},"schema":"https://github.com/citation-style-language/schema/raw/master/csl-citation.json"}</w:instrText>
      </w:r>
      <w:r w:rsidR="00FD2795" w:rsidRPr="000C0613">
        <w:fldChar w:fldCharType="separate"/>
      </w:r>
      <w:r w:rsidR="009156FC" w:rsidRPr="009156FC">
        <w:rPr>
          <w:noProof/>
        </w:rPr>
        <w:t>(CARVALHO, 2013)</w:t>
      </w:r>
      <w:r w:rsidR="00FD2795" w:rsidRPr="000C0613">
        <w:fldChar w:fldCharType="end"/>
      </w:r>
      <w:r w:rsidRPr="000C0613">
        <w:t xml:space="preserve">, ou seja, a notificação ao Conselho se dava após a pactuação entre os agentes. </w:t>
      </w:r>
      <w:r w:rsidR="00FB1A7E">
        <w:t>Sendo assim</w:t>
      </w:r>
      <w:r w:rsidRPr="000C0613">
        <w:t xml:space="preserve">, essa notificação para os atos de concentração era feita </w:t>
      </w:r>
      <w:r w:rsidRPr="00B25B79">
        <w:rPr>
          <w:i/>
        </w:rPr>
        <w:t>a posteriori</w:t>
      </w:r>
      <w:r w:rsidRPr="000C0613">
        <w:t>, sendo o Brasil um dos poucos</w:t>
      </w:r>
      <w:r w:rsidR="00FB1A7E">
        <w:t xml:space="preserve"> países</w:t>
      </w:r>
      <w:r w:rsidRPr="000C0613">
        <w:t xml:space="preserve"> a adotar esta regra </w:t>
      </w:r>
      <w:r w:rsidRPr="000C0613">
        <w:fldChar w:fldCharType="begin" w:fldLock="1"/>
      </w:r>
      <w:r w:rsidRPr="000C0613">
        <w:instrText>ADDIN CSL_CITATION {"citationItems":[{"id":"ITEM-1","itemData":{"author":[{"dropping-particle":"","family":"Bruna Souza","given":"Silveira","non-dropping-particle":"","parse-names":false,"suffix":""}],"container-title":"Revista Discente DIREITO GV","id":"ITEM-1","issued":{"date-parts":[["2012"]]},"page":"pp. 026 - 038","title":"A nova lei de defesa da concorrência - lei 12.529/2011","type":"article-journal","volume":"55"},"uris":["http://www.mendeley.com/documents/?uuid=5b2934a8-8c08-4120-8e9a-6347fcdec303"]}],"mendeley":{"formattedCitation":"(BRUNA SOUZA, 2012)","plainTextFormattedCitation":"(BRUNA SOUZA, 2012)","previouslyFormattedCitation":"(BRUNA SOUZA, 2012)"},"properties":{"noteIndex":0},"schema":"https://github.com/citation-style-language/schema/raw/master/csl-citation.json"}</w:instrText>
      </w:r>
      <w:r w:rsidRPr="000C0613">
        <w:fldChar w:fldCharType="separate"/>
      </w:r>
      <w:r w:rsidRPr="000C0613">
        <w:rPr>
          <w:noProof/>
        </w:rPr>
        <w:t>(BRUNA SOUZA, 2012)</w:t>
      </w:r>
      <w:r w:rsidRPr="000C0613">
        <w:fldChar w:fldCharType="end"/>
      </w:r>
    </w:p>
    <w:p w14:paraId="467B70B8" w14:textId="2031DDD0" w:rsidR="00FD2795" w:rsidRPr="000C0613" w:rsidRDefault="00FB662D" w:rsidP="00FB662D">
      <w:pPr>
        <w:spacing w:line="360" w:lineRule="auto"/>
        <w:ind w:firstLine="851"/>
        <w:jc w:val="both"/>
      </w:pPr>
      <w:r w:rsidRPr="000C0613">
        <w:t xml:space="preserve">No entanto, à época, uma das principais preocupações acerca desta legislação eram as ineficiências econômicas e operacionais que uma avaliação </w:t>
      </w:r>
      <w:r w:rsidRPr="00043848">
        <w:rPr>
          <w:i/>
        </w:rPr>
        <w:t>a posteriori</w:t>
      </w:r>
      <w:r w:rsidRPr="000C0613">
        <w:t xml:space="preserve"> de atos de concentração</w:t>
      </w:r>
      <w:r w:rsidR="00043848">
        <w:t xml:space="preserve"> geraria</w:t>
      </w:r>
      <w:r w:rsidR="00FD2795" w:rsidRPr="000C0613">
        <w:t xml:space="preserve">. De fato, no regime de notificação posterior </w:t>
      </w:r>
      <w:r w:rsidR="00600245">
        <w:t>geravam</w:t>
      </w:r>
      <w:r w:rsidR="00FD2795" w:rsidRPr="000C0613">
        <w:t xml:space="preserve"> incentivos </w:t>
      </w:r>
      <w:r w:rsidR="00FD2795" w:rsidRPr="000C0613">
        <w:lastRenderedPageBreak/>
        <w:t>à</w:t>
      </w:r>
      <w:r w:rsidR="00F329B6">
        <w:t>s</w:t>
      </w:r>
      <w:r w:rsidR="00FD2795" w:rsidRPr="000C0613">
        <w:t xml:space="preserve"> empresas interessadas para protelar a decisão final do processo, uma vez que quanto mais consolidada a operação estava</w:t>
      </w:r>
      <w:r w:rsidR="00633820">
        <w:t>,</w:t>
      </w:r>
      <w:r w:rsidR="00FD2795" w:rsidRPr="000C0613">
        <w:t xml:space="preserve"> maiores seriam os custos de uma reprovação do ato de concentração </w:t>
      </w:r>
      <w:r w:rsidR="00FD2795" w:rsidRPr="000C0613">
        <w:fldChar w:fldCharType="begin" w:fldLock="1"/>
      </w:r>
      <w:r w:rsidR="009156FC">
        <w:instrText>ADDIN CSL_CITATION {"citationItems":[{"id":"ITEM-1","itemData":{"author":[{"dropping-particle":"de","family":"Carvalho","given":"Julia Mendes","non-dropping-particle":"","parse-names":false,"suffix":""}],"container-title":"RDC","id":"ITEM-1","issue":"2","issued":{"date-parts":[["2013"]]},"page":"134-148","title":"A nova lei da concorrência e o impacto de suas mudanças nas análises de atos de concentração pelo Cade","type":"article-journal","volume":"1"},"uris":["http://www.mendeley.com/documents/?uuid=92eb9070-7823-48a6-9e46-5767db25d590"]}],"mendeley":{"formattedCitation":"(CARVALHO, 2013)","plainTextFormattedCitation":"(CARVALHO, 2013)","previouslyFormattedCitation":"(CARVALHO, 2013)"},"properties":{"noteIndex":0},"schema":"https://github.com/citation-style-language/schema/raw/master/csl-citation.json"}</w:instrText>
      </w:r>
      <w:r w:rsidR="00FD2795" w:rsidRPr="000C0613">
        <w:fldChar w:fldCharType="separate"/>
      </w:r>
      <w:r w:rsidR="009156FC" w:rsidRPr="009156FC">
        <w:rPr>
          <w:noProof/>
        </w:rPr>
        <w:t>(CARVALHO, 2013)</w:t>
      </w:r>
      <w:r w:rsidR="00FD2795" w:rsidRPr="000C0613">
        <w:fldChar w:fldCharType="end"/>
      </w:r>
      <w:r w:rsidRPr="000C0613">
        <w:t>.</w:t>
      </w:r>
      <w:r w:rsidR="003D27D7">
        <w:t xml:space="preserve"> Assim, </w:t>
      </w:r>
      <w:r w:rsidR="003D27D7">
        <w:rPr>
          <w:rFonts w:ascii="TimesNewRomanPSMT" w:hAnsi="TimesNewRomanPSMT"/>
          <w:color w:val="000000"/>
        </w:rPr>
        <w:t>inexistia</w:t>
      </w:r>
      <w:r w:rsidR="00A61B09">
        <w:rPr>
          <w:rFonts w:ascii="TimesNewRomanPSMT" w:hAnsi="TimesNewRomanPSMT"/>
          <w:color w:val="000000"/>
        </w:rPr>
        <w:t>m</w:t>
      </w:r>
      <w:r w:rsidR="003D27D7">
        <w:rPr>
          <w:rFonts w:ascii="TimesNewRomanPSMT" w:hAnsi="TimesNewRomanPSMT"/>
          <w:color w:val="000000"/>
        </w:rPr>
        <w:t xml:space="preserve"> </w:t>
      </w:r>
      <w:r w:rsidR="003D27D7" w:rsidRPr="003D27D7">
        <w:rPr>
          <w:rFonts w:ascii="TimesNewRomanPSMT" w:hAnsi="TimesNewRomanPSMT"/>
          <w:color w:val="000000"/>
        </w:rPr>
        <w:t>incentivos para que as empresas cooperassem plenamente com as</w:t>
      </w:r>
      <w:r w:rsidR="00043848">
        <w:rPr>
          <w:rFonts w:ascii="TimesNewRomanPSMT" w:hAnsi="TimesNewRomanPSMT"/>
          <w:color w:val="000000"/>
        </w:rPr>
        <w:t xml:space="preserve"> </w:t>
      </w:r>
      <w:r w:rsidR="003D27D7">
        <w:rPr>
          <w:rFonts w:ascii="TimesNewRomanPSMT" w:hAnsi="TimesNewRomanPSMT"/>
          <w:color w:val="000000"/>
        </w:rPr>
        <w:t xml:space="preserve">autoridades, bem como </w:t>
      </w:r>
      <w:r w:rsidR="008F1913">
        <w:rPr>
          <w:rFonts w:ascii="TimesNewRomanPSMT" w:hAnsi="TimesNewRomanPSMT"/>
          <w:color w:val="000000"/>
        </w:rPr>
        <w:t xml:space="preserve">se </w:t>
      </w:r>
      <w:r w:rsidR="003D27D7">
        <w:rPr>
          <w:rFonts w:ascii="TimesNewRomanPSMT" w:hAnsi="TimesNewRomanPSMT"/>
          <w:color w:val="000000"/>
        </w:rPr>
        <w:t xml:space="preserve">dificultava a </w:t>
      </w:r>
      <w:r w:rsidR="003D27D7" w:rsidRPr="003D27D7">
        <w:rPr>
          <w:rFonts w:ascii="TimesNewRomanPSMT" w:hAnsi="TimesNewRomanPSMT"/>
          <w:color w:val="000000"/>
        </w:rPr>
        <w:t>implementação de remédios às operações</w:t>
      </w:r>
      <w:r w:rsidR="003D27D7">
        <w:rPr>
          <w:rFonts w:ascii="TimesNewRomanPSMT" w:hAnsi="TimesNewRomanPSMT"/>
          <w:color w:val="000000"/>
        </w:rPr>
        <w:t xml:space="preserve"> </w:t>
      </w:r>
      <w:r w:rsidR="003D27D7">
        <w:rPr>
          <w:rFonts w:ascii="TimesNewRomanPSMT" w:hAnsi="TimesNewRomanPSMT"/>
          <w:color w:val="000000"/>
        </w:rPr>
        <w:fldChar w:fldCharType="begin" w:fldLock="1"/>
      </w:r>
      <w:r w:rsidR="00E04906">
        <w:rPr>
          <w:rFonts w:ascii="TimesNewRomanPSMT" w:hAnsi="TimesNewRomanPSMT"/>
          <w:color w:val="000000"/>
        </w:rPr>
        <w:instrText>ADDIN CSL_CITATION {"citationItems":[{"id":"ITEM-1","itemData":{"author":[{"dropping-particle":"","family":"Ragazzo","given":"Carlos Emmanuel Joppert","non-dropping-particle":"","parse-names":false,"suffix":""},{"dropping-particle":"de","family":"Carvalho","given":"Vinicius Marques","non-dropping-particle":"","parse-names":false,"suffix":""}],"chapter-number":"1","container-title":"5 anos Lei de Defesa da Concorr</w:instrText>
      </w:r>
      <w:r w:rsidR="00E04906">
        <w:rPr>
          <w:rFonts w:ascii="TimesNewRomanPSMT" w:hAnsi="TimesNewRomanPSMT" w:hint="eastAsia"/>
          <w:color w:val="000000"/>
        </w:rPr>
        <w:instrText>ê</w:instrText>
      </w:r>
      <w:r w:rsidR="00E04906">
        <w:rPr>
          <w:rFonts w:ascii="TimesNewRomanPSMT" w:hAnsi="TimesNewRomanPSMT"/>
          <w:color w:val="000000"/>
        </w:rPr>
        <w:instrText>ncia: g</w:instrText>
      </w:r>
      <w:r w:rsidR="00E04906">
        <w:rPr>
          <w:rFonts w:ascii="TimesNewRomanPSMT" w:hAnsi="TimesNewRomanPSMT" w:hint="eastAsia"/>
          <w:color w:val="000000"/>
        </w:rPr>
        <w:instrText>ê</w:instrText>
      </w:r>
      <w:r w:rsidR="00E04906">
        <w:rPr>
          <w:rFonts w:ascii="TimesNewRomanPSMT" w:hAnsi="TimesNewRomanPSMT"/>
          <w:color w:val="000000"/>
        </w:rPr>
        <w:instrText>nese, jurisprud</w:instrText>
      </w:r>
      <w:r w:rsidR="00E04906">
        <w:rPr>
          <w:rFonts w:ascii="TimesNewRomanPSMT" w:hAnsi="TimesNewRomanPSMT" w:hint="eastAsia"/>
          <w:color w:val="000000"/>
        </w:rPr>
        <w:instrText>ê</w:instrText>
      </w:r>
      <w:r w:rsidR="00E04906">
        <w:rPr>
          <w:rFonts w:ascii="TimesNewRomanPSMT" w:hAnsi="TimesNewRomanPSMT"/>
          <w:color w:val="000000"/>
        </w:rPr>
        <w:instrText>ncia e desafios para o futuro","editor":[{"dropping-particle":"","family":"Eduardo Caminati Anders","given":"Guilherme Favaro Corvo Ribas","non-dropping-particle":"","parse-names":false,"suffix":""},{"dropping-particle":"","family":"Mariana Villela, Pedro Paulo Salles Cristofaro","given":"Vicente Bagnoli","non-dropping-particle":"","parse-names":false,"suffix":""}],"id":"ITEM-1","issued":{"date-parts":[["2017"]]},"page":"22-34","publisher":"IBRAC","title":"A Evolu</w:instrText>
      </w:r>
      <w:r w:rsidR="00E04906">
        <w:rPr>
          <w:rFonts w:ascii="TimesNewRomanPSMT" w:hAnsi="TimesNewRomanPSMT" w:hint="eastAsia"/>
          <w:color w:val="000000"/>
        </w:rPr>
        <w:instrText>çã</w:instrText>
      </w:r>
      <w:r w:rsidR="00E04906">
        <w:rPr>
          <w:rFonts w:ascii="TimesNewRomanPSMT" w:hAnsi="TimesNewRomanPSMT"/>
          <w:color w:val="000000"/>
        </w:rPr>
        <w:instrText>o do Antitruste no Brasil - A Pol</w:instrText>
      </w:r>
      <w:r w:rsidR="00E04906">
        <w:rPr>
          <w:rFonts w:ascii="TimesNewRomanPSMT" w:hAnsi="TimesNewRomanPSMT" w:hint="eastAsia"/>
          <w:color w:val="000000"/>
        </w:rPr>
        <w:instrText>í</w:instrText>
      </w:r>
      <w:r w:rsidR="00E04906">
        <w:rPr>
          <w:rFonts w:ascii="TimesNewRomanPSMT" w:hAnsi="TimesNewRomanPSMT"/>
          <w:color w:val="000000"/>
        </w:rPr>
        <w:instrText>tica de Defesa da Concorr</w:instrText>
      </w:r>
      <w:r w:rsidR="00E04906">
        <w:rPr>
          <w:rFonts w:ascii="TimesNewRomanPSMT" w:hAnsi="TimesNewRomanPSMT" w:hint="eastAsia"/>
          <w:color w:val="000000"/>
        </w:rPr>
        <w:instrText>ê</w:instrText>
      </w:r>
      <w:r w:rsidR="00E04906">
        <w:rPr>
          <w:rFonts w:ascii="TimesNewRomanPSMT" w:hAnsi="TimesNewRomanPSMT"/>
          <w:color w:val="000000"/>
        </w:rPr>
        <w:instrText>ncia sob a Lei 12.529/11","type":"chapter"},"uris":["http://www.mendeley.com/documents/?uuid=9b8f307a-5492-4633-a05b-3e8ae3fcf221"]}],"mendeley":{"formattedCitation":"(RAGAZZO; CARVALHO, 2017)","plainTextFormattedCitation":"(RAGAZZO; CARVALHO, 2017)","previouslyFormattedCitation":"(RAGAZZO; CARVALHO, 2017)"},"properties":{"noteIndex":0},"schema":"https://github.com/citation-style-language/schema/raw/master/csl-citation.json"}</w:instrText>
      </w:r>
      <w:r w:rsidR="003D27D7">
        <w:rPr>
          <w:rFonts w:ascii="TimesNewRomanPSMT" w:hAnsi="TimesNewRomanPSMT"/>
          <w:color w:val="000000"/>
        </w:rPr>
        <w:fldChar w:fldCharType="separate"/>
      </w:r>
      <w:r w:rsidR="003D27D7" w:rsidRPr="003D27D7">
        <w:rPr>
          <w:rFonts w:ascii="TimesNewRomanPSMT" w:hAnsi="TimesNewRomanPSMT"/>
          <w:noProof/>
          <w:color w:val="000000"/>
        </w:rPr>
        <w:t>(RAGAZZO; CARVALHO, 2017)</w:t>
      </w:r>
      <w:r w:rsidR="003D27D7">
        <w:rPr>
          <w:rFonts w:ascii="TimesNewRomanPSMT" w:hAnsi="TimesNewRomanPSMT"/>
          <w:color w:val="000000"/>
        </w:rPr>
        <w:fldChar w:fldCharType="end"/>
      </w:r>
      <w:r w:rsidR="003D27D7">
        <w:rPr>
          <w:rFonts w:ascii="TimesNewRomanPSMT" w:hAnsi="TimesNewRomanPSMT"/>
          <w:color w:val="000000"/>
        </w:rPr>
        <w:t>.</w:t>
      </w:r>
      <w:r w:rsidR="003D27D7" w:rsidRPr="003D27D7">
        <w:t xml:space="preserve"> </w:t>
      </w:r>
      <w:r w:rsidRPr="000C0613">
        <w:t xml:space="preserve"> </w:t>
      </w:r>
    </w:p>
    <w:p w14:paraId="1FE0019F" w14:textId="7BFDCD71" w:rsidR="00657D08" w:rsidRDefault="00FB662D" w:rsidP="00FB662D">
      <w:pPr>
        <w:spacing w:line="360" w:lineRule="auto"/>
        <w:ind w:firstLine="851"/>
        <w:jc w:val="both"/>
      </w:pPr>
      <w:r w:rsidRPr="000C0613">
        <w:t xml:space="preserve">Argumenta-se, neste trabalho, que esta regra </w:t>
      </w:r>
      <w:r w:rsidR="00A61B09">
        <w:t>gerava</w:t>
      </w:r>
      <w:r w:rsidR="00FD2795" w:rsidRPr="000C0613">
        <w:t xml:space="preserve"> outro problema</w:t>
      </w:r>
      <w:r w:rsidR="00B07E49" w:rsidRPr="000C0613">
        <w:t>:</w:t>
      </w:r>
      <w:r w:rsidR="00FD2795" w:rsidRPr="000C0613">
        <w:t xml:space="preserve"> </w:t>
      </w:r>
      <w:r w:rsidR="00B07E49" w:rsidRPr="000C0613">
        <w:t>a</w:t>
      </w:r>
      <w:r w:rsidRPr="000C0613">
        <w:t xml:space="preserve"> insegurança jurídica</w:t>
      </w:r>
      <w:r w:rsidR="00FD2795" w:rsidRPr="000C0613">
        <w:t xml:space="preserve">. </w:t>
      </w:r>
      <w:r w:rsidR="00ED4339" w:rsidRPr="000C0613">
        <w:t xml:space="preserve">A </w:t>
      </w:r>
      <w:r w:rsidR="009A7DF6">
        <w:t>hipótese</w:t>
      </w:r>
      <w:r w:rsidR="00ED4339" w:rsidRPr="000C0613">
        <w:t xml:space="preserve"> que este trabalho pretende averiguar é </w:t>
      </w:r>
      <w:r w:rsidR="00633820">
        <w:t>se esta</w:t>
      </w:r>
      <w:r w:rsidR="00ED4339" w:rsidRPr="000C0613">
        <w:t xml:space="preserve"> </w:t>
      </w:r>
      <w:r w:rsidRPr="000C0613">
        <w:t>insegurança não estaria restrita somente às empresas nacionais, tendo efeitos também nas empresas estrangeiras que demonstrasse</w:t>
      </w:r>
      <w:r w:rsidR="00633820">
        <w:t>m</w:t>
      </w:r>
      <w:r w:rsidRPr="000C0613">
        <w:t xml:space="preserve"> interesse em entrar no mercado brasileiro via fusões e aquisições de empresas nacionais</w:t>
      </w:r>
      <w:r w:rsidR="00633820">
        <w:t xml:space="preserve">. Ou seja, </w:t>
      </w:r>
      <w:r w:rsidRPr="000C0613">
        <w:t xml:space="preserve">as empresas estrangeiras não enfrentariam os riscos e os custos associados a uma operação de aquisição e fusão devido ao receio </w:t>
      </w:r>
      <w:r w:rsidR="00B07E49" w:rsidRPr="000C0613">
        <w:t xml:space="preserve">de que a operação fosse </w:t>
      </w:r>
      <w:r w:rsidR="005240AF">
        <w:t>investigada</w:t>
      </w:r>
      <w:r w:rsidR="007D46C1">
        <w:t xml:space="preserve"> posteriormente ao ato de aquisição</w:t>
      </w:r>
      <w:r w:rsidRPr="000C0613">
        <w:t>.</w:t>
      </w:r>
    </w:p>
    <w:p w14:paraId="704BE1F4" w14:textId="0FD8B85D" w:rsidR="00732363" w:rsidRDefault="00E04F9E" w:rsidP="00FB662D">
      <w:pPr>
        <w:spacing w:line="360" w:lineRule="auto"/>
        <w:ind w:firstLine="851"/>
        <w:jc w:val="both"/>
      </w:pPr>
      <w:r>
        <w:t xml:space="preserve">No </w:t>
      </w:r>
      <w:r w:rsidR="005240AF">
        <w:t>e</w:t>
      </w:r>
      <w:r>
        <w:t xml:space="preserve">ntanto, </w:t>
      </w:r>
      <w:r w:rsidR="00732363">
        <w:t>em sentido contrário ao sistema de notificação prévia,</w:t>
      </w:r>
      <w:r>
        <w:t xml:space="preserve"> </w:t>
      </w:r>
      <w:r w:rsidR="00732363">
        <w:t>segundo Castro</w:t>
      </w:r>
      <w:r>
        <w:t xml:space="preserve"> (</w:t>
      </w:r>
      <w:r w:rsidRPr="00E04F9E">
        <w:t>2012</w:t>
      </w:r>
      <w:r>
        <w:t xml:space="preserve">) </w:t>
      </w:r>
      <w:r w:rsidR="00732363">
        <w:t>citado por</w:t>
      </w:r>
      <w:r>
        <w:t xml:space="preserve"> </w:t>
      </w:r>
      <w:proofErr w:type="spellStart"/>
      <w:r>
        <w:t>Voronkoff</w:t>
      </w:r>
      <w:proofErr w:type="spellEnd"/>
      <w:r w:rsidR="00732363">
        <w:t xml:space="preserve"> </w:t>
      </w:r>
      <w:r>
        <w:fldChar w:fldCharType="begin" w:fldLock="1"/>
      </w:r>
      <w:r>
        <w:instrText>ADDIN CSL_CITATION {"citationItems":[{"id":"ITEM-1","itemData":{"abstract":"The scope of this article is to analyze the changes introduced by the new law of the Brazilian Antitrust System - Law No. 12.529/11, with main focus on its administrative structure changes and in the analysis prior of the merger procedure, performing a study under a legalistic bias. Indeed, it analyzes the advantages and disadvantages that the new law led to the whole antitrust system and to the modus operandi of the main Brazilian institution to protect competition in the country. In this sense, empirical data from the first year of operation of the Conselho Administrativo de Defesa Econômica and the results that the proposed amendments by Law No. 12.529/11 brought are demonstrated. Therefore, this study provides a better understanding of the role of antitrust agencies and the procedure that involves the operations of market concentration, as also demonstrate the advantages and disadvantages that permeate the current antitrust system.","author":[{"dropping-particle":"","family":"Voronkoff","given":"Igor","non-dropping-particle":"","parse-names":false,"suffix":""}],"container-title":"Revista de Defesa da Concorrência","id":"ITEM-1","issue":"12","issued":{"date-parts":[["2014"]]},"page":"144-179","title":"O novo sistema brasileiro de defesa da concorrência : estrutura administrativa e análise prévia dos atos de concentração","type":"article-journal","volume":"2"},"uris":["http://www.mendeley.com/documents/?uuid=7610ac19-93ff-471f-b018-196a9ef00204"]}],"mendeley":{"formattedCitation":"(VORONKOFF, 2014)","manualFormatting":"(2014)","plainTextFormattedCitation":"(VORONKOFF, 2014)","previouslyFormattedCitation":"(VORONKOFF, 2014)"},"properties":{"noteIndex":0},"schema":"https://github.com/citation-style-language/schema/raw/master/csl-citation.json"}</w:instrText>
      </w:r>
      <w:r>
        <w:fldChar w:fldCharType="separate"/>
      </w:r>
      <w:r>
        <w:rPr>
          <w:noProof/>
        </w:rPr>
        <w:t>(</w:t>
      </w:r>
      <w:r w:rsidRPr="00E04F9E">
        <w:rPr>
          <w:noProof/>
        </w:rPr>
        <w:t>2014)</w:t>
      </w:r>
      <w:r>
        <w:fldChar w:fldCharType="end"/>
      </w:r>
      <w:r>
        <w:t xml:space="preserve">, não haveria preocupação sobre a segurança jurídica do </w:t>
      </w:r>
      <w:r w:rsidR="00732363">
        <w:t xml:space="preserve">sistema de análise posterior, uma vez que as empresas já sabiam que restrições poderiam ser impostas pelo </w:t>
      </w:r>
      <w:proofErr w:type="spellStart"/>
      <w:r w:rsidR="00732363">
        <w:t>Cade</w:t>
      </w:r>
      <w:proofErr w:type="spellEnd"/>
      <w:r w:rsidR="00732363">
        <w:t>, podendo, inclusive, reprovar um ato de concentração de forma integral. Ainda segundo o autor citado,</w:t>
      </w:r>
      <w:r w:rsidR="007B4460">
        <w:t xml:space="preserve"> </w:t>
      </w:r>
      <w:r w:rsidR="00732363">
        <w:t xml:space="preserve">a Lei nº 8.884/94 </w:t>
      </w:r>
      <w:r w:rsidR="007B4460">
        <w:t xml:space="preserve">estabelecia </w:t>
      </w:r>
      <w:r w:rsidR="00732363">
        <w:t>instrumentos legais hábeis para o restabelecimento da situação anterior</w:t>
      </w:r>
      <w:r w:rsidR="007B4460">
        <w:t xml:space="preserve"> antes de efetuar a operação.</w:t>
      </w:r>
    </w:p>
    <w:p w14:paraId="08A01EA2" w14:textId="73269400" w:rsidR="00FB662D" w:rsidRDefault="007B4460" w:rsidP="00FB662D">
      <w:pPr>
        <w:spacing w:line="360" w:lineRule="auto"/>
        <w:ind w:firstLine="851"/>
        <w:jc w:val="both"/>
        <w:rPr>
          <w:rStyle w:val="tlid-translation"/>
          <w:lang w:val="pt-PT"/>
        </w:rPr>
      </w:pPr>
      <w:r>
        <w:t>Além disso, o</w:t>
      </w:r>
      <w:r w:rsidR="00657D08">
        <w:t xml:space="preserve"> </w:t>
      </w:r>
      <w:r w:rsidR="00657D08" w:rsidRPr="00657D08">
        <w:t xml:space="preserve">controle </w:t>
      </w:r>
      <w:r w:rsidR="009A7DF6">
        <w:t>pós-fusão provavelmente reduziria</w:t>
      </w:r>
      <w:r w:rsidR="00657D08" w:rsidRPr="00657D08">
        <w:t xml:space="preserve"> os erros de decisão graças à disponibilidade de informações </w:t>
      </w:r>
      <w:proofErr w:type="spellStart"/>
      <w:r w:rsidR="00657D08" w:rsidRPr="00657D08">
        <w:rPr>
          <w:i/>
        </w:rPr>
        <w:t>ex</w:t>
      </w:r>
      <w:proofErr w:type="spellEnd"/>
      <w:r w:rsidR="00657D08" w:rsidRPr="00657D08">
        <w:rPr>
          <w:i/>
        </w:rPr>
        <w:t xml:space="preserve"> post</w:t>
      </w:r>
      <w:r w:rsidR="00657D08" w:rsidRPr="00657D08">
        <w:t xml:space="preserve">, </w:t>
      </w:r>
      <w:r w:rsidR="00363624">
        <w:t>ou seja,</w:t>
      </w:r>
      <w:r w:rsidR="00363624">
        <w:rPr>
          <w:rStyle w:val="tlid-translation"/>
          <w:lang w:val="pt-PT"/>
        </w:rPr>
        <w:t xml:space="preserve"> </w:t>
      </w:r>
      <w:r w:rsidR="00251F6D">
        <w:rPr>
          <w:rStyle w:val="tlid-translation"/>
          <w:lang w:val="pt-PT"/>
        </w:rPr>
        <w:t>neste caso</w:t>
      </w:r>
      <w:r w:rsidR="00363624">
        <w:rPr>
          <w:rStyle w:val="tlid-translation"/>
          <w:lang w:val="pt-PT"/>
        </w:rPr>
        <w:t xml:space="preserve"> tem-se uma avaliação mais precisa do verdadeiro efeito da fusão, fazendo co</w:t>
      </w:r>
      <w:r w:rsidR="003D27D7">
        <w:rPr>
          <w:rStyle w:val="tlid-translation"/>
          <w:lang w:val="pt-PT"/>
        </w:rPr>
        <w:t>m</w:t>
      </w:r>
      <w:r w:rsidR="00363624">
        <w:rPr>
          <w:rStyle w:val="tlid-translation"/>
          <w:lang w:val="pt-PT"/>
        </w:rPr>
        <w:t xml:space="preserve"> que a </w:t>
      </w:r>
      <w:r w:rsidR="009A7DF6">
        <w:rPr>
          <w:rStyle w:val="tlid-translation"/>
          <w:lang w:val="pt-PT"/>
        </w:rPr>
        <w:t>autoridade a</w:t>
      </w:r>
      <w:r w:rsidR="00363624">
        <w:rPr>
          <w:rStyle w:val="tlid-translation"/>
          <w:lang w:val="pt-PT"/>
        </w:rPr>
        <w:t>ntitrust</w:t>
      </w:r>
      <w:r w:rsidR="00E95009">
        <w:rPr>
          <w:rStyle w:val="tlid-translation"/>
          <w:lang w:val="pt-PT"/>
        </w:rPr>
        <w:t>e</w:t>
      </w:r>
      <w:r w:rsidR="00363624">
        <w:rPr>
          <w:rStyle w:val="tlid-translation"/>
          <w:lang w:val="pt-PT"/>
        </w:rPr>
        <w:t xml:space="preserve"> possa se concentrar em remediar as fusões com efeitos anticompetitivos. Assim, por exemplo, verificar as evidências sobre os ganhos de eficiência seria mais vantajoso num controle posterior, uma vez que os dados que serão levantados são factuais.</w:t>
      </w:r>
      <w:r w:rsidR="00531B2B">
        <w:rPr>
          <w:rStyle w:val="tlid-translation"/>
          <w:lang w:val="pt-PT"/>
        </w:rPr>
        <w:t xml:space="preserve"> Com isso, </w:t>
      </w:r>
      <w:r w:rsidR="00E95009">
        <w:rPr>
          <w:rStyle w:val="tlid-translation"/>
          <w:lang w:val="pt-PT"/>
        </w:rPr>
        <w:t xml:space="preserve">em </w:t>
      </w:r>
      <w:r w:rsidR="00531B2B">
        <w:rPr>
          <w:rStyle w:val="tlid-translation"/>
          <w:lang w:val="pt-PT"/>
        </w:rPr>
        <w:t xml:space="preserve">um sistema de notificação </w:t>
      </w:r>
      <w:r w:rsidR="00531B2B" w:rsidRPr="009A7DF6">
        <w:rPr>
          <w:rStyle w:val="tlid-translation"/>
          <w:i/>
          <w:lang w:val="pt-PT"/>
        </w:rPr>
        <w:t>ex-ante</w:t>
      </w:r>
      <w:r w:rsidR="00531B2B">
        <w:rPr>
          <w:rStyle w:val="tlid-translation"/>
          <w:lang w:val="pt-PT"/>
        </w:rPr>
        <w:t xml:space="preserve">, </w:t>
      </w:r>
      <w:r w:rsidR="00E95009">
        <w:rPr>
          <w:rStyle w:val="tlid-translation"/>
          <w:lang w:val="pt-PT"/>
        </w:rPr>
        <w:t xml:space="preserve">onde há </w:t>
      </w:r>
      <w:r w:rsidR="00531B2B">
        <w:rPr>
          <w:rStyle w:val="tlid-translation"/>
          <w:lang w:val="pt-PT"/>
        </w:rPr>
        <w:t>falta de d</w:t>
      </w:r>
      <w:r w:rsidR="009A7DF6">
        <w:rPr>
          <w:rStyle w:val="tlid-translation"/>
          <w:lang w:val="pt-PT"/>
        </w:rPr>
        <w:t xml:space="preserve">ados pré-operação – </w:t>
      </w:r>
      <w:r w:rsidR="00531B2B">
        <w:rPr>
          <w:rStyle w:val="tlid-translation"/>
          <w:lang w:val="pt-PT"/>
        </w:rPr>
        <w:t>com decisões</w:t>
      </w:r>
      <w:r w:rsidR="00E95009">
        <w:rPr>
          <w:rStyle w:val="tlid-translation"/>
          <w:lang w:val="pt-PT"/>
        </w:rPr>
        <w:t xml:space="preserve"> basedas em estimativas</w:t>
      </w:r>
      <w:r w:rsidR="009A7DF6">
        <w:rPr>
          <w:rStyle w:val="tlid-translation"/>
          <w:lang w:val="pt-PT"/>
        </w:rPr>
        <w:t xml:space="preserve"> – </w:t>
      </w:r>
      <w:r w:rsidR="00E95009">
        <w:rPr>
          <w:rStyle w:val="tlid-translation"/>
          <w:lang w:val="pt-PT"/>
        </w:rPr>
        <w:t xml:space="preserve">poderia </w:t>
      </w:r>
      <w:r w:rsidR="00531B2B">
        <w:rPr>
          <w:rStyle w:val="tlid-translation"/>
          <w:lang w:val="pt-PT"/>
        </w:rPr>
        <w:t xml:space="preserve">enviesar o julgamento da </w:t>
      </w:r>
      <w:r w:rsidR="009A7DF6">
        <w:rPr>
          <w:rStyle w:val="tlid-translation"/>
          <w:lang w:val="pt-PT"/>
        </w:rPr>
        <w:t>autoridade antitruste</w:t>
      </w:r>
      <w:r w:rsidR="00531B2B">
        <w:rPr>
          <w:rStyle w:val="tlid-translation"/>
          <w:lang w:val="pt-PT"/>
        </w:rPr>
        <w:t>.</w:t>
      </w:r>
    </w:p>
    <w:p w14:paraId="01BD637D" w14:textId="235B7885" w:rsidR="003D27D7" w:rsidRDefault="003D27D7" w:rsidP="003D27D7">
      <w:pPr>
        <w:spacing w:line="360" w:lineRule="auto"/>
        <w:ind w:firstLine="851"/>
        <w:jc w:val="both"/>
        <w:rPr>
          <w:rStyle w:val="tlid-translation"/>
          <w:lang w:val="pt-PT"/>
        </w:rPr>
      </w:pPr>
      <w:r>
        <w:rPr>
          <w:rStyle w:val="tlid-translation"/>
          <w:lang w:val="pt-PT"/>
        </w:rPr>
        <w:t xml:space="preserve">Todavia, como descrito nos parágrafos acima, existia </w:t>
      </w:r>
      <w:r w:rsidRPr="003D27D7">
        <w:rPr>
          <w:rStyle w:val="tlid-translation"/>
          <w:lang w:val="pt-PT"/>
        </w:rPr>
        <w:t>uma dificuldade na negociação de</w:t>
      </w:r>
      <w:r>
        <w:rPr>
          <w:rStyle w:val="tlid-translation"/>
          <w:lang w:val="pt-PT"/>
        </w:rPr>
        <w:t xml:space="preserve"> </w:t>
      </w:r>
      <w:r w:rsidRPr="003D27D7">
        <w:rPr>
          <w:rStyle w:val="tlid-translation"/>
          <w:lang w:val="pt-PT"/>
        </w:rPr>
        <w:t>remédios estruturais</w:t>
      </w:r>
      <w:r w:rsidR="0041156F">
        <w:rPr>
          <w:rStyle w:val="tlid-translation"/>
          <w:lang w:val="pt-PT"/>
        </w:rPr>
        <w:t xml:space="preserve"> no regime de análise </w:t>
      </w:r>
      <w:r w:rsidR="0041156F" w:rsidRPr="00043848">
        <w:rPr>
          <w:rStyle w:val="tlid-translation"/>
          <w:i/>
          <w:lang w:val="pt-PT"/>
        </w:rPr>
        <w:t>ex-post</w:t>
      </w:r>
      <w:r w:rsidRPr="003D27D7">
        <w:rPr>
          <w:rStyle w:val="tlid-translation"/>
          <w:lang w:val="pt-PT"/>
        </w:rPr>
        <w:t xml:space="preserve">. </w:t>
      </w:r>
      <w:r w:rsidR="0040249B">
        <w:rPr>
          <w:rStyle w:val="tlid-translation"/>
          <w:lang w:val="pt-PT"/>
        </w:rPr>
        <w:t>Como a</w:t>
      </w:r>
      <w:r w:rsidRPr="003D27D7">
        <w:rPr>
          <w:rStyle w:val="tlid-translation"/>
          <w:lang w:val="pt-PT"/>
        </w:rPr>
        <w:t xml:space="preserve"> operação</w:t>
      </w:r>
      <w:r>
        <w:rPr>
          <w:rStyle w:val="tlid-translation"/>
          <w:lang w:val="pt-PT"/>
        </w:rPr>
        <w:t xml:space="preserve"> </w:t>
      </w:r>
      <w:r w:rsidR="0040249B">
        <w:rPr>
          <w:rStyle w:val="tlid-translation"/>
          <w:lang w:val="pt-PT"/>
        </w:rPr>
        <w:t xml:space="preserve">já </w:t>
      </w:r>
      <w:r w:rsidRPr="003D27D7">
        <w:rPr>
          <w:rStyle w:val="tlid-translation"/>
          <w:lang w:val="pt-PT"/>
        </w:rPr>
        <w:t>estava consumada</w:t>
      </w:r>
      <w:r w:rsidR="0040249B">
        <w:rPr>
          <w:rStyle w:val="tlid-translation"/>
          <w:lang w:val="pt-PT"/>
        </w:rPr>
        <w:t>,</w:t>
      </w:r>
      <w:r w:rsidR="009A7DF6">
        <w:rPr>
          <w:rStyle w:val="tlid-translation"/>
          <w:lang w:val="pt-PT"/>
        </w:rPr>
        <w:t xml:space="preserve"> </w:t>
      </w:r>
      <w:r w:rsidRPr="003D27D7">
        <w:rPr>
          <w:rStyle w:val="tlid-translation"/>
          <w:lang w:val="pt-PT"/>
        </w:rPr>
        <w:t xml:space="preserve">a autoridade se via frente a </w:t>
      </w:r>
      <w:r w:rsidR="0040249B">
        <w:rPr>
          <w:rStyle w:val="tlid-translation"/>
          <w:lang w:val="pt-PT"/>
        </w:rPr>
        <w:t>um dilema</w:t>
      </w:r>
      <w:r w:rsidRPr="003D27D7">
        <w:rPr>
          <w:rStyle w:val="tlid-translation"/>
          <w:lang w:val="pt-PT"/>
        </w:rPr>
        <w:t xml:space="preserve">: </w:t>
      </w:r>
      <w:r w:rsidR="0040249B">
        <w:rPr>
          <w:rStyle w:val="tlid-translation"/>
          <w:lang w:val="pt-PT"/>
        </w:rPr>
        <w:t>“</w:t>
      </w:r>
      <w:r w:rsidRPr="003D27D7">
        <w:rPr>
          <w:rStyle w:val="tlid-translation"/>
          <w:lang w:val="pt-PT"/>
        </w:rPr>
        <w:t>optar pela manutenção</w:t>
      </w:r>
      <w:r>
        <w:rPr>
          <w:rStyle w:val="tlid-translation"/>
          <w:lang w:val="pt-PT"/>
        </w:rPr>
        <w:t xml:space="preserve"> </w:t>
      </w:r>
      <w:r w:rsidRPr="003D27D7">
        <w:rPr>
          <w:rStyle w:val="tlid-translation"/>
          <w:lang w:val="pt-PT"/>
        </w:rPr>
        <w:t xml:space="preserve">dos efeitos do negócio no mercado ou pela imposição de solução que, no limite, não levaria </w:t>
      </w:r>
      <w:r w:rsidRPr="003D27D7">
        <w:rPr>
          <w:rStyle w:val="tlid-translation"/>
          <w:lang w:val="pt-PT"/>
        </w:rPr>
        <w:lastRenderedPageBreak/>
        <w:t>ao</w:t>
      </w:r>
      <w:r>
        <w:rPr>
          <w:rStyle w:val="tlid-translation"/>
          <w:lang w:val="pt-PT"/>
        </w:rPr>
        <w:t xml:space="preserve"> </w:t>
      </w:r>
      <w:r w:rsidRPr="0040249B">
        <w:rPr>
          <w:rStyle w:val="tlid-translation"/>
          <w:i/>
          <w:lang w:val="pt-PT"/>
        </w:rPr>
        <w:t>status quo ante</w:t>
      </w:r>
      <w:r w:rsidRPr="003D27D7">
        <w:rPr>
          <w:rStyle w:val="tlid-translation"/>
          <w:lang w:val="pt-PT"/>
        </w:rPr>
        <w:t>, uma vez que este nem existia mais</w:t>
      </w:r>
      <w:r w:rsidR="0040249B">
        <w:rPr>
          <w:rStyle w:val="tlid-translation"/>
          <w:lang w:val="pt-PT"/>
        </w:rPr>
        <w:t xml:space="preserve">” </w:t>
      </w:r>
      <w:r w:rsidR="0040249B">
        <w:rPr>
          <w:rStyle w:val="tlid-translation"/>
          <w:lang w:val="pt-PT"/>
        </w:rPr>
        <w:fldChar w:fldCharType="begin" w:fldLock="1"/>
      </w:r>
      <w:r w:rsidR="00E04906">
        <w:rPr>
          <w:rStyle w:val="tlid-translation"/>
          <w:lang w:val="pt-PT"/>
        </w:rPr>
        <w:instrText>ADDIN CSL_CITATION {"citationItems":[{"id":"ITEM-1","itemData":{"author":[{"dropping-particle":"","family":"Ragazzo","given":"Carlos Emmanuel Joppert","non-dropping-particle":"","parse-names":false,"suffix":""},{"dropping-particle":"de","family":"Carvalho","given":"Vinicius Marques","non-dropping-particle":"","parse-names":false,"suffix":""}],"chapter-number":"1","container-title":"5 anos Lei de Defesa da Concorrência: gênese, jurisprudência e desafios para o futuro","editor":[{"dropping-particle":"","family":"Eduardo Caminati Anders","given":"Guilherme Favaro Corvo Ribas","non-dropping-particle":"","parse-names":false,"suffix":""},{"dropping-particle":"","family":"Mariana Villela, Pedro Paulo Salles Cristofaro","given":"Vicente Bagnoli","non-dropping-particle":"","parse-names":false,"suffix":""}],"id":"ITEM-1","issued":{"date-parts":[["2017"]]},"page":"22-34","publisher":"IBRAC","title":"A Evolução do Antitruste no Brasil - A Política de Defesa da Concorrência sob a Lei 12.529/11","type":"chapter"},"uris":["http://www.mendeley.com/documents/?uuid=9b8f307a-5492-4633-a05b-3e8ae3fcf221"]}],"mendeley":{"formattedCitation":"(RAGAZZO; CARVALHO, 2017)","plainTextFormattedCitation":"(RAGAZZO; CARVALHO, 2017)","previouslyFormattedCitation":"(RAGAZZO; CARVALHO, 2017)"},"properties":{"noteIndex":0},"schema":"https://github.com/citation-style-language/schema/raw/master/csl-citation.json"}</w:instrText>
      </w:r>
      <w:r w:rsidR="0040249B">
        <w:rPr>
          <w:rStyle w:val="tlid-translation"/>
          <w:lang w:val="pt-PT"/>
        </w:rPr>
        <w:fldChar w:fldCharType="separate"/>
      </w:r>
      <w:r w:rsidR="0040249B" w:rsidRPr="0040249B">
        <w:rPr>
          <w:rStyle w:val="tlid-translation"/>
          <w:noProof/>
          <w:lang w:val="pt-PT"/>
        </w:rPr>
        <w:t>(RAGAZZO; CARVALHO, 2017)</w:t>
      </w:r>
      <w:r w:rsidR="0040249B">
        <w:rPr>
          <w:rStyle w:val="tlid-translation"/>
          <w:lang w:val="pt-PT"/>
        </w:rPr>
        <w:fldChar w:fldCharType="end"/>
      </w:r>
      <w:r w:rsidRPr="003D27D7">
        <w:rPr>
          <w:rStyle w:val="tlid-translation"/>
          <w:lang w:val="pt-PT"/>
        </w:rPr>
        <w:t xml:space="preserve">. </w:t>
      </w:r>
    </w:p>
    <w:p w14:paraId="7748CA51" w14:textId="2A08C6E7" w:rsidR="00043848" w:rsidRDefault="001253A6" w:rsidP="009A7DF6">
      <w:pPr>
        <w:spacing w:line="360" w:lineRule="auto"/>
        <w:ind w:firstLine="851"/>
        <w:jc w:val="both"/>
        <w:rPr>
          <w:rStyle w:val="tlid-translation"/>
          <w:lang w:val="pt-PT"/>
        </w:rPr>
      </w:pPr>
      <w:r>
        <w:rPr>
          <w:rStyle w:val="tlid-translation"/>
          <w:lang w:val="pt-PT"/>
        </w:rPr>
        <w:t>Considerando as argumentações acima</w:t>
      </w:r>
      <w:r w:rsidR="006156EE">
        <w:rPr>
          <w:rStyle w:val="tlid-translation"/>
          <w:lang w:val="pt-PT"/>
        </w:rPr>
        <w:t xml:space="preserve">, </w:t>
      </w:r>
      <w:r>
        <w:rPr>
          <w:rStyle w:val="tlid-translation"/>
          <w:lang w:val="pt-PT"/>
        </w:rPr>
        <w:t>a hipótese deste trabalho se manté</w:t>
      </w:r>
      <w:r w:rsidR="006156EE">
        <w:rPr>
          <w:rStyle w:val="tlid-translation"/>
          <w:lang w:val="pt-PT"/>
        </w:rPr>
        <w:t>m</w:t>
      </w:r>
      <w:r w:rsidR="009A7DF6">
        <w:rPr>
          <w:rStyle w:val="tlid-translation"/>
          <w:lang w:val="pt-PT"/>
        </w:rPr>
        <w:t xml:space="preserve">. O Brasil </w:t>
      </w:r>
      <w:r>
        <w:rPr>
          <w:rStyle w:val="tlid-translation"/>
          <w:lang w:val="pt-PT"/>
        </w:rPr>
        <w:t>detém</w:t>
      </w:r>
      <w:r w:rsidR="009A7DF6">
        <w:rPr>
          <w:rStyle w:val="tlid-translation"/>
          <w:lang w:val="pt-PT"/>
        </w:rPr>
        <w:t xml:space="preserve"> um alto grau de inseguraç</w:t>
      </w:r>
      <w:r w:rsidR="0055338F">
        <w:rPr>
          <w:rStyle w:val="tlid-translation"/>
          <w:lang w:val="pt-PT"/>
        </w:rPr>
        <w:t>a</w:t>
      </w:r>
      <w:r w:rsidR="0041156F">
        <w:rPr>
          <w:rStyle w:val="tlid-translation"/>
          <w:lang w:val="pt-PT"/>
        </w:rPr>
        <w:t xml:space="preserve"> jurídica em diversos aspectos, e, p</w:t>
      </w:r>
      <w:r w:rsidR="009A7DF6">
        <w:rPr>
          <w:rStyle w:val="tlid-translation"/>
          <w:lang w:val="pt-PT"/>
        </w:rPr>
        <w:t>ortanto,</w:t>
      </w:r>
      <w:r w:rsidR="0041156F">
        <w:rPr>
          <w:rStyle w:val="tlid-translation"/>
          <w:lang w:val="pt-PT"/>
        </w:rPr>
        <w:t xml:space="preserve"> </w:t>
      </w:r>
      <w:r w:rsidR="00FE7CE9">
        <w:rPr>
          <w:rStyle w:val="tlid-translation"/>
          <w:lang w:val="pt-PT"/>
        </w:rPr>
        <w:t>uma legislação que fosse</w:t>
      </w:r>
      <w:r w:rsidR="009A7DF6">
        <w:rPr>
          <w:rStyle w:val="tlid-translation"/>
          <w:lang w:val="pt-PT"/>
        </w:rPr>
        <w:t xml:space="preserve"> elaborada </w:t>
      </w:r>
      <w:r w:rsidR="004D5E21">
        <w:rPr>
          <w:rStyle w:val="tlid-translation"/>
          <w:lang w:val="pt-PT"/>
        </w:rPr>
        <w:t>para dar segurança jurídica às operações de fusões e aquisições</w:t>
      </w:r>
      <w:r w:rsidR="009A7DF6">
        <w:rPr>
          <w:rStyle w:val="tlid-translation"/>
          <w:lang w:val="pt-PT"/>
        </w:rPr>
        <w:t xml:space="preserve">, poderia, em tese, </w:t>
      </w:r>
      <w:r w:rsidR="004D5E21">
        <w:rPr>
          <w:rStyle w:val="tlid-translation"/>
          <w:lang w:val="pt-PT"/>
        </w:rPr>
        <w:t>funcionar como uma sinalização positiva para possíveis investidores externos</w:t>
      </w:r>
      <w:r w:rsidR="00043848">
        <w:rPr>
          <w:rStyle w:val="tlid-translation"/>
          <w:lang w:val="pt-PT"/>
        </w:rPr>
        <w:t>.</w:t>
      </w:r>
    </w:p>
    <w:p w14:paraId="3896495B" w14:textId="464E499C" w:rsidR="009A7DF6" w:rsidRPr="00FE7CE9" w:rsidRDefault="00043848" w:rsidP="009A7DF6">
      <w:pPr>
        <w:spacing w:line="360" w:lineRule="auto"/>
        <w:ind w:firstLine="851"/>
        <w:jc w:val="both"/>
        <w:rPr>
          <w:rStyle w:val="tlid-translation"/>
          <w:color w:val="FF0000"/>
          <w:lang w:val="pt-PT"/>
        </w:rPr>
      </w:pPr>
      <w:r>
        <w:rPr>
          <w:rStyle w:val="tlid-translation"/>
          <w:lang w:val="pt-PT"/>
        </w:rPr>
        <w:t xml:space="preserve">Importante destacar que a hipótese é abrangente, uma vez que abarca operações que poderiam ser notificadas quanto para aquelas não precisariam de comunicação ao Cade. </w:t>
      </w:r>
      <w:r w:rsidR="00343927">
        <w:rPr>
          <w:rStyle w:val="tlid-translation"/>
          <w:lang w:val="pt-PT"/>
        </w:rPr>
        <w:t xml:space="preserve">Embora esse trabalho escolha a mudança de atos do controle de atos de concentração para delimitar a intervenção de política pública. A Lei </w:t>
      </w:r>
      <w:r w:rsidR="00343927" w:rsidRPr="000C0613">
        <w:t>Lei 12.529/11</w:t>
      </w:r>
      <w:r w:rsidR="00343927">
        <w:t xml:space="preserve"> </w:t>
      </w:r>
      <w:r w:rsidR="00343927">
        <w:rPr>
          <w:rStyle w:val="tlid-translation"/>
          <w:lang w:val="pt-PT"/>
        </w:rPr>
        <w:t>aprimorou de modo geral diversos outros tópicos referente à política antitrute brasileira, reduzindo as incertezas das empresas estrangeiras em relação ao marco regulátorio brasileiro.</w:t>
      </w:r>
    </w:p>
    <w:p w14:paraId="01C3F3E3" w14:textId="7E6A7788" w:rsidR="00FB662D" w:rsidRPr="000C0613" w:rsidRDefault="00783770" w:rsidP="007E5B65">
      <w:pPr>
        <w:spacing w:line="360" w:lineRule="auto"/>
        <w:ind w:firstLine="851"/>
        <w:jc w:val="both"/>
      </w:pPr>
      <w:r w:rsidRPr="000C0613">
        <w:t>De todo modo</w:t>
      </w:r>
      <w:r w:rsidR="00343927">
        <w:t>, a</w:t>
      </w:r>
      <w:r w:rsidR="00FB662D" w:rsidRPr="000C0613">
        <w:t xml:space="preserve"> questão</w:t>
      </w:r>
      <w:r w:rsidR="00ED4339" w:rsidRPr="000C0613">
        <w:t xml:space="preserve"> sobre o controle prévio de atos de concentração</w:t>
      </w:r>
      <w:r w:rsidR="0041156F">
        <w:t xml:space="preserve"> </w:t>
      </w:r>
      <w:r w:rsidR="00FB662D" w:rsidRPr="000C0613">
        <w:t>foi resolvida</w:t>
      </w:r>
      <w:r w:rsidR="0041156F">
        <w:t xml:space="preserve"> </w:t>
      </w:r>
      <w:r w:rsidR="00ED4339" w:rsidRPr="000C0613">
        <w:t>em 2011. A</w:t>
      </w:r>
      <w:r w:rsidR="007E5B65" w:rsidRPr="000C0613">
        <w:t xml:space="preserve"> Nova Lei Antitruste Brasileira (Lei 12.529/11) foi promulgada na intenção de cobrir lacunas e inserir inovações na legislação antitruste. A nova lei estabeleceu uma nova estrutura e aumentou as atribuições do </w:t>
      </w:r>
      <w:proofErr w:type="spellStart"/>
      <w:r w:rsidR="007E5B65" w:rsidRPr="000C0613">
        <w:t>Cade</w:t>
      </w:r>
      <w:proofErr w:type="spellEnd"/>
      <w:r w:rsidR="007E5B65" w:rsidRPr="000C0613">
        <w:t>, que passou</w:t>
      </w:r>
      <w:r w:rsidR="00ED4339" w:rsidRPr="000C0613">
        <w:t>, assim,</w:t>
      </w:r>
      <w:r w:rsidR="007E5B65" w:rsidRPr="000C0613">
        <w:t xml:space="preserve"> a fazer controle prévio dos atos de concentração. </w:t>
      </w:r>
    </w:p>
    <w:p w14:paraId="5570066F" w14:textId="77777777" w:rsidR="008507A9" w:rsidRPr="000C0613" w:rsidRDefault="00FB662D" w:rsidP="007E5B65">
      <w:pPr>
        <w:spacing w:line="360" w:lineRule="auto"/>
        <w:ind w:firstLine="851"/>
        <w:jc w:val="both"/>
      </w:pPr>
      <w:r w:rsidRPr="000C0613">
        <w:t>Além disso, a</w:t>
      </w:r>
      <w:r w:rsidR="007E5B65" w:rsidRPr="000C0613">
        <w:t>s funções de instrução e de julgamento de processos</w:t>
      </w:r>
      <w:r w:rsidRPr="000C0613">
        <w:t xml:space="preserve"> que eram compartilhadas com a Secretaria de Acompanhamento Econômico (SEAE) e a Superintendência de Direito Econômico (SDE)</w:t>
      </w:r>
      <w:r w:rsidR="007E5B65" w:rsidRPr="000C0613">
        <w:t xml:space="preserve"> ficaram</w:t>
      </w:r>
      <w:r w:rsidRPr="000C0613">
        <w:t xml:space="preserve"> exclusivamente</w:t>
      </w:r>
      <w:r w:rsidR="007E5B65" w:rsidRPr="000C0613">
        <w:t xml:space="preserve"> a cargo do </w:t>
      </w:r>
      <w:proofErr w:type="spellStart"/>
      <w:r w:rsidR="007E5B65" w:rsidRPr="000C0613">
        <w:t>Cade</w:t>
      </w:r>
      <w:proofErr w:type="spellEnd"/>
      <w:r w:rsidR="007E5B65" w:rsidRPr="000C0613">
        <w:t xml:space="preserve">, composto pelo Tribunal Administrativo de Defesa Econômica, a Superintendência-Geral e ao </w:t>
      </w:r>
      <w:r w:rsidR="00615DEF" w:rsidRPr="000C0613">
        <w:t>recém-criado</w:t>
      </w:r>
      <w:r w:rsidR="007E5B65" w:rsidRPr="000C0613">
        <w:t xml:space="preserve"> Departamento de Estudos Econômicos (DEE).  </w:t>
      </w:r>
    </w:p>
    <w:p w14:paraId="184C192B" w14:textId="5E3F528A" w:rsidR="00ED4339" w:rsidRPr="000C0613" w:rsidRDefault="007E5B65" w:rsidP="00633820">
      <w:pPr>
        <w:spacing w:line="360" w:lineRule="auto"/>
        <w:ind w:firstLine="851"/>
        <w:jc w:val="both"/>
      </w:pPr>
      <w:r w:rsidRPr="000C0613">
        <w:t>Assim, o novo marco legal estabeleceu</w:t>
      </w:r>
      <w:r w:rsidR="00633820">
        <w:t xml:space="preserve"> </w:t>
      </w:r>
      <w:r w:rsidRPr="000C0613">
        <w:t xml:space="preserve">uma nova estrutura e modificou as atribuições do </w:t>
      </w:r>
      <w:proofErr w:type="spellStart"/>
      <w:r w:rsidRPr="000C0613">
        <w:t>Cade</w:t>
      </w:r>
      <w:proofErr w:type="spellEnd"/>
      <w:r w:rsidRPr="000C0613">
        <w:t>, que passou a fazer controle prévio dos atos de concentração</w:t>
      </w:r>
      <w:r w:rsidR="002E2A91" w:rsidRPr="000C0613">
        <w:t>, bem como unificou os processos unicamente dentro do fluxo processual da autarquia</w:t>
      </w:r>
      <w:r w:rsidRPr="000C0613">
        <w:t>.</w:t>
      </w:r>
      <w:r w:rsidR="00633820">
        <w:t xml:space="preserve"> </w:t>
      </w:r>
      <w:r w:rsidR="000064B7" w:rsidRPr="000C0613">
        <w:t xml:space="preserve">Quanto </w:t>
      </w:r>
      <w:r w:rsidR="00455066" w:rsidRPr="000C0613">
        <w:t>às</w:t>
      </w:r>
      <w:r w:rsidR="000064B7" w:rsidRPr="000C0613">
        <w:t xml:space="preserve"> mudanças processuais, </w:t>
      </w:r>
      <w:r w:rsidR="00ED4339" w:rsidRPr="000C0613">
        <w:t>o controle dos atos de concentração deve ser realizado em, no máximo 240 dias, a contar do protocolo da petição ou da sua emenda.  O prazo de 240 dias pode ser prorrogado por até 60 dias, mediante pedido das requerentes envolvidas na operação; ou por até 90 dias, mediante decisão fundamentada do Tribunal Administrativo de Defesa Econômica</w:t>
      </w:r>
      <w:r w:rsidR="00B07E49" w:rsidRPr="000C0613">
        <w:t>.</w:t>
      </w:r>
    </w:p>
    <w:p w14:paraId="07890623" w14:textId="4A155603" w:rsidR="005C38AD" w:rsidRPr="000C0613" w:rsidRDefault="005C38AD" w:rsidP="007E5B65">
      <w:pPr>
        <w:spacing w:line="360" w:lineRule="auto"/>
        <w:ind w:firstLine="851"/>
        <w:jc w:val="both"/>
      </w:pPr>
    </w:p>
    <w:p w14:paraId="343B85C9" w14:textId="70249730" w:rsidR="00E47EAA" w:rsidRPr="00290949" w:rsidRDefault="00E47EAA" w:rsidP="00290949">
      <w:pPr>
        <w:pStyle w:val="PargrafodaLista"/>
        <w:numPr>
          <w:ilvl w:val="1"/>
          <w:numId w:val="12"/>
        </w:numPr>
        <w:spacing w:line="360" w:lineRule="auto"/>
        <w:jc w:val="both"/>
        <w:outlineLvl w:val="1"/>
        <w:rPr>
          <w:rFonts w:ascii="Times New Roman" w:hAnsi="Times New Roman" w:cs="Times New Roman"/>
          <w:b/>
          <w:smallCaps/>
          <w:sz w:val="24"/>
          <w:szCs w:val="24"/>
        </w:rPr>
      </w:pPr>
      <w:bookmarkStart w:id="3" w:name="_Toc51774594"/>
      <w:r w:rsidRPr="00290949">
        <w:rPr>
          <w:rFonts w:ascii="Times New Roman" w:hAnsi="Times New Roman" w:cs="Times New Roman"/>
          <w:b/>
          <w:smallCaps/>
          <w:sz w:val="24"/>
          <w:szCs w:val="24"/>
        </w:rPr>
        <w:lastRenderedPageBreak/>
        <w:t>Método de Controle Sintético</w:t>
      </w:r>
      <w:bookmarkEnd w:id="3"/>
    </w:p>
    <w:p w14:paraId="6A884702" w14:textId="77777777" w:rsidR="008507A9" w:rsidRPr="000C0613" w:rsidRDefault="008507A9" w:rsidP="00C570E0">
      <w:pPr>
        <w:spacing w:line="360" w:lineRule="auto"/>
        <w:ind w:firstLine="851"/>
        <w:jc w:val="both"/>
      </w:pPr>
      <w:r w:rsidRPr="000C0613">
        <w:t>Na maioria dos estudos de efeito causal ou de análise de impacto de uma política pública, o grupo de controle e o grupo de tratamento são</w:t>
      </w:r>
      <w:r w:rsidR="00EC08A0" w:rsidRPr="000C0613">
        <w:t xml:space="preserve"> usualmente</w:t>
      </w:r>
      <w:r w:rsidRPr="000C0613">
        <w:t xml:space="preserve"> definidos como</w:t>
      </w:r>
      <w:r w:rsidR="00EC08A0" w:rsidRPr="000C0613">
        <w:t xml:space="preserve"> unidades individuais, como por exemplo, os indivíduos que participaram ou não de alguma política governamental ou que se elegeram ou não em um determinado processo seletivo.</w:t>
      </w:r>
    </w:p>
    <w:p w14:paraId="09191383" w14:textId="72F7EC8D" w:rsidR="008507A9" w:rsidRPr="000C0613" w:rsidRDefault="00EC08A0" w:rsidP="00C570E0">
      <w:pPr>
        <w:spacing w:line="360" w:lineRule="auto"/>
        <w:ind w:firstLine="851"/>
        <w:jc w:val="both"/>
        <w:rPr>
          <w:b/>
          <w:smallCaps/>
        </w:rPr>
      </w:pPr>
      <w:r w:rsidRPr="000C0613">
        <w:t>De fato</w:t>
      </w:r>
      <w:r w:rsidR="008507A9" w:rsidRPr="000C0613">
        <w:t>, há</w:t>
      </w:r>
      <w:r w:rsidR="00633820">
        <w:t xml:space="preserve"> </w:t>
      </w:r>
      <w:r w:rsidR="008507A9" w:rsidRPr="000C0613">
        <w:t xml:space="preserve">estudos com modelos de diferenças em diferenças com entidades agregadas com poucas ou uma unidade de tratamento </w:t>
      </w:r>
      <w:r w:rsidR="008507A9" w:rsidRPr="000C0613">
        <w:fldChar w:fldCharType="begin" w:fldLock="1"/>
      </w:r>
      <w:r w:rsidR="0073186F" w:rsidRPr="000C0613">
        <w:instrText>ADDIN CSL_CITATION {"citationItems":[{"id":"ITEM-1","itemData":{"author":[{"dropping-particle":"","family":"Conley","given":"Timothy","non-dropping-particle":"","parse-names":false,"suffix":""},{"dropping-particle":"","family":"Taber","given":"Christopher","non-dropping-particle":"","parse-names":false,"suffix":""}],"container-title":"NBER, technical Working Paper Series","id":"ITEM-1","issue":"Ses 9905720","issued":{"date-parts":[["2002"]]},"title":"Inference with \"Difference in Differences\" with a Small of Policy Changes","type":"article-journal"},"uris":["http://www.mendeley.com/documents/?uuid=a5784b7b-32a9-4b80-a8e9-f9907391d139"]}],"mendeley":{"formattedCitation":"(CONLEY; TABER, 2002)","plainTextFormattedCitation":"(CONLEY; TABER, 2002)","previouslyFormattedCitation":"(CONLEY; TABER, 2002)"},"properties":{"noteIndex":0},"schema":"https://github.com/citation-style-language/schema/raw/master/csl-citation.json"}</w:instrText>
      </w:r>
      <w:r w:rsidR="008507A9" w:rsidRPr="000C0613">
        <w:fldChar w:fldCharType="separate"/>
      </w:r>
      <w:r w:rsidR="0073186F" w:rsidRPr="000C0613">
        <w:rPr>
          <w:noProof/>
        </w:rPr>
        <w:t>(CONLEY; TABER, 2002)</w:t>
      </w:r>
      <w:r w:rsidR="008507A9" w:rsidRPr="000C0613">
        <w:fldChar w:fldCharType="end"/>
      </w:r>
      <w:r w:rsidR="008507A9" w:rsidRPr="000C0613">
        <w:t xml:space="preserve">, bem como o debate sobre a validade da inferência estatísticas destes modelos, conforme é apresentado nos trabalhos de em </w:t>
      </w:r>
      <w:proofErr w:type="spellStart"/>
      <w:r w:rsidR="008507A9" w:rsidRPr="000C0613">
        <w:t>Conley</w:t>
      </w:r>
      <w:proofErr w:type="spellEnd"/>
      <w:r w:rsidR="008507A9" w:rsidRPr="000C0613">
        <w:t xml:space="preserve"> &amp; </w:t>
      </w:r>
      <w:proofErr w:type="spellStart"/>
      <w:r w:rsidR="008507A9" w:rsidRPr="000C0613">
        <w:t>Taber</w:t>
      </w:r>
      <w:proofErr w:type="spellEnd"/>
      <w:r w:rsidR="008507A9" w:rsidRPr="000C0613">
        <w:t xml:space="preserve">  </w:t>
      </w:r>
      <w:r w:rsidR="008507A9" w:rsidRPr="000C0613">
        <w:fldChar w:fldCharType="begin" w:fldLock="1"/>
      </w:r>
      <w:r w:rsidR="008507A9" w:rsidRPr="000C0613">
        <w:instrText>ADDIN CSL_CITATION {"citationItems":[{"id":"ITEM-1","itemData":{"DOI":"10.1162/REST_a_00049","ISSN":"00346535","abstract":"In difference-in-differences applications, identification of the key parameter often arises from changes in policy by a small number of groups. In contrast, typical inference assumes that the number of groups changing policy is large. We present an alternative inference approach for a small (finite) number of policy changers, using information from a large sample of nonchanging groups. Treatment effect point estimators are not consistent, but we can consistently estimate their asymptotic distribution under any point null hypothesis about the treatment. Thus, treatment point estimators can be used as test statistics, and confidence intervals can be constructed using test statistic inversion. © 2011 by the President and Fellows of Harvard College and the Massachusetts Institute of Technology.","author":[{"dropping-particle":"","family":"Conley","given":"Timothy G.","non-dropping-particle":"","parse-names":false,"suffix":""},{"dropping-particle":"","family":"Taber","given":"Christopher R.","non-dropping-particle":"","parse-names":false,"suffix":""}],"container-title":"Review of Economics and Statistics","id":"ITEM-1","issue":"1","issued":{"date-parts":[["2011"]]},"page":"113-125","title":"Inference with \"difference in differences\" with a small number of policy changes","type":"article-journal","volume":"93"},"suppress-author":1,"uris":["http://www.mendeley.com/documents/?uuid=5429152a-381a-4d26-a626-27582f2c4e95"]}],"mendeley":{"formattedCitation":"(2011)","plainTextFormattedCitation":"(2011)","previouslyFormattedCitation":"(2011)"},"properties":{"noteIndex":0},"schema":"https://github.com/citation-style-language/schema/raw/master/csl-citation.json"}</w:instrText>
      </w:r>
      <w:r w:rsidR="008507A9" w:rsidRPr="000C0613">
        <w:fldChar w:fldCharType="separate"/>
      </w:r>
      <w:r w:rsidR="008507A9" w:rsidRPr="000C0613">
        <w:rPr>
          <w:noProof/>
        </w:rPr>
        <w:t>(2011)</w:t>
      </w:r>
      <w:r w:rsidR="008507A9" w:rsidRPr="000C0613">
        <w:fldChar w:fldCharType="end"/>
      </w:r>
      <w:r w:rsidR="008507A9" w:rsidRPr="000C0613">
        <w:t xml:space="preserve"> e em </w:t>
      </w:r>
      <w:proofErr w:type="spellStart"/>
      <w:r w:rsidR="008507A9" w:rsidRPr="000C0613">
        <w:t>Ferman</w:t>
      </w:r>
      <w:proofErr w:type="spellEnd"/>
      <w:r w:rsidR="008507A9" w:rsidRPr="000C0613">
        <w:t xml:space="preserve"> &amp; Pinto </w:t>
      </w:r>
      <w:r w:rsidR="008507A9" w:rsidRPr="000C0613">
        <w:fldChar w:fldCharType="begin" w:fldLock="1"/>
      </w:r>
      <w:r w:rsidR="00AA20C1" w:rsidRPr="000C0613">
        <w:instrText>ADDIN CSL_CITATION {"citationItems":[{"id":"ITEM-1","itemData":{"DOI":"10.1162/rest_a_00759","ISSN":"15309142","abstract":"—We derive an inference method that works in differences-in-differences settings with few treated and many control groups in the presence of heteroskedasticity. As a leading example, we provide theoretical justification and empirical evidence that heteroskedasticity generated by variation in group sizes can invalidate existing inference methods, even in data sets with a large number of observations per group. In contrast, our inference method remains valid in this case. Our test can also be combined with feasible generalized least squares, providing a safeguard against misspecification of the serial correlation.","author":[{"dropping-particle":"","family":"Ferman","given":"Bruno","non-dropping-particle":"","parse-names":false,"suffix":""},{"dropping-particle":"","family":"Pinto","given":"Cristine","non-dropping-particle":"","parse-names":false,"suffix":""}],"container-title":"Review of Economics and Statistics","id":"ITEM-1","issue":"3","issued":{"date-parts":[["2019"]]},"page":"452-467","title":"Inference in differences-in-differences with few treated groups and heteroskedasticity","type":"article-journal","volume":"101"},"suppress-author":1,"uris":["http://www.mendeley.com/documents/?uuid=925aaf52-bf64-4f8a-bd65-8e59ecee7963"]}],"mendeley":{"formattedCitation":"(2019)","plainTextFormattedCitation":"(2019)","previouslyFormattedCitation":"(2019)"},"properties":{"noteIndex":0},"schema":"https://github.com/citation-style-language/schema/raw/master/csl-citation.json"}</w:instrText>
      </w:r>
      <w:r w:rsidR="008507A9" w:rsidRPr="000C0613">
        <w:fldChar w:fldCharType="separate"/>
      </w:r>
      <w:r w:rsidR="00AA20C1" w:rsidRPr="000C0613">
        <w:rPr>
          <w:noProof/>
        </w:rPr>
        <w:t>(2019)</w:t>
      </w:r>
      <w:r w:rsidR="008507A9" w:rsidRPr="000C0613">
        <w:fldChar w:fldCharType="end"/>
      </w:r>
      <w:r w:rsidR="008507A9" w:rsidRPr="000C0613">
        <w:t>.</w:t>
      </w:r>
    </w:p>
    <w:p w14:paraId="220E3EC4" w14:textId="06610CE3" w:rsidR="007C6FD8" w:rsidRPr="000C0613" w:rsidRDefault="007C6FD8" w:rsidP="00C570E0">
      <w:pPr>
        <w:spacing w:line="360" w:lineRule="auto"/>
        <w:ind w:firstLine="851"/>
        <w:jc w:val="both"/>
      </w:pPr>
      <w:r w:rsidRPr="000C0613">
        <w:t>É</w:t>
      </w:r>
      <w:r w:rsidR="00EC08A0" w:rsidRPr="000C0613">
        <w:t xml:space="preserve"> diante deste </w:t>
      </w:r>
      <w:r w:rsidR="00736E39" w:rsidRPr="000C0613">
        <w:t>debate metodológico e econométrico que surge o Método de Controle Sintético</w:t>
      </w:r>
      <w:r w:rsidR="00EC08A0" w:rsidRPr="000C0613">
        <w:t>. Este</w:t>
      </w:r>
      <w:r w:rsidR="0016786B" w:rsidRPr="000C0613">
        <w:t xml:space="preserve"> método foi originalmente </w:t>
      </w:r>
      <w:r w:rsidR="00D47C89" w:rsidRPr="000C0613">
        <w:t>pr</w:t>
      </w:r>
      <w:r w:rsidR="00D47C89">
        <w:t>o</w:t>
      </w:r>
      <w:r w:rsidR="00D47C89" w:rsidRPr="000C0613">
        <w:t>posto</w:t>
      </w:r>
      <w:r w:rsidR="009E1F43" w:rsidRPr="000C0613">
        <w:t xml:space="preserve"> por Abadie e </w:t>
      </w:r>
      <w:proofErr w:type="spellStart"/>
      <w:r w:rsidR="009E1F43" w:rsidRPr="000C0613">
        <w:t>Gardeazabal</w:t>
      </w:r>
      <w:proofErr w:type="spellEnd"/>
      <w:r w:rsidR="009E1F43" w:rsidRPr="000C0613">
        <w:t xml:space="preserve"> </w:t>
      </w:r>
      <w:r w:rsidR="009E1F43" w:rsidRPr="000C0613">
        <w:fldChar w:fldCharType="begin" w:fldLock="1"/>
      </w:r>
      <w:r w:rsidR="009E1F43" w:rsidRPr="000C0613">
        <w:instrText>ADDIN CSL_CITATION {"citationItems":[{"id":"ITEM-1","itemData":{"DOI":"10.1257/000282803321455188","ISSN":"00028282","abstract":"This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author":[{"dropping-particle":"","family":"Abadie","given":"Alberto","non-dropping-particle":"","parse-names":false,"suffix":""},{"dropping-particle":"","family":"Gardeazabal","given":"Javier","non-dropping-particle":"","parse-names":false,"suffix":""}],"container-title":"American Economic Review","id":"ITEM-1","issue":"1","issued":{"date-parts":[["2003"]]},"page":"113-132","title":"The economic costs of conflict: A case study of the Basque country","type":"article-journal","volume":"93"},"suppress-author":1,"uris":["http://www.mendeley.com/documents/?uuid=dde319c1-7ef6-46c7-8610-96ee645d11cb"]}],"mendeley":{"formattedCitation":"(2003)","plainTextFormattedCitation":"(2003)","previouslyFormattedCitation":"(2003)"},"properties":{"noteIndex":0},"schema":"https://github.com/citation-style-language/schema/raw/master/csl-citation.json"}</w:instrText>
      </w:r>
      <w:r w:rsidR="009E1F43" w:rsidRPr="000C0613">
        <w:fldChar w:fldCharType="separate"/>
      </w:r>
      <w:r w:rsidR="009E1F43" w:rsidRPr="000C0613">
        <w:rPr>
          <w:noProof/>
        </w:rPr>
        <w:t>(2003)</w:t>
      </w:r>
      <w:r w:rsidR="009E1F43" w:rsidRPr="000C0613">
        <w:fldChar w:fldCharType="end"/>
      </w:r>
      <w:r w:rsidR="0016786B" w:rsidRPr="000C0613">
        <w:t xml:space="preserve">, mas </w:t>
      </w:r>
      <w:r w:rsidR="00EC08A0" w:rsidRPr="000C0613">
        <w:t>ganhou expressão a partir da</w:t>
      </w:r>
      <w:r w:rsidR="0016786B" w:rsidRPr="000C0613">
        <w:t xml:space="preserve"> publicação de Abadie et</w:t>
      </w:r>
      <w:r w:rsidR="009E1F43" w:rsidRPr="000C0613">
        <w:t xml:space="preserve"> al. </w:t>
      </w:r>
      <w:r w:rsidR="009E1F43" w:rsidRPr="000C0613">
        <w:fldChar w:fldCharType="begin" w:fldLock="1"/>
      </w:r>
      <w:r w:rsidR="0039383D" w:rsidRPr="000C0613">
        <w:instrText>ADDIN CSL_CITATION {"citationItems":[{"id":"ITEM-1","itemData":{"DOI":"10.1198/jasa.2009.ap08746","ISSN":"01621459","abstract":"Building on an idea in Abadie and Gardeazabal (2003), this article investigates the application of synthetic control methods to comparative case studies. We discuss the advantages of these methods and apply them to study the effects of Proposition 99, a large-scale tobacco control program that California implemented in 1988. We demonstrate that, following Proposition 99, tobacco consumption fell markedly in California relative to a comparable synthetic control region. We estimate that by the year 2000 annual per-capita cigarette sales in California were about 26 packs lower than what they would have been in the absence of Proposition 99. Using new inferential methods proposed in this article, we demonstrate the significance of our estimates. Given that many policy interventions and events of interest in social sciences take place at an aggregate level (countries, regions, cities, etc.) and affect a small number of aggregate units, the potential applicability of synthetic control methods to comparative case studies is very large, especially in situations where traditional regression methods are not appropriate. © 2010 American Statistical Association.","author":[{"dropping-particle":"","family":"Abadie","given":"Alberto","non-dropping-particle":"","parse-names":false,"suffix":""},{"dropping-particle":"","family":"Diamond","given":"Alexis","non-dropping-particle":"","parse-names":false,"suffix":""},{"dropping-particle":"","family":"Hainmueller","given":"And Jens","non-dropping-particle":"","parse-names":false,"suffix":""}],"container-title":"Journal of the American Statistical Association","id":"ITEM-1","issue":"490","issued":{"date-parts":[["2010"]]},"page":"493-505","title":"Synthetic control methods for comparative case studies: Estimating the effect of California's Tobacco control program","type":"article-journal","volume":"105"},"suppress-author":1,"uris":["http://www.mendeley.com/documents/?uuid=f2448c27-1ec1-4de9-ac75-dc76c8cb83a1"]}],"mendeley":{"formattedCitation":"(2010)","plainTextFormattedCitation":"(2010)","previouslyFormattedCitation":"(2010)"},"properties":{"noteIndex":0},"schema":"https://github.com/citation-style-language/schema/raw/master/csl-citation.json"}</w:instrText>
      </w:r>
      <w:r w:rsidR="009E1F43" w:rsidRPr="000C0613">
        <w:fldChar w:fldCharType="separate"/>
      </w:r>
      <w:r w:rsidR="009E1F43" w:rsidRPr="000C0613">
        <w:rPr>
          <w:noProof/>
        </w:rPr>
        <w:t>(2010)</w:t>
      </w:r>
      <w:r w:rsidR="009E1F43" w:rsidRPr="000C0613">
        <w:fldChar w:fldCharType="end"/>
      </w:r>
      <w:r w:rsidR="0016786B" w:rsidRPr="000C0613">
        <w:t>.</w:t>
      </w:r>
      <w:r w:rsidR="00B97834" w:rsidRPr="000C0613">
        <w:t xml:space="preserve"> </w:t>
      </w:r>
      <w:r w:rsidR="004B76AA">
        <w:t xml:space="preserve">  O o</w:t>
      </w:r>
      <w:r w:rsidR="0016786B" w:rsidRPr="000C0613">
        <w:t>bjetivo do método é o de</w:t>
      </w:r>
      <w:r w:rsidR="00B97834" w:rsidRPr="000C0613">
        <w:t xml:space="preserve"> estimar </w:t>
      </w:r>
      <w:r w:rsidR="009E3610" w:rsidRPr="000C0613">
        <w:t>os efeitos causais</w:t>
      </w:r>
      <w:r w:rsidR="0016786B" w:rsidRPr="000C0613">
        <w:t xml:space="preserve"> de intervenções em um pequeno número de unidades</w:t>
      </w:r>
      <w:r w:rsidR="00892D8F" w:rsidRPr="000C0613">
        <w:t xml:space="preserve"> agregadas</w:t>
      </w:r>
      <w:r w:rsidR="00EC08A0" w:rsidRPr="000C0613">
        <w:t xml:space="preserve"> tal como são os </w:t>
      </w:r>
      <w:r w:rsidR="00B97834" w:rsidRPr="000C0613">
        <w:t>países, estados</w:t>
      </w:r>
      <w:r w:rsidR="00EC08A0" w:rsidRPr="000C0613">
        <w:t xml:space="preserve"> cidades</w:t>
      </w:r>
      <w:r w:rsidR="00B97834" w:rsidRPr="000C0613">
        <w:t xml:space="preserve"> ou regiões, ou seja, o método busca estimar o efeito das intervenções </w:t>
      </w:r>
      <w:proofErr w:type="gramStart"/>
      <w:r w:rsidR="00B97834" w:rsidRPr="000C0613">
        <w:t>implementadas</w:t>
      </w:r>
      <w:proofErr w:type="gramEnd"/>
      <w:r w:rsidR="00B97834" w:rsidRPr="000C0613">
        <w:t xml:space="preserve"> a nível agregado afetando um pequeno número de entidades</w:t>
      </w:r>
      <w:r w:rsidR="00EC08A0" w:rsidRPr="000C0613">
        <w:t>.</w:t>
      </w:r>
      <w:r w:rsidR="009E3610" w:rsidRPr="000C0613">
        <w:t xml:space="preserve"> </w:t>
      </w:r>
      <w:r w:rsidR="009E3610" w:rsidRPr="000C0613">
        <w:fldChar w:fldCharType="begin" w:fldLock="1"/>
      </w:r>
      <w:r w:rsidR="0073186F" w:rsidRPr="000C0613">
        <w:instrText>ADDIN CSL_CITATION {"citationItems":[{"id":"ITEM-1","itemData":{"author":[{"dropping-particle":"","family":"Abadie","given":"Alberto","non-dropping-particle":"","parse-names":false,"suffix":""}],"container-title":"Journal of Economic Literature","id":"ITEM-1","issued":{"date-parts":[["2019"]]},"title":"Using Synthetic Controls : Feasibility , Data Requirements , and Methodological Aspects","type":"article-journal"},"uris":["http://www.mendeley.com/documents/?uuid=3c28d8df-8149-44c9-b903-0c116d280886"]}],"mendeley":{"formattedCitation":"(ABADIE, 2019)","plainTextFormattedCitation":"(ABADIE, 2019)","previouslyFormattedCitation":"(ABADIE, 2019)"},"properties":{"noteIndex":0},"schema":"https://github.com/citation-style-language/schema/raw/master/csl-citation.json"}</w:instrText>
      </w:r>
      <w:r w:rsidR="009E3610" w:rsidRPr="000C0613">
        <w:fldChar w:fldCharType="separate"/>
      </w:r>
      <w:r w:rsidR="0073186F" w:rsidRPr="000C0613">
        <w:rPr>
          <w:noProof/>
        </w:rPr>
        <w:t>(ABADIE, 2019)</w:t>
      </w:r>
      <w:r w:rsidR="009E3610" w:rsidRPr="000C0613">
        <w:fldChar w:fldCharType="end"/>
      </w:r>
      <w:r w:rsidR="009E3610" w:rsidRPr="000C0613">
        <w:t>.</w:t>
      </w:r>
      <w:r w:rsidRPr="000C0613">
        <w:t xml:space="preserve"> </w:t>
      </w:r>
    </w:p>
    <w:p w14:paraId="178AA532" w14:textId="77777777" w:rsidR="00892D8F" w:rsidRPr="000C0613" w:rsidRDefault="007C6FD8" w:rsidP="00C570E0">
      <w:pPr>
        <w:spacing w:line="360" w:lineRule="auto"/>
        <w:ind w:firstLine="851"/>
        <w:jc w:val="both"/>
      </w:pPr>
      <w:r w:rsidRPr="000C0613">
        <w:t xml:space="preserve">De maneira </w:t>
      </w:r>
      <w:r w:rsidR="004B3209" w:rsidRPr="000C0613">
        <w:t>clara</w:t>
      </w:r>
      <w:r w:rsidRPr="000C0613">
        <w:t>, supondo uma intervenção em uma determinada região, o método tenta resolver o problema contraf</w:t>
      </w:r>
      <w:r w:rsidR="004B3209" w:rsidRPr="000C0613">
        <w:t>a</w:t>
      </w:r>
      <w:r w:rsidRPr="000C0613">
        <w:t>ctual comparando a tendência na região atingida pelo choque ou pela política com a tendência em uma região sintética composta a partir de diversas regiões observadas</w:t>
      </w:r>
      <w:r w:rsidR="005A2870" w:rsidRPr="000C0613">
        <w:t xml:space="preserve"> </w:t>
      </w:r>
      <w:r w:rsidR="005A2870" w:rsidRPr="000C0613">
        <w:fldChar w:fldCharType="begin" w:fldLock="1"/>
      </w:r>
      <w:r w:rsidR="002C442C" w:rsidRPr="000C0613">
        <w:instrText>ADDIN CSL_CITATION {"citationItems":[{"id":"ITEM-1","itemData":{"author":[{"dropping-particle":"","family":"Abadie","given":"Alberto","non-dropping-particle":"","parse-names":false,"suffix":""}],"container-title":"Journal of Economic Literature","id":"ITEM-1","issued":{"date-parts":[["2019"]]},"title":"Using Synthetic Controls : Feasibility , Data Requirements , and Methodological Aspects","type":"article-journal"},"uris":["http://www.mendeley.com/documents/?uuid=3c28d8df-8149-44c9-b903-0c116d280886"]}],"mendeley":{"formattedCitation":"(ABADIE, 2019)","plainTextFormattedCitation":"(ABADIE, 2019)","previouslyFormattedCitation":"(ABADIE, 2019)"},"properties":{"noteIndex":0},"schema":"https://github.com/citation-style-language/schema/raw/master/csl-citation.json"}</w:instrText>
      </w:r>
      <w:r w:rsidR="005A2870" w:rsidRPr="000C0613">
        <w:fldChar w:fldCharType="separate"/>
      </w:r>
      <w:r w:rsidR="005A2870" w:rsidRPr="000C0613">
        <w:rPr>
          <w:noProof/>
        </w:rPr>
        <w:t>(ABADIE, 2019)</w:t>
      </w:r>
      <w:r w:rsidR="005A2870" w:rsidRPr="000C0613">
        <w:fldChar w:fldCharType="end"/>
      </w:r>
      <w:r w:rsidR="004B3209" w:rsidRPr="000C0613">
        <w:t>.</w:t>
      </w:r>
    </w:p>
    <w:p w14:paraId="3CF02749" w14:textId="2D260D2D" w:rsidR="0016786B" w:rsidRPr="000C0613" w:rsidRDefault="0016786B" w:rsidP="00C570E0">
      <w:pPr>
        <w:spacing w:line="360" w:lineRule="auto"/>
        <w:ind w:firstLine="851"/>
        <w:jc w:val="both"/>
      </w:pPr>
      <w:r w:rsidRPr="000C0613">
        <w:t>Diante disso, o método de controle sintético baseia-se na id</w:t>
      </w:r>
      <w:r w:rsidR="00633820">
        <w:t>e</w:t>
      </w:r>
      <w:r w:rsidRPr="000C0613">
        <w:t xml:space="preserve">ia de que, quando as unidades de observação são um pequeno número de entidades agregadas, uma combinação de unidades não afetadas geralmente fornece comparação </w:t>
      </w:r>
      <w:r w:rsidR="00125289" w:rsidRPr="000C0613">
        <w:t xml:space="preserve">mais </w:t>
      </w:r>
      <w:r w:rsidRPr="000C0613">
        <w:t xml:space="preserve">apropriada do que qualquer unidade </w:t>
      </w:r>
      <w:r w:rsidR="00125289" w:rsidRPr="000C0613">
        <w:t>de tratamento</w:t>
      </w:r>
      <w:r w:rsidRPr="000C0613">
        <w:t xml:space="preserve"> </w:t>
      </w:r>
      <w:r w:rsidR="00340F6B">
        <w:t>isolada</w:t>
      </w:r>
      <w:r w:rsidR="00633820" w:rsidRPr="000C0613">
        <w:t xml:space="preserve"> </w:t>
      </w:r>
      <w:r w:rsidR="00B21005" w:rsidRPr="000C0613">
        <w:fldChar w:fldCharType="begin" w:fldLock="1"/>
      </w:r>
      <w:r w:rsidR="008918B3" w:rsidRPr="000C0613">
        <w:instrText>ADDIN CSL_CITATION {"citationItems":[{"id":"ITEM-1","itemData":{"DOI":"10.1111/ajps.12116","ISSN":"15405907","abstract":"In recent years, a widespread consensus has emerged about the necessity of establishing bridges between quantitative and qualitative approaches to empirical research in political science. In this article, we discuss the use of the synthetic control method as a way to bridge the quantitative/qualitative divide in comparative politics. The synthetic control method provides a systematic way to choose comparison units in comparative case studies. This systematization opens the door to precise quantitative inference in small-sample comparative studies, without precluding the application of qualitative approaches. Borrowing the expression from Sidney Tarrow, the synthetic control method allows researchers to put \"qualitative flesh on quantitative bones.\" We illustrate the main ideas behind the synthetic control method by estimating the economic impact of the 1990 German reunification on West Germany.","author":[{"dropping-particle":"","family":"Abadie","given":"Alberto","non-dropping-particle":"","parse-names":false,"suffix":""},{"dropping-particle":"","family":"Diamond","given":"Alexis","non-dropping-particle":"","parse-names":false,"suffix":""},{"dropping-particle":"","family":"Hainmueller","given":"Jens","non-dropping-particle":"","parse-names":false,"suffix":""}],"container-title":"American Journal of Political Science","id":"ITEM-1","issue":"2","issued":{"date-parts":[["2015"]]},"page":"495-510","title":"Comparative Politics and the Synthetic Control Method","type":"article-journal","volume":"59"},"uris":["http://www.mendeley.com/documents/?uuid=7acb4008-94c1-46b6-ada7-c5683ce3ec42"]}],"mendeley":{"formattedCitation":"(ABADIE; DIAMOND; HAINMUELLER, 2015)","plainTextFormattedCitation":"(ABADIE; DIAMOND; HAINMUELLER, 2015)","previouslyFormattedCitation":"(ABADIE; DIAMOND; HAINMUELLER, 2015)"},"properties":{"noteIndex":0},"schema":"https://github.com/citation-style-language/schema/raw/master/csl-citation.json"}</w:instrText>
      </w:r>
      <w:r w:rsidR="00B21005" w:rsidRPr="000C0613">
        <w:fldChar w:fldCharType="separate"/>
      </w:r>
      <w:r w:rsidR="00B21005" w:rsidRPr="000C0613">
        <w:rPr>
          <w:noProof/>
        </w:rPr>
        <w:t>(ABADIE; DIAMOND; HAINMUELLER, 2015)</w:t>
      </w:r>
      <w:r w:rsidR="00B21005" w:rsidRPr="000C0613">
        <w:fldChar w:fldCharType="end"/>
      </w:r>
      <w:r w:rsidRPr="000C0613">
        <w:t>.</w:t>
      </w:r>
      <w:r w:rsidR="00C36D7E">
        <w:t xml:space="preserve"> P</w:t>
      </w:r>
      <w:r w:rsidR="00125289" w:rsidRPr="000C0613">
        <w:t>ortanto, a</w:t>
      </w:r>
      <w:r w:rsidRPr="000C0613">
        <w:t xml:space="preserve"> metodologia de controle sintético busca formalizar a seleção das unidades de comparação usando um procedimento orientado </w:t>
      </w:r>
      <w:r w:rsidR="00125289" w:rsidRPr="000C0613">
        <w:t>aos dados, abrindo o debate sobre a inferência para este tipo de estudo comparativo</w:t>
      </w:r>
      <w:r w:rsidR="00B21005" w:rsidRPr="000C0613">
        <w:t xml:space="preserve"> </w:t>
      </w:r>
      <w:r w:rsidR="00B21005" w:rsidRPr="000C0613">
        <w:fldChar w:fldCharType="begin" w:fldLock="1"/>
      </w:r>
      <w:r w:rsidR="00E57647" w:rsidRPr="000C0613">
        <w:instrText>ADDIN CSL_CITATION {"citationItems":[{"id":"ITEM-1","itemData":{"author":[{"dropping-particle":"","family":"Abadie","given":"Alberto","non-dropping-particle":"","parse-names":false,"suffix":""}],"container-title":"Journal of Economic Literature","id":"ITEM-1","issued":{"date-parts":[["2019"]]},"title":"Using Synthetic Controls : Feasibility , Data Requirements , and Methodological Aspects","type":"article-journal"},"uris":["http://www.mendeley.com/documents/?uuid=3c28d8df-8149-44c9-b903-0c116d280886"]}],"mendeley":{"formattedCitation":"(ABADIE, 2019)","plainTextFormattedCitation":"(ABADIE, 2019)","previouslyFormattedCitation":"(ABADIE, 2019)"},"properties":{"noteIndex":0},"schema":"https://github.com/citation-style-language/schema/raw/master/csl-citation.json"}</w:instrText>
      </w:r>
      <w:r w:rsidR="00B21005" w:rsidRPr="000C0613">
        <w:fldChar w:fldCharType="separate"/>
      </w:r>
      <w:r w:rsidR="00B21005" w:rsidRPr="000C0613">
        <w:rPr>
          <w:noProof/>
        </w:rPr>
        <w:t>(ABADIE, 2019)</w:t>
      </w:r>
      <w:r w:rsidR="00B21005" w:rsidRPr="000C0613">
        <w:fldChar w:fldCharType="end"/>
      </w:r>
      <w:r w:rsidR="00125289" w:rsidRPr="000C0613">
        <w:t>.</w:t>
      </w:r>
    </w:p>
    <w:p w14:paraId="641FF73B" w14:textId="14AA788E" w:rsidR="003D1DA4" w:rsidRPr="000C0613" w:rsidRDefault="009A4148" w:rsidP="00C570E0">
      <w:pPr>
        <w:spacing w:line="360" w:lineRule="auto"/>
        <w:ind w:firstLine="851"/>
        <w:jc w:val="both"/>
      </w:pPr>
      <w:r>
        <w:t>Em outras palavras, a</w:t>
      </w:r>
      <w:r w:rsidR="000B042C" w:rsidRPr="000C0613">
        <w:t xml:space="preserve"> realização do método é feita por uma comparação entre a unidade de tratamento por meio de uma média ponderada das unidades de controle. A unidade sintética é uma combinação convexa das </w:t>
      </w:r>
      <w:r w:rsidR="0052776E" w:rsidRPr="000C0613">
        <w:t>unidades de controle</w:t>
      </w:r>
      <w:r w:rsidR="000B042C" w:rsidRPr="000C0613">
        <w:t xml:space="preserve">, dado </w:t>
      </w:r>
      <w:r w:rsidR="0052776E" w:rsidRPr="000C0613">
        <w:t>uma matriz</w:t>
      </w:r>
      <w:r w:rsidR="000B042C" w:rsidRPr="000C0613">
        <w:t xml:space="preserve"> </w:t>
      </w:r>
      <w:r w:rsidR="000B042C" w:rsidRPr="000C0613">
        <w:lastRenderedPageBreak/>
        <w:t xml:space="preserve">de </w:t>
      </w:r>
      <w:r w:rsidR="0052776E" w:rsidRPr="000C0613">
        <w:t xml:space="preserve">variáveis dependentes. Os pesos que definem esta ponderação </w:t>
      </w:r>
      <w:r w:rsidR="005A2870" w:rsidRPr="000C0613">
        <w:t>são produzidos</w:t>
      </w:r>
      <w:r w:rsidR="0052776E" w:rsidRPr="000C0613">
        <w:t xml:space="preserve"> pela minimização </w:t>
      </w:r>
      <w:r w:rsidR="00501683">
        <w:t>do erro</w:t>
      </w:r>
      <w:r w:rsidR="007525FB">
        <w:t xml:space="preserve"> predito</w:t>
      </w:r>
      <w:r w:rsidR="00501683">
        <w:t xml:space="preserve"> entre</w:t>
      </w:r>
      <w:r w:rsidR="00501683" w:rsidRPr="000C0613">
        <w:t xml:space="preserve"> </w:t>
      </w:r>
      <w:r w:rsidR="0052776E" w:rsidRPr="000C0613">
        <w:t xml:space="preserve">a unidade sintética e a unidade de tratamento real. </w:t>
      </w:r>
    </w:p>
    <w:p w14:paraId="395C78DC" w14:textId="08609A62" w:rsidR="003D1DA4" w:rsidRPr="000C0613" w:rsidRDefault="003D1DA4" w:rsidP="003D1DA4">
      <w:pPr>
        <w:spacing w:line="360" w:lineRule="auto"/>
        <w:ind w:firstLine="851"/>
        <w:jc w:val="both"/>
        <w:rPr>
          <w:rFonts w:eastAsiaTheme="minorEastAsia"/>
        </w:rPr>
      </w:pPr>
      <w:r w:rsidRPr="000C0613">
        <w:t xml:space="preserve">A formalização do método se dá da seguinte forma: suponha uma amostra de </w:t>
      </w:r>
      <m:oMath>
        <m:r>
          <w:rPr>
            <w:rFonts w:ascii="Cambria Math" w:hAnsi="Cambria Math"/>
          </w:rPr>
          <m:t>J+1</m:t>
        </m:r>
      </m:oMath>
      <w:r w:rsidRPr="000C0613">
        <w:rPr>
          <w:rFonts w:eastAsiaTheme="minorEastAsia"/>
        </w:rPr>
        <w:t xml:space="preserve"> unidades, como, por exemplo, países, sendo </w:t>
      </w:r>
      <m:oMath>
        <m:r>
          <m:rPr>
            <m:sty m:val="p"/>
          </m:rPr>
          <w:rPr>
            <w:rFonts w:ascii="Cambria Math" w:eastAsiaTheme="minorEastAsia" w:hAnsi="Cambria Math"/>
          </w:rPr>
          <m:t>j=1</m:t>
        </m:r>
      </m:oMath>
      <w:r w:rsidRPr="000C0613">
        <w:rPr>
          <w:rFonts w:eastAsiaTheme="minorEastAsia"/>
        </w:rPr>
        <w:t xml:space="preserve"> a unidade de tratamento e o restante da amostra são os países candidatos a unidades de comparação, denominados “</w:t>
      </w:r>
      <w:proofErr w:type="spellStart"/>
      <w:r w:rsidRPr="000C0613">
        <w:rPr>
          <w:rFonts w:eastAsiaTheme="minorEastAsia"/>
          <w:i/>
        </w:rPr>
        <w:t>donor</w:t>
      </w:r>
      <w:proofErr w:type="spellEnd"/>
      <w:r w:rsidRPr="000C0613">
        <w:rPr>
          <w:rFonts w:eastAsiaTheme="minorEastAsia"/>
          <w:i/>
        </w:rPr>
        <w:t xml:space="preserve"> pool</w:t>
      </w:r>
      <w:r w:rsidRPr="000C0613">
        <w:rPr>
          <w:rFonts w:eastAsiaTheme="minorEastAsia"/>
        </w:rPr>
        <w:t xml:space="preserve">”. Neste caso em particular, o país que modificou o controle dos atos de concentração foi o Brasil, estão este é considerado a unidade de tratamento e os outros países poderão fazer parte do grupo de comparação para a formação do Brasil </w:t>
      </w:r>
      <w:r w:rsidR="00EA575C">
        <w:rPr>
          <w:rFonts w:eastAsiaTheme="minorEastAsia"/>
        </w:rPr>
        <w:t>sintético</w:t>
      </w:r>
      <w:r w:rsidRPr="000C0613">
        <w:rPr>
          <w:rFonts w:eastAsiaTheme="minorEastAsia"/>
        </w:rPr>
        <w:t>.</w:t>
      </w:r>
    </w:p>
    <w:p w14:paraId="2B957560" w14:textId="4A8524BC" w:rsidR="003D1DA4" w:rsidRPr="000C0613" w:rsidRDefault="003D1DA4" w:rsidP="003D1DA4">
      <w:pPr>
        <w:spacing w:line="360" w:lineRule="auto"/>
        <w:ind w:firstLine="851"/>
        <w:jc w:val="both"/>
        <w:rPr>
          <w:rFonts w:eastAsiaTheme="minorEastAsia"/>
        </w:rPr>
      </w:pPr>
      <w:r w:rsidRPr="000C0613">
        <w:rPr>
          <w:rFonts w:eastAsiaTheme="minorEastAsia"/>
        </w:rPr>
        <w:t xml:space="preserve">A unidade temporal será dado por </w:t>
      </w:r>
      <m:oMath>
        <m:r>
          <w:rPr>
            <w:rFonts w:ascii="Cambria Math" w:eastAsiaTheme="minorEastAsia" w:hAnsi="Cambria Math"/>
          </w:rPr>
          <m:t>t=1,…T</m:t>
        </m:r>
      </m:oMath>
      <w:r w:rsidRPr="000C0613">
        <w:rPr>
          <w:rFonts w:eastAsiaTheme="minorEastAsia"/>
        </w:rPr>
        <w:t xml:space="preserve">, sendo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Pr="000C0613">
        <w:rPr>
          <w:rFonts w:eastAsiaTheme="minorEastAsia"/>
        </w:rPr>
        <w:t xml:space="preserve"> o último período antes da intervenção, de forma que </w:t>
      </w:r>
      <m:oMath>
        <m:r>
          <w:rPr>
            <w:rFonts w:ascii="Cambria Math" w:eastAsiaTheme="minorEastAsia" w:hAnsi="Cambria Math"/>
          </w:rPr>
          <m:t>1&lt;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0 </m:t>
            </m:r>
          </m:sub>
        </m:sSub>
        <m:r>
          <w:rPr>
            <w:rFonts w:ascii="Cambria Math" w:eastAsiaTheme="minorEastAsia" w:hAnsi="Cambria Math"/>
          </w:rPr>
          <m:t>&lt;T</m:t>
        </m:r>
      </m:oMath>
      <w:r w:rsidRPr="000C0613">
        <w:rPr>
          <w:rFonts w:eastAsiaTheme="minorEastAsia"/>
        </w:rPr>
        <w:t xml:space="preserve">. Suponha ainda que a variável de interesse seja defina por </w:t>
      </w:r>
      <m:oMath>
        <m:r>
          <w:rPr>
            <w:rFonts w:ascii="Cambria Math" w:eastAsiaTheme="minorEastAsia" w:hAnsi="Cambria Math"/>
          </w:rPr>
          <m:t>Y</m:t>
        </m:r>
      </m:oMath>
      <w:r w:rsidRPr="000C0613">
        <w:rPr>
          <w:rFonts w:eastAsiaTheme="minorEastAsia"/>
        </w:rPr>
        <w:t xml:space="preserve"> e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jt</m:t>
            </m:r>
          </m:sub>
        </m:sSub>
      </m:oMath>
      <w:r w:rsidRPr="000C0613">
        <w:rPr>
          <w:rFonts w:eastAsiaTheme="minorEastAsia"/>
        </w:rPr>
        <w:t xml:space="preserve"> a variável de interesse da unidade </w:t>
      </w:r>
      <m:oMath>
        <m:r>
          <w:rPr>
            <w:rFonts w:ascii="Cambria Math" w:eastAsiaTheme="minorEastAsia" w:hAnsi="Cambria Math"/>
          </w:rPr>
          <m:t>j</m:t>
        </m:r>
      </m:oMath>
      <w:r w:rsidRPr="000C0613">
        <w:rPr>
          <w:rFonts w:eastAsiaTheme="minorEastAsia"/>
        </w:rPr>
        <w:t xml:space="preserve"> no período </w:t>
      </w:r>
      <m:oMath>
        <m:r>
          <w:rPr>
            <w:rFonts w:ascii="Cambria Math" w:eastAsiaTheme="minorEastAsia" w:hAnsi="Cambria Math"/>
          </w:rPr>
          <m:t>t</m:t>
        </m:r>
      </m:oMath>
      <w:r w:rsidRPr="000C0613">
        <w:rPr>
          <w:rFonts w:eastAsiaTheme="minorEastAsia"/>
        </w:rPr>
        <w:t xml:space="preserve">, sendo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jt</m:t>
            </m:r>
          </m:sub>
          <m:sup>
            <m:r>
              <w:rPr>
                <w:rFonts w:ascii="Cambria Math" w:eastAsiaTheme="minorEastAsia" w:hAnsi="Cambria Math"/>
              </w:rPr>
              <m:t>I</m:t>
            </m:r>
          </m:sup>
        </m:sSubSup>
      </m:oMath>
      <w:r w:rsidR="00E8696B" w:rsidRPr="000C0613">
        <w:rPr>
          <w:rFonts w:eastAsiaTheme="minorEastAsia"/>
        </w:rPr>
        <w:t xml:space="preserve"> </w:t>
      </w:r>
      <w:r w:rsidRPr="000C0613">
        <w:rPr>
          <w:rFonts w:eastAsiaTheme="minorEastAsia"/>
        </w:rPr>
        <w:t xml:space="preserve">nas unidades </w:t>
      </w:r>
      <m:oMath>
        <m:r>
          <w:rPr>
            <w:rFonts w:ascii="Cambria Math" w:eastAsiaTheme="minorEastAsia" w:hAnsi="Cambria Math"/>
          </w:rPr>
          <m:t>j</m:t>
        </m:r>
      </m:oMath>
      <w:r w:rsidRPr="000C0613">
        <w:rPr>
          <w:rFonts w:eastAsiaTheme="minorEastAsia"/>
        </w:rPr>
        <w:t xml:space="preserve"> no tempo </w:t>
      </w:r>
      <m:oMath>
        <m:r>
          <w:rPr>
            <w:rFonts w:ascii="Cambria Math" w:eastAsiaTheme="minorEastAsia" w:hAnsi="Cambria Math"/>
          </w:rPr>
          <m:t>t</m:t>
        </m:r>
      </m:oMath>
      <w:r w:rsidRPr="000C0613">
        <w:rPr>
          <w:rFonts w:eastAsiaTheme="minorEastAsia"/>
        </w:rPr>
        <w:t xml:space="preserve"> que sofreram a intervenção 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jt</m:t>
            </m:r>
          </m:sub>
          <m:sup>
            <m:r>
              <w:rPr>
                <w:rFonts w:ascii="Cambria Math" w:eastAsiaTheme="minorEastAsia" w:hAnsi="Cambria Math"/>
              </w:rPr>
              <m:t>N</m:t>
            </m:r>
          </m:sup>
        </m:sSubSup>
      </m:oMath>
      <w:r w:rsidRPr="000C0613">
        <w:rPr>
          <w:rFonts w:eastAsiaTheme="minorEastAsia"/>
        </w:rPr>
        <w:t xml:space="preserve"> as unidades que não sofreram a intervenção. O efeito da intervenção em cada unidade no período </w:t>
      </w:r>
      <m:oMath>
        <m:r>
          <w:rPr>
            <w:rFonts w:ascii="Cambria Math" w:eastAsiaTheme="minorEastAsia" w:hAnsi="Cambria Math"/>
          </w:rPr>
          <m:t>t</m:t>
        </m:r>
      </m:oMath>
      <w:r w:rsidRPr="000C0613">
        <w:rPr>
          <w:rFonts w:eastAsiaTheme="minorEastAsia"/>
        </w:rPr>
        <w:t xml:space="preserve"> é dado por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it</m:t>
            </m:r>
          </m:sub>
          <m:sup>
            <m:r>
              <w:rPr>
                <w:rFonts w:ascii="Cambria Math" w:eastAsiaTheme="minorEastAsia" w:hAnsi="Cambria Math"/>
              </w:rPr>
              <m:t>N</m:t>
            </m:r>
          </m:sup>
        </m:sSubSup>
      </m:oMath>
      <w:r w:rsidRPr="000C0613">
        <w:rPr>
          <w:rFonts w:eastAsiaTheme="minorEastAsia"/>
        </w:rPr>
        <w:t xml:space="preserve">. Sendo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oMath>
      <w:r w:rsidRPr="000C0613">
        <w:rPr>
          <w:rFonts w:eastAsiaTheme="minorEastAsia"/>
        </w:rPr>
        <w:t xml:space="preserve"> a variável dummy que indica qual das unidades faz parte do tratamento e controle, temos a seguinte expressão: </w:t>
      </w:r>
    </w:p>
    <w:p w14:paraId="1FC4BB78" w14:textId="77777777" w:rsidR="003D1DA4" w:rsidRPr="000C0613" w:rsidRDefault="006B1E3D" w:rsidP="003D1DA4">
      <w:pPr>
        <w:spacing w:line="360" w:lineRule="auto"/>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it</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oMath>
      </m:oMathPara>
    </w:p>
    <w:p w14:paraId="5958AB08" w14:textId="77777777" w:rsidR="003D1DA4" w:rsidRPr="000C0613" w:rsidRDefault="003D1DA4" w:rsidP="003D1DA4">
      <w:pPr>
        <w:spacing w:line="360" w:lineRule="auto"/>
        <w:ind w:firstLine="851"/>
        <w:jc w:val="both"/>
        <w:rPr>
          <w:rFonts w:eastAsiaTheme="minorEastAsia"/>
        </w:rPr>
      </w:pPr>
      <w:r w:rsidRPr="000C0613">
        <w:rPr>
          <w:rFonts w:eastAsiaTheme="minorEastAsia"/>
        </w:rPr>
        <w:t xml:space="preserve">Como neste método temos uma unidade de tratamento após o período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Pr="000C0613">
        <w:rPr>
          <w:rFonts w:eastAsiaTheme="minorEastAsia"/>
        </w:rPr>
        <w:t xml:space="preserve">, e como definimos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&lt;T</m:t>
        </m:r>
      </m:oMath>
      <w:r w:rsidRPr="000C0613">
        <w:rPr>
          <w:rFonts w:eastAsiaTheme="minorEastAsia"/>
        </w:rPr>
        <w:t>, temos que:</w:t>
      </w:r>
    </w:p>
    <w:p w14:paraId="39A633D7" w14:textId="77777777" w:rsidR="003D1DA4" w:rsidRPr="000C0613" w:rsidRDefault="006B1E3D" w:rsidP="003D1DA4">
      <w:pPr>
        <w:spacing w:line="360" w:lineRule="auto"/>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r>
            <w:rPr>
              <w:rFonts w:ascii="Cambria Math" w:eastAsiaTheme="minorEastAsia" w:hAnsi="Cambria Math"/>
            </w:rPr>
            <m:t>=</m:t>
          </m:r>
          <m:r>
            <w:rPr>
              <w:rFonts w:ascii="Cambria Math" w:hAnsi="Cambria Math"/>
            </w:rPr>
            <m:t>f</m:t>
          </m:r>
          <m:d>
            <m:dPr>
              <m:ctrlPr>
                <w:rPr>
                  <w:rFonts w:ascii="Cambria Math" w:eastAsiaTheme="minorEastAsia" w:hAnsi="Cambria Math"/>
                  <w:i/>
                </w:rPr>
              </m:ctrlPr>
            </m:dPr>
            <m:e>
              <m:r>
                <w:rPr>
                  <w:rFonts w:ascii="Cambria Math" w:hAnsi="Cambria Math"/>
                </w:rPr>
                <m:t>x</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 xml:space="preserve"> 1  ,  </m:t>
                  </m:r>
                  <m:r>
                    <m:rPr>
                      <m:nor/>
                    </m:rPr>
                    <m:t>se</m:t>
                  </m:r>
                  <m:r>
                    <w:rPr>
                      <w:rFonts w:ascii="Cambria Math" w:hAnsi="Cambria Math"/>
                    </w:rPr>
                    <m:t xml:space="preserve"> i=1 </m:t>
                  </m:r>
                  <m:r>
                    <m:rPr>
                      <m:nor/>
                    </m:rPr>
                    <m:t>e</m:t>
                  </m:r>
                  <m:r>
                    <w:rPr>
                      <w:rFonts w:ascii="Cambria Math" w:hAnsi="Cambria Math"/>
                    </w:rPr>
                    <m:t xml:space="preserve"> t&gt;</m:t>
                  </m:r>
                  <m:sSub>
                    <m:sSubPr>
                      <m:ctrlPr>
                        <w:rPr>
                          <w:rFonts w:ascii="Cambria Math" w:hAnsi="Cambria Math"/>
                          <w:i/>
                        </w:rPr>
                      </m:ctrlPr>
                    </m:sSubPr>
                    <m:e>
                      <m:r>
                        <w:rPr>
                          <w:rFonts w:ascii="Cambria Math" w:hAnsi="Cambria Math"/>
                        </w:rPr>
                        <m:t>T</m:t>
                      </m:r>
                    </m:e>
                    <m:sub>
                      <m:r>
                        <w:rPr>
                          <w:rFonts w:ascii="Cambria Math" w:hAnsi="Cambria Math"/>
                        </w:rPr>
                        <m:t>o</m:t>
                      </m:r>
                    </m:sub>
                  </m:sSub>
                </m:e>
                <m:e>
                  <m:r>
                    <w:rPr>
                      <w:rFonts w:ascii="Cambria Math" w:hAnsi="Cambria Math"/>
                    </w:rPr>
                    <m:t xml:space="preserve">0,   </m:t>
                  </m:r>
                  <m:r>
                    <m:rPr>
                      <m:nor/>
                    </m:rPr>
                    <m:t>caso contrário</m:t>
                  </m:r>
                </m:e>
              </m:eqArr>
            </m:e>
          </m:d>
        </m:oMath>
      </m:oMathPara>
    </w:p>
    <w:p w14:paraId="381F8218" w14:textId="77777777" w:rsidR="003D1DA4" w:rsidRPr="000C0613" w:rsidRDefault="003D1DA4" w:rsidP="003D1DA4">
      <w:pPr>
        <w:spacing w:line="360" w:lineRule="auto"/>
        <w:ind w:firstLine="851"/>
        <w:jc w:val="both"/>
        <w:rPr>
          <w:rFonts w:eastAsiaTheme="minorEastAsia"/>
        </w:rPr>
      </w:pPr>
      <w:r w:rsidRPr="000C0613">
        <w:rPr>
          <w:rFonts w:eastAsiaTheme="minorEastAsia"/>
        </w:rPr>
        <w:t xml:space="preserve">Assim, caso </w:t>
      </w:r>
      <m:oMath>
        <m:r>
          <w:rPr>
            <w:rFonts w:ascii="Cambria Math" w:eastAsiaTheme="minorEastAsia" w:hAnsi="Cambria Math"/>
          </w:rPr>
          <m:t xml:space="preserve">D=1,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I</m:t>
            </m:r>
          </m:sup>
        </m:sSubSup>
      </m:oMath>
      <w:r w:rsidRPr="000C0613">
        <w:rPr>
          <w:rFonts w:eastAsiaTheme="minorEastAsia"/>
        </w:rPr>
        <w:t xml:space="preserve"> a variável de interesse da a unidade de tratamento com a intervenção como no período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oMath>
      <w:r w:rsidRPr="000C0613">
        <w:rPr>
          <w:rFonts w:eastAsiaTheme="minorEastAsia"/>
        </w:rPr>
        <w:t xml:space="preserve">e a unidade de tratamento caso não houve a intervenção é definida pela expressão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N</m:t>
            </m:r>
          </m:sup>
        </m:sSubSup>
      </m:oMath>
      <w:r w:rsidRPr="000C0613">
        <w:rPr>
          <w:rFonts w:eastAsiaTheme="minorEastAsia"/>
        </w:rPr>
        <w:t>. Sob essas suposições o efeito da intervenção na variável de interesse na unidade de tratamento será:</w:t>
      </w:r>
    </w:p>
    <w:p w14:paraId="2BCE9508" w14:textId="77777777" w:rsidR="003D1DA4" w:rsidRPr="000C0613" w:rsidRDefault="006B1E3D" w:rsidP="003D1DA4">
      <w:pPr>
        <w:spacing w:line="360" w:lineRule="auto"/>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N</m:t>
              </m:r>
            </m:sup>
          </m:sSubSup>
        </m:oMath>
      </m:oMathPara>
    </w:p>
    <w:p w14:paraId="2F38243B" w14:textId="77452CEE" w:rsidR="003D1DA4" w:rsidRPr="000C0613" w:rsidRDefault="003D1DA4" w:rsidP="003D1DA4">
      <w:pPr>
        <w:spacing w:line="360" w:lineRule="auto"/>
        <w:ind w:firstLine="851"/>
        <w:jc w:val="both"/>
        <w:rPr>
          <w:rFonts w:eastAsiaTheme="minorEastAsia"/>
        </w:rPr>
      </w:pPr>
      <w:r w:rsidRPr="000C0613">
        <w:rPr>
          <w:rFonts w:eastAsiaTheme="minorEastAsia"/>
        </w:rPr>
        <w:t xml:space="preserve">Ou seja, </w:t>
      </w:r>
      <w:r w:rsidR="009811E9">
        <w:rPr>
          <w:rFonts w:eastAsiaTheme="minorEastAsia"/>
        </w:rPr>
        <w:t xml:space="preserve">o efeito da intervenção é </w:t>
      </w:r>
      <w:r w:rsidRPr="000C0613">
        <w:rPr>
          <w:rFonts w:eastAsiaTheme="minorEastAsia"/>
        </w:rPr>
        <w:t>a diferença</w:t>
      </w:r>
      <w:r w:rsidR="00000BFA">
        <w:rPr>
          <w:rFonts w:eastAsiaTheme="minorEastAsia"/>
        </w:rPr>
        <w:t xml:space="preserve"> entre</w:t>
      </w:r>
      <w:r w:rsidRPr="000C0613">
        <w:rPr>
          <w:rFonts w:eastAsiaTheme="minorEastAsia"/>
        </w:rPr>
        <w:t xml:space="preserve"> variável de interesse</w:t>
      </w:r>
      <w:r w:rsidR="00000BFA">
        <w:rPr>
          <w:rFonts w:eastAsiaTheme="minorEastAsia"/>
        </w:rPr>
        <w:t xml:space="preserve"> da unidade de tratamento no cenário real em que ela recebeu a intervenção e a mesma unidade </w:t>
      </w:r>
      <w:r w:rsidRPr="000C0613">
        <w:rPr>
          <w:rFonts w:eastAsiaTheme="minorEastAsia"/>
        </w:rPr>
        <w:t xml:space="preserve">caso não tivesse recebido a intervenção. No caso concreto deste projeto, o numero de fusões e aquisições internacionais observados depois da intervenção é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I</m:t>
            </m:r>
          </m:sup>
        </m:sSubSup>
      </m:oMath>
      <w:r w:rsidRPr="000C0613">
        <w:rPr>
          <w:rFonts w:eastAsiaTheme="minorEastAsia"/>
        </w:rPr>
        <w:t xml:space="preserve">. 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N</m:t>
            </m:r>
          </m:sup>
        </m:sSubSup>
      </m:oMath>
      <w:r w:rsidRPr="000C0613">
        <w:rPr>
          <w:rFonts w:eastAsiaTheme="minorEastAsia"/>
        </w:rPr>
        <w:t xml:space="preserve"> é o número de fusões e aquisição caso o Brasil não tivesse alterado a política de notificação de atos de concentração. </w:t>
      </w:r>
    </w:p>
    <w:p w14:paraId="0A48F2BA" w14:textId="0117B124" w:rsidR="003D1DA4" w:rsidRPr="000C0613" w:rsidRDefault="003D1DA4" w:rsidP="003D1DA4">
      <w:pPr>
        <w:spacing w:line="360" w:lineRule="auto"/>
        <w:ind w:firstLine="851"/>
        <w:jc w:val="both"/>
        <w:rPr>
          <w:rFonts w:eastAsiaTheme="minorEastAsia"/>
        </w:rPr>
      </w:pPr>
      <w:r w:rsidRPr="000C0613">
        <w:rPr>
          <w:rFonts w:eastAsiaTheme="minorEastAsia"/>
        </w:rPr>
        <w:t xml:space="preserve">Obviamente,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N</m:t>
            </m:r>
          </m:sup>
        </m:sSubSup>
        <m:r>
          <w:rPr>
            <w:rFonts w:ascii="Cambria Math" w:eastAsiaTheme="minorEastAsia" w:hAnsi="Cambria Math"/>
          </w:rPr>
          <m:t xml:space="preserve"> </m:t>
        </m:r>
      </m:oMath>
      <w:r w:rsidRPr="000C0613">
        <w:rPr>
          <w:rFonts w:eastAsiaTheme="minorEastAsia"/>
        </w:rPr>
        <w:t xml:space="preserve">não é observado, pois é o objeto do contrafactual que queremos simular. Portanto, o método controle sintético estabelece </w:t>
      </w:r>
      <w:r w:rsidR="007A7A30">
        <w:rPr>
          <w:rFonts w:eastAsiaTheme="minorEastAsia"/>
        </w:rPr>
        <w:t>a</w:t>
      </w:r>
      <w:r w:rsidRPr="000C0613">
        <w:rPr>
          <w:rFonts w:eastAsiaTheme="minorEastAsia"/>
        </w:rPr>
        <w:t xml:space="preserve"> unidade sintética </w:t>
      </w:r>
      <w:r w:rsidRPr="000C0613">
        <w:rPr>
          <w:rFonts w:eastAsiaTheme="minorEastAsia"/>
        </w:rPr>
        <w:lastRenderedPageBreak/>
        <w:t>como uma combinação convexa de todo as unidades de comparação definida</w:t>
      </w:r>
      <w:r w:rsidR="00C36D7E" w:rsidRPr="000C0613">
        <w:rPr>
          <w:rFonts w:eastAsiaTheme="minorEastAsia"/>
        </w:rPr>
        <w:t xml:space="preserve"> </w:t>
      </w:r>
      <w:r w:rsidRPr="000C0613">
        <w:rPr>
          <w:rFonts w:eastAsiaTheme="minorEastAsia"/>
        </w:rPr>
        <w:t xml:space="preserve">pelo vetor </w:t>
      </w:r>
      <m:oMath>
        <m:r>
          <m:rPr>
            <m:sty m:val="bi"/>
          </m:rPr>
          <w:rPr>
            <w:rFonts w:ascii="Cambria Math" w:eastAsiaTheme="minorEastAsia" w:hAnsi="Cambria Math"/>
          </w:rPr>
          <m:t>W=</m:t>
        </m:r>
        <m:r>
          <m:rPr>
            <m:sty m:val="p"/>
          </m:rP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j+1</m:t>
                    </m:r>
                  </m:sub>
                </m:sSub>
                <m:ctrlPr>
                  <w:rPr>
                    <w:rFonts w:ascii="Cambria Math" w:eastAsiaTheme="minorEastAsia" w:hAnsi="Cambria Math"/>
                    <w:i/>
                  </w:rPr>
                </m:ctrlPr>
              </m:e>
            </m:d>
            <m:ctrlPr>
              <w:rPr>
                <w:rFonts w:ascii="Cambria Math" w:eastAsiaTheme="minorEastAsia" w:hAnsi="Cambria Math"/>
              </w:rPr>
            </m:ctrlPr>
          </m:e>
          <m:sup>
            <m:r>
              <w:rPr>
                <w:rFonts w:ascii="Cambria Math" w:eastAsiaTheme="minorEastAsia" w:hAnsi="Cambria Math"/>
              </w:rPr>
              <m:t>'</m:t>
            </m:r>
          </m:sup>
        </m:sSup>
      </m:oMath>
      <w:r w:rsidRPr="000C0613">
        <w:rPr>
          <w:rFonts w:eastAsiaTheme="minorEastAsia"/>
        </w:rPr>
        <w:t xml:space="preserve">, com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≤1</m:t>
        </m:r>
      </m:oMath>
      <w:r w:rsidRPr="000C0613">
        <w:rPr>
          <w:rFonts w:eastAsiaTheme="minorEastAsia"/>
        </w:rPr>
        <w:t xml:space="preserve">. Definido os pesos em </w:t>
      </w:r>
      <m:oMath>
        <m:r>
          <m:rPr>
            <m:sty m:val="bi"/>
          </m:rPr>
          <w:rPr>
            <w:rFonts w:ascii="Cambria Math" w:eastAsiaTheme="minorEastAsia" w:hAnsi="Cambria Math"/>
          </w:rPr>
          <m:t>W</m:t>
        </m:r>
      </m:oMath>
      <w:r w:rsidRPr="000C0613">
        <w:rPr>
          <w:rFonts w:eastAsiaTheme="minorEastAsia"/>
        </w:rPr>
        <w:t xml:space="preserve">, o estimador do controle sintético de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1t</m:t>
            </m:r>
          </m:sub>
          <m:sup>
            <m:r>
              <w:rPr>
                <w:rFonts w:ascii="Cambria Math" w:eastAsiaTheme="minorEastAsia" w:hAnsi="Cambria Math"/>
              </w:rPr>
              <m:t>N</m:t>
            </m:r>
          </m:sup>
        </m:sSubSup>
      </m:oMath>
      <w:r w:rsidRPr="000C0613">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1t</m:t>
            </m:r>
          </m:sub>
        </m:sSub>
      </m:oMath>
      <w:r w:rsidRPr="000C0613">
        <w:rPr>
          <w:rFonts w:eastAsiaTheme="minorEastAsia"/>
        </w:rPr>
        <w:t xml:space="preserve">, </w:t>
      </w:r>
      <w:r w:rsidR="00C36D7E" w:rsidRPr="000C0613">
        <w:rPr>
          <w:rFonts w:eastAsiaTheme="minorEastAsia"/>
        </w:rPr>
        <w:t>é dado</w:t>
      </w:r>
      <w:r w:rsidRPr="000C0613">
        <w:rPr>
          <w:rFonts w:eastAsiaTheme="minorEastAsia"/>
        </w:rPr>
        <w:t xml:space="preserve"> por:</w:t>
      </w:r>
    </w:p>
    <w:p w14:paraId="2B948E95" w14:textId="77777777" w:rsidR="003D1DA4" w:rsidRPr="000C0613" w:rsidRDefault="003D1DA4" w:rsidP="003D1DA4">
      <w:pPr>
        <w:spacing w:line="360" w:lineRule="auto"/>
        <w:ind w:firstLine="851"/>
        <w:jc w:val="both"/>
        <w:rPr>
          <w:rFonts w:eastAsiaTheme="minorEastAsia"/>
        </w:rPr>
      </w:pPr>
    </w:p>
    <w:p w14:paraId="7D2EA8C4" w14:textId="7E18E69C" w:rsidR="003D1DA4" w:rsidRPr="000C0613" w:rsidRDefault="006B1E3D" w:rsidP="003D1DA4">
      <w:pPr>
        <w:spacing w:line="360" w:lineRule="auto"/>
        <w:ind w:firstLine="851"/>
        <w:jc w:val="both"/>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1t</m:t>
              </m:r>
            </m:sub>
            <m:sup>
              <m:r>
                <w:rPr>
                  <w:rFonts w:ascii="Cambria Math" w:eastAsiaTheme="minorEastAsia" w:hAnsi="Cambria Math"/>
                </w:rPr>
                <m:t>N</m:t>
              </m:r>
            </m:sup>
          </m:sSub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j=2</m:t>
              </m:r>
            </m:sub>
            <m:sup>
              <m:r>
                <w:rPr>
                  <w:rFonts w:ascii="Cambria Math" w:eastAsiaTheme="minorEastAsia" w:hAnsi="Cambria Math"/>
                </w:rPr>
                <m:t>J+1</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jt</m:t>
                  </m:r>
                </m:sub>
              </m:sSub>
              <m:r>
                <w:rPr>
                  <w:rFonts w:ascii="Cambria Math" w:eastAsiaTheme="minorEastAsia" w:hAnsi="Cambria Math"/>
                </w:rPr>
                <m:t>,</m:t>
              </m:r>
            </m:e>
          </m:nary>
        </m:oMath>
      </m:oMathPara>
    </w:p>
    <w:p w14:paraId="020D61B7" w14:textId="77777777" w:rsidR="003D1DA4" w:rsidRPr="000C0613" w:rsidRDefault="006B1E3D" w:rsidP="003D1DA4">
      <w:pPr>
        <w:spacing w:line="360" w:lineRule="auto"/>
        <w:ind w:firstLine="851"/>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τ</m:t>
                  </m:r>
                </m:e>
              </m:acc>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1t</m:t>
              </m:r>
            </m:sub>
          </m:sSub>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1t</m:t>
              </m:r>
            </m:sub>
            <m:sup>
              <m:r>
                <w:rPr>
                  <w:rFonts w:ascii="Cambria Math" w:eastAsiaTheme="minorEastAsia" w:hAnsi="Cambria Math"/>
                </w:rPr>
                <m:t>N</m:t>
              </m:r>
            </m:sup>
          </m:sSubSup>
        </m:oMath>
      </m:oMathPara>
    </w:p>
    <w:p w14:paraId="566A5C5B" w14:textId="77777777" w:rsidR="003D1DA4" w:rsidRPr="000C0613" w:rsidRDefault="003D1DA4" w:rsidP="003D1DA4">
      <w:pPr>
        <w:spacing w:line="360" w:lineRule="auto"/>
        <w:ind w:firstLine="851"/>
        <w:jc w:val="both"/>
        <w:rPr>
          <w:rFonts w:eastAsiaTheme="minorEastAsia"/>
        </w:rPr>
      </w:pPr>
    </w:p>
    <w:p w14:paraId="4965F5B6" w14:textId="77777777" w:rsidR="003D1DA4" w:rsidRPr="000C0613" w:rsidRDefault="003D1DA4" w:rsidP="003D1DA4">
      <w:pPr>
        <w:spacing w:line="360" w:lineRule="auto"/>
        <w:ind w:firstLine="851"/>
        <w:jc w:val="both"/>
        <w:rPr>
          <w:rFonts w:eastAsiaTheme="minorEastAsia"/>
        </w:rPr>
      </w:pPr>
    </w:p>
    <w:p w14:paraId="6790321D" w14:textId="77777777" w:rsidR="003D1DA4" w:rsidRPr="000C0613" w:rsidRDefault="003D1DA4" w:rsidP="003D1DA4">
      <w:pPr>
        <w:spacing w:line="360" w:lineRule="auto"/>
        <w:ind w:firstLine="851"/>
        <w:jc w:val="both"/>
        <w:rPr>
          <w:rFonts w:eastAsiaTheme="minorEastAsia"/>
        </w:rPr>
      </w:pPr>
      <w:r w:rsidRPr="000C0613">
        <w:rPr>
          <w:rFonts w:eastAsiaTheme="minorEastAsia"/>
        </w:rPr>
        <w:t xml:space="preserve">Uma vez estabelecido o modelo básico é preciso definir o </w:t>
      </w:r>
      <m:oMath>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m:t>
            </m:r>
          </m:sup>
        </m:sSup>
      </m:oMath>
      <w:r w:rsidRPr="000C0613">
        <w:rPr>
          <w:rFonts w:eastAsiaTheme="minorEastAsia"/>
          <w:b/>
        </w:rPr>
        <w:t xml:space="preserve"> </w:t>
      </w:r>
      <w:r w:rsidRPr="000C0613">
        <w:rPr>
          <w:rFonts w:eastAsiaTheme="minorEastAsia"/>
        </w:rPr>
        <w:t xml:space="preserve">que traga o melhor resultado para o estimador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τ</m:t>
                </m:r>
              </m:e>
            </m:acc>
          </m:e>
          <m:sub>
            <m:r>
              <w:rPr>
                <w:rFonts w:ascii="Cambria Math" w:eastAsiaTheme="minorEastAsia" w:hAnsi="Cambria Math"/>
              </w:rPr>
              <m:t>1t</m:t>
            </m:r>
          </m:sub>
        </m:sSub>
      </m:oMath>
      <w:r w:rsidRPr="000C0613">
        <w:rPr>
          <w:rFonts w:eastAsiaTheme="minorEastAsia"/>
        </w:rPr>
        <w:t xml:space="preserve">.  Assim, Seja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0C0613">
        <w:rPr>
          <w:rFonts w:eastAsiaTheme="minorEastAsia"/>
        </w:rPr>
        <w:t xml:space="preserve"> um vetor de dimensão </w:t>
      </w:r>
      <m:oMath>
        <m:r>
          <w:rPr>
            <w:rFonts w:ascii="Cambria Math" w:eastAsiaTheme="minorEastAsia" w:hAnsi="Cambria Math"/>
          </w:rPr>
          <m:t>(k×1)</m:t>
        </m:r>
      </m:oMath>
      <w:r w:rsidRPr="000C0613">
        <w:rPr>
          <w:rFonts w:eastAsiaTheme="minorEastAsia"/>
        </w:rPr>
        <w:t xml:space="preserve"> contanto as caraterísticas da unidade de tratamento 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oMath>
      <w:r w:rsidRPr="000C0613">
        <w:rPr>
          <w:rFonts w:eastAsiaTheme="minorEastAsia"/>
        </w:rPr>
        <w:t xml:space="preserve">como uma uma matriz </w:t>
      </w:r>
      <m:oMath>
        <m:r>
          <w:rPr>
            <w:rFonts w:ascii="Cambria Math" w:eastAsiaTheme="minorEastAsia" w:hAnsi="Cambria Math"/>
          </w:rPr>
          <m:t xml:space="preserve">k </m:t>
        </m:r>
        <m:r>
          <m:rPr>
            <m:nor/>
          </m:rPr>
          <w:rPr>
            <w:rFonts w:eastAsiaTheme="minorEastAsia"/>
          </w:rPr>
          <m:t>× J</m:t>
        </m:r>
      </m:oMath>
      <w:r w:rsidRPr="000C0613">
        <w:rPr>
          <w:rFonts w:eastAsiaTheme="minorEastAsia"/>
        </w:rPr>
        <w:t xml:space="preserve"> contendo os valores da mesma variável dentre aos candidatos à unidade sintéticas (</w:t>
      </w:r>
      <w:proofErr w:type="spellStart"/>
      <w:r w:rsidRPr="000C0613">
        <w:rPr>
          <w:rFonts w:eastAsiaTheme="minorEastAsia"/>
        </w:rPr>
        <w:t>donor</w:t>
      </w:r>
      <w:proofErr w:type="spellEnd"/>
      <w:r w:rsidRPr="000C0613">
        <w:rPr>
          <w:rFonts w:eastAsiaTheme="minorEastAsia"/>
        </w:rPr>
        <w:t xml:space="preserve"> pool). Assim </w:t>
      </w:r>
      <w:r w:rsidRPr="000C0613">
        <w:t xml:space="preserve">Abadie e </w:t>
      </w:r>
      <w:proofErr w:type="spellStart"/>
      <w:r w:rsidRPr="000C0613">
        <w:t>Gardeazabal</w:t>
      </w:r>
      <w:proofErr w:type="spellEnd"/>
      <w:r w:rsidRPr="000C0613">
        <w:t xml:space="preserve"> </w:t>
      </w:r>
      <w:r w:rsidRPr="000C0613">
        <w:fldChar w:fldCharType="begin" w:fldLock="1"/>
      </w:r>
      <w:r w:rsidRPr="000C0613">
        <w:instrText>ADDIN CSL_CITATION {"citationItems":[{"id":"ITEM-1","itemData":{"DOI":"10.1257/000282803321455188","ISSN":"00028282","abstract":"This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author":[{"dropping-particle":"","family":"Abadie","given":"Alberto","non-dropping-particle":"","parse-names":false,"suffix":""},{"dropping-particle":"","family":"Gardeazabal","given":"Javier","non-dropping-particle":"","parse-names":false,"suffix":""}],"container-title":"American Economic Review","id":"ITEM-1","issue":"1","issued":{"date-parts":[["2003"]]},"page":"113-132","title":"The economic costs of conflict: A case study of the Basque country","type":"article-journal","volume":"93"},"suppress-author":1,"uris":["http://www.mendeley.com/documents/?uuid=dde319c1-7ef6-46c7-8610-96ee645d11cb"]}],"mendeley":{"formattedCitation":"(2003)","plainTextFormattedCitation":"(2003)","previouslyFormattedCitation":"(2003)"},"properties":{"noteIndex":0},"schema":"https://github.com/citation-style-language/schema/raw/master/csl-citation.json"}</w:instrText>
      </w:r>
      <w:r w:rsidRPr="000C0613">
        <w:fldChar w:fldCharType="separate"/>
      </w:r>
      <w:r w:rsidRPr="000C0613">
        <w:rPr>
          <w:noProof/>
        </w:rPr>
        <w:t>(2003)</w:t>
      </w:r>
      <w:r w:rsidRPr="000C0613">
        <w:fldChar w:fldCharType="end"/>
      </w:r>
      <w:r w:rsidRPr="000C0613">
        <w:t xml:space="preserve">, Abadie </w:t>
      </w:r>
      <w:r w:rsidRPr="000C0613">
        <w:rPr>
          <w:i/>
        </w:rPr>
        <w:t>et al</w:t>
      </w:r>
      <w:r w:rsidRPr="000C0613">
        <w:t xml:space="preserve">. </w:t>
      </w:r>
      <w:r w:rsidRPr="000C0613">
        <w:fldChar w:fldCharType="begin" w:fldLock="1"/>
      </w:r>
      <w:r w:rsidRPr="000C0613">
        <w:instrText>ADDIN CSL_CITATION {"citationItems":[{"id":"ITEM-1","itemData":{"DOI":"10.1198/jasa.2009.ap08746","ISSN":"01621459","abstract":"Building on an idea in Abadie and Gardeazabal (2003), this article investigates the application of synthetic control methods to comparative case studies. We discuss the advantages of these methods and apply them to study the effects of Proposition 99, a large-scale tobacco control program that California implemented in 1988. We demonstrate that, following Proposition 99, tobacco consumption fell markedly in California relative to a comparable synthetic control region. We estimate that by the year 2000 annual per-capita cigarette sales in California were about 26 packs lower than what they would have been in the absence of Proposition 99. Using new inferential methods proposed in this article, we demonstrate the significance of our estimates. Given that many policy interventions and events of interest in social sciences take place at an aggregate level (countries, regions, cities, etc.) and affect a small number of aggregate units, the potential applicability of synthetic control methods to comparative case studies is very large, especially in situations where traditional regression methods are not appropriate. © 2010 American Statistical Association.","author":[{"dropping-particle":"","family":"Abadie","given":"Alberto","non-dropping-particle":"","parse-names":false,"suffix":""},{"dropping-particle":"","family":"Diamond","given":"Alexis","non-dropping-particle":"","parse-names":false,"suffix":""},{"dropping-particle":"","family":"Hainmueller","given":"And Jens","non-dropping-particle":"","parse-names":false,"suffix":""}],"container-title":"Journal of the American Statistical Association","id":"ITEM-1","issue":"490","issued":{"date-parts":[["2010"]]},"page":"493-505","title":"Synthetic control methods for comparative case studies: Estimating the effect of California's Tobacco control program","type":"article-journal","volume":"105"},"suppress-author":1,"uris":["http://www.mendeley.com/documents/?uuid=f2448c27-1ec1-4de9-ac75-dc76c8cb83a1"]}],"mendeley":{"formattedCitation":"(2010)","plainTextFormattedCitation":"(2010)","previouslyFormattedCitation":"(2010)"},"properties":{"noteIndex":0},"schema":"https://github.com/citation-style-language/schema/raw/master/csl-citation.json"}</w:instrText>
      </w:r>
      <w:r w:rsidRPr="000C0613">
        <w:fldChar w:fldCharType="separate"/>
      </w:r>
      <w:r w:rsidRPr="000C0613">
        <w:rPr>
          <w:noProof/>
        </w:rPr>
        <w:t>(2010)</w:t>
      </w:r>
      <w:r w:rsidRPr="000C0613">
        <w:fldChar w:fldCharType="end"/>
      </w:r>
      <w:r w:rsidRPr="000C0613">
        <w:t xml:space="preserve"> e Abadie </w:t>
      </w:r>
      <w:r w:rsidRPr="000C0613">
        <w:fldChar w:fldCharType="begin" w:fldLock="1"/>
      </w:r>
      <w:r w:rsidRPr="000C0613">
        <w:instrText>ADDIN CSL_CITATION {"citationItems":[{"id":"ITEM-1","itemData":{"author":[{"dropping-particle":"","family":"Abadie","given":"Alberto","non-dropping-particle":"","parse-names":false,"suffix":""}],"container-title":"Journal of Economic Literature","id":"ITEM-1","issued":{"date-parts":[["2019"]]},"title":"Using Synthetic Controls : Feasibility , Data Requirements , and Methodological Aspects","type":"article-journal"},"label":"chapter","suppress-author":1,"uris":["http://www.mendeley.com/documents/?uuid=3c28d8df-8149-44c9-b903-0c116d280886"]}],"mendeley":{"formattedCitation":"(2019)","plainTextFormattedCitation":"(2019)","previouslyFormattedCitation":"(2019)"},"properties":{"noteIndex":0},"schema":"https://github.com/citation-style-language/schema/raw/master/csl-citation.json"}</w:instrText>
      </w:r>
      <w:r w:rsidRPr="000C0613">
        <w:fldChar w:fldCharType="separate"/>
      </w:r>
      <w:r w:rsidRPr="000C0613">
        <w:rPr>
          <w:noProof/>
        </w:rPr>
        <w:t>(2019)</w:t>
      </w:r>
      <w:r w:rsidRPr="000C0613">
        <w:fldChar w:fldCharType="end"/>
      </w:r>
      <w:r w:rsidRPr="000C0613">
        <w:t xml:space="preserve"> definiram </w:t>
      </w:r>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m:t>
            </m:r>
          </m:sup>
        </m:sSup>
      </m:oMath>
      <w:r w:rsidRPr="000C0613">
        <w:rPr>
          <w:rFonts w:eastAsiaTheme="minorEastAsia"/>
          <w:b/>
        </w:rPr>
        <w:t xml:space="preserve"> </w:t>
      </w:r>
      <w:r w:rsidRPr="000C0613">
        <w:rPr>
          <w:rFonts w:eastAsiaTheme="minorEastAsia"/>
        </w:rPr>
        <w:t xml:space="preserve">como o valor de </w:t>
      </w:r>
      <m:oMath>
        <m:r>
          <m:rPr>
            <m:sty m:val="bi"/>
          </m:rPr>
          <w:rPr>
            <w:rFonts w:ascii="Cambria Math" w:eastAsiaTheme="minorEastAsia" w:hAnsi="Cambria Math"/>
          </w:rPr>
          <m:t>W</m:t>
        </m:r>
      </m:oMath>
      <w:r w:rsidRPr="000C0613">
        <w:rPr>
          <w:rFonts w:eastAsiaTheme="minorEastAsia"/>
          <w:b/>
        </w:rPr>
        <w:t xml:space="preserve"> </w:t>
      </w:r>
      <w:r w:rsidRPr="000C0613">
        <w:rPr>
          <w:rFonts w:eastAsiaTheme="minorEastAsia"/>
        </w:rPr>
        <w:t>que minimiza a expressão:</w:t>
      </w:r>
    </w:p>
    <w:p w14:paraId="21DF6B10" w14:textId="77777777" w:rsidR="003D1DA4" w:rsidRPr="000C0613" w:rsidRDefault="006B1E3D" w:rsidP="003D1DA4">
      <w:pPr>
        <w:spacing w:line="360" w:lineRule="auto"/>
        <w:ind w:firstLine="851"/>
        <w:jc w:val="bot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W</m:t>
              </m:r>
            </m:e>
          </m:d>
          <m:r>
            <w:rPr>
              <w:rFonts w:ascii="Cambria Math" w:eastAsiaTheme="minorEastAsia" w:hAnsi="Cambria Math"/>
            </w:rPr>
            <m:t xml:space="preserve">V=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W</m:t>
                      </m:r>
                    </m:e>
                  </m:d>
                </m:e>
                <m:sup>
                  <m:r>
                    <w:rPr>
                      <w:rFonts w:ascii="Cambria Math" w:eastAsiaTheme="minorEastAsia" w:hAnsi="Cambria Math"/>
                    </w:rPr>
                    <m:t>'</m:t>
                  </m:r>
                </m:sup>
              </m:sSup>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W)</m:t>
              </m:r>
            </m:e>
          </m:rad>
        </m:oMath>
      </m:oMathPara>
    </w:p>
    <w:p w14:paraId="131B0734" w14:textId="77777777" w:rsidR="00BF2565" w:rsidRPr="000C0613" w:rsidRDefault="003D1DA4" w:rsidP="003D1DA4">
      <w:pPr>
        <w:spacing w:line="360" w:lineRule="auto"/>
        <w:ind w:firstLine="851"/>
        <w:jc w:val="both"/>
        <w:rPr>
          <w:rFonts w:eastAsiaTheme="minorEastAsia"/>
        </w:rPr>
      </w:pPr>
      <w:r w:rsidRPr="000C0613">
        <w:rPr>
          <w:rFonts w:eastAsiaTheme="minorEastAsia"/>
        </w:rPr>
        <w:t xml:space="preserve">Sendo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r>
              <m:rPr>
                <m:nor/>
              </m:rPr>
              <w:rPr>
                <w:rFonts w:eastAsiaTheme="minorEastAsia"/>
              </w:rPr>
              <m:t>×</m:t>
            </m:r>
            <m:r>
              <w:rPr>
                <w:rFonts w:ascii="Cambria Math" w:eastAsiaTheme="minorEastAsia" w:hAnsi="Cambria Math"/>
              </w:rPr>
              <m:t>k</m:t>
            </m:r>
          </m:sub>
        </m:sSub>
      </m:oMath>
      <w:r w:rsidRPr="000C0613">
        <w:rPr>
          <w:rFonts w:eastAsiaTheme="minorEastAsia"/>
        </w:rPr>
        <w:t xml:space="preserve"> uma matriz simétrica e </w:t>
      </w:r>
      <w:proofErr w:type="spellStart"/>
      <w:r w:rsidRPr="000C0613">
        <w:rPr>
          <w:rFonts w:eastAsiaTheme="minorEastAsia"/>
        </w:rPr>
        <w:t>semidefinida</w:t>
      </w:r>
      <w:proofErr w:type="spellEnd"/>
      <w:r w:rsidRPr="000C0613">
        <w:rPr>
          <w:rFonts w:eastAsiaTheme="minorEastAsia"/>
        </w:rPr>
        <w:t xml:space="preserve"> que tem função de atribuir os pesos em casa variável na distância entre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r>
          <m:rPr>
            <m:nor/>
          </m:rPr>
          <w:rPr>
            <w:rFonts w:eastAsiaTheme="minorEastAsia"/>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W</m:t>
        </m:r>
      </m:oMath>
      <w:r w:rsidRPr="000C0613">
        <w:rPr>
          <w:rFonts w:eastAsiaTheme="minorEastAsia"/>
        </w:rPr>
        <w:t xml:space="preserve">. Os autores escolheram </w:t>
      </w:r>
      <m:oMath>
        <m:r>
          <w:rPr>
            <w:rFonts w:ascii="Cambria Math" w:eastAsiaTheme="minorEastAsia" w:hAnsi="Cambria Math"/>
          </w:rPr>
          <m:t>V</m:t>
        </m:r>
      </m:oMath>
      <w:r w:rsidRPr="000C0613">
        <w:rPr>
          <w:rFonts w:eastAsiaTheme="minorEastAsia"/>
        </w:rPr>
        <w:t xml:space="preserve"> como uma combinação linear das variáveis em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r>
          <m:rPr>
            <m:nor/>
          </m:rPr>
          <w:rPr>
            <w:rFonts w:eastAsiaTheme="minorEastAsia"/>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0C0613">
        <w:rPr>
          <w:rFonts w:eastAsiaTheme="minorEastAsia"/>
        </w:rPr>
        <w:t xml:space="preserve"> que minimiza o erro quadrático médio do estimador de controle sintético.</w:t>
      </w:r>
      <w:r w:rsidR="00266B66" w:rsidRPr="000C0613">
        <w:rPr>
          <w:rFonts w:eastAsiaTheme="minorEastAsia"/>
        </w:rPr>
        <w:t xml:space="preserve"> </w:t>
      </w:r>
    </w:p>
    <w:p w14:paraId="0EF006D2" w14:textId="7D0F53CD" w:rsidR="00A24DE1" w:rsidRPr="000C0613" w:rsidRDefault="00E87CD0" w:rsidP="003D1DA4">
      <w:pPr>
        <w:spacing w:line="360" w:lineRule="auto"/>
        <w:ind w:firstLine="851"/>
        <w:jc w:val="both"/>
        <w:rPr>
          <w:rFonts w:eastAsiaTheme="minorEastAsia"/>
        </w:rPr>
      </w:pPr>
      <w:r w:rsidRPr="000C0613">
        <w:rPr>
          <w:rFonts w:eastAsiaTheme="minorEastAsia"/>
        </w:rPr>
        <w:t>Já</w:t>
      </w:r>
      <w:r w:rsidR="00266B66" w:rsidRPr="000C0613">
        <w:rPr>
          <w:rFonts w:eastAsiaTheme="minorEastAsia"/>
        </w:rPr>
        <w:t xml:space="preserve"> </w:t>
      </w:r>
      <w:r w:rsidR="00BF2565" w:rsidRPr="000C0613">
        <w:rPr>
          <w:rFonts w:eastAsiaTheme="minorEastAsia"/>
        </w:rPr>
        <w:t>a inferência sobre os efeitos estimados</w:t>
      </w:r>
      <w:r w:rsidR="00266B66" w:rsidRPr="000C0613">
        <w:rPr>
          <w:rFonts w:eastAsiaTheme="minorEastAsia"/>
        </w:rPr>
        <w:t xml:space="preserve"> pode ser testada por </w:t>
      </w:r>
      <w:r w:rsidR="00BF2565" w:rsidRPr="000C0613">
        <w:rPr>
          <w:rFonts w:eastAsiaTheme="minorEastAsia"/>
        </w:rPr>
        <w:t>testes de placebos</w:t>
      </w:r>
      <w:r w:rsidR="00AA6FD6" w:rsidRPr="000C0613">
        <w:rPr>
          <w:rFonts w:eastAsiaTheme="minorEastAsia"/>
        </w:rPr>
        <w:t xml:space="preserve">. Um dos procedimentos </w:t>
      </w:r>
      <w:r w:rsidR="00AD05EE" w:rsidRPr="000C0613">
        <w:rPr>
          <w:rFonts w:eastAsiaTheme="minorEastAsia"/>
        </w:rPr>
        <w:t>é o</w:t>
      </w:r>
      <w:r w:rsidR="00AA6FD6" w:rsidRPr="000C0613">
        <w:rPr>
          <w:rFonts w:eastAsiaTheme="minorEastAsia"/>
        </w:rPr>
        <w:t xml:space="preserve"> teste de permutação,</w:t>
      </w:r>
      <w:r w:rsidR="00AD05EE" w:rsidRPr="000C0613">
        <w:rPr>
          <w:rFonts w:eastAsiaTheme="minorEastAsia"/>
        </w:rPr>
        <w:t xml:space="preserve"> isto é,</w:t>
      </w:r>
      <w:r w:rsidR="00AA6FD6" w:rsidRPr="000C0613">
        <w:rPr>
          <w:rFonts w:eastAsiaTheme="minorEastAsia"/>
        </w:rPr>
        <w:t xml:space="preserve"> testar para cada unidade de controle uma unidade sintética e calcular a </w:t>
      </w:r>
      <w:r w:rsidR="008122C3">
        <w:rPr>
          <w:rFonts w:eastAsiaTheme="minorEastAsia"/>
        </w:rPr>
        <w:t>r</w:t>
      </w:r>
      <w:r w:rsidR="00C36D7E">
        <w:rPr>
          <w:rFonts w:eastAsiaTheme="minorEastAsia"/>
        </w:rPr>
        <w:t>azão</w:t>
      </w:r>
      <w:r w:rsidR="003D01F2" w:rsidRPr="000C0613">
        <w:rPr>
          <w:rFonts w:eastAsiaTheme="minorEastAsia"/>
        </w:rPr>
        <w:t xml:space="preserve"> </w:t>
      </w:r>
      <w:r w:rsidR="00AA6FD6" w:rsidRPr="000C0613">
        <w:rPr>
          <w:rFonts w:eastAsiaTheme="minorEastAsia"/>
        </w:rPr>
        <w:t>do erro médio quadrático de previsão</w:t>
      </w:r>
      <w:r w:rsidR="00ED34D8" w:rsidRPr="000C0613">
        <w:rPr>
          <w:rFonts w:eastAsiaTheme="minorEastAsia"/>
        </w:rPr>
        <w:t xml:space="preserve">, ou na sigla em inglês, </w:t>
      </w:r>
      <w:r w:rsidR="00C36D7E">
        <w:rPr>
          <w:rFonts w:eastAsiaTheme="minorEastAsia"/>
        </w:rPr>
        <w:t xml:space="preserve">razão </w:t>
      </w:r>
      <w:r w:rsidR="00A24DE1" w:rsidRPr="000C0613">
        <w:rPr>
          <w:rFonts w:eastAsiaTheme="minorEastAsia"/>
        </w:rPr>
        <w:t>MSPE</w:t>
      </w:r>
      <w:r w:rsidR="00C36D7E">
        <w:rPr>
          <w:rFonts w:eastAsiaTheme="minorEastAsia"/>
        </w:rPr>
        <w:t xml:space="preserve"> ou RMSPE</w:t>
      </w:r>
      <w:r w:rsidR="00AA6FD6" w:rsidRPr="000C0613">
        <w:rPr>
          <w:rFonts w:eastAsiaTheme="minorEastAsia"/>
        </w:rPr>
        <w:t xml:space="preserve"> (</w:t>
      </w:r>
      <w:proofErr w:type="spellStart"/>
      <w:r w:rsidR="00AF4840">
        <w:rPr>
          <w:rFonts w:eastAsiaTheme="minorEastAsia"/>
          <w:i/>
        </w:rPr>
        <w:t>ratio</w:t>
      </w:r>
      <w:proofErr w:type="spellEnd"/>
      <w:r w:rsidR="00AF4840">
        <w:rPr>
          <w:rFonts w:eastAsiaTheme="minorEastAsia"/>
          <w:i/>
        </w:rPr>
        <w:t xml:space="preserve"> </w:t>
      </w:r>
      <w:proofErr w:type="spellStart"/>
      <w:r w:rsidR="00AF4840">
        <w:rPr>
          <w:rFonts w:eastAsiaTheme="minorEastAsia"/>
          <w:i/>
        </w:rPr>
        <w:t>of</w:t>
      </w:r>
      <w:proofErr w:type="spellEnd"/>
      <w:r w:rsidR="003D01F2" w:rsidRPr="000C0613">
        <w:rPr>
          <w:rFonts w:eastAsiaTheme="minorEastAsia"/>
          <w:i/>
        </w:rPr>
        <w:t xml:space="preserve"> </w:t>
      </w:r>
      <w:proofErr w:type="spellStart"/>
      <w:r w:rsidR="003D01F2" w:rsidRPr="000C0613">
        <w:rPr>
          <w:rFonts w:eastAsiaTheme="minorEastAsia"/>
          <w:i/>
        </w:rPr>
        <w:t>mean</w:t>
      </w:r>
      <w:proofErr w:type="spellEnd"/>
      <w:r w:rsidR="003D01F2" w:rsidRPr="000C0613">
        <w:rPr>
          <w:rFonts w:eastAsiaTheme="minorEastAsia"/>
          <w:i/>
        </w:rPr>
        <w:t xml:space="preserve"> </w:t>
      </w:r>
      <w:proofErr w:type="spellStart"/>
      <w:r w:rsidR="003D01F2" w:rsidRPr="000C0613">
        <w:rPr>
          <w:rFonts w:eastAsiaTheme="minorEastAsia"/>
          <w:i/>
        </w:rPr>
        <w:t>square</w:t>
      </w:r>
      <w:proofErr w:type="spellEnd"/>
      <w:r w:rsidR="003D01F2" w:rsidRPr="000C0613">
        <w:rPr>
          <w:rFonts w:eastAsiaTheme="minorEastAsia"/>
          <w:i/>
        </w:rPr>
        <w:t xml:space="preserve"> </w:t>
      </w:r>
      <w:proofErr w:type="spellStart"/>
      <w:r w:rsidR="003D01F2" w:rsidRPr="000C0613">
        <w:rPr>
          <w:rFonts w:eastAsiaTheme="minorEastAsia"/>
          <w:i/>
        </w:rPr>
        <w:t>prediction</w:t>
      </w:r>
      <w:proofErr w:type="spellEnd"/>
      <w:r w:rsidR="003D01F2" w:rsidRPr="000C0613">
        <w:rPr>
          <w:rFonts w:eastAsiaTheme="minorEastAsia"/>
          <w:i/>
        </w:rPr>
        <w:t xml:space="preserve"> </w:t>
      </w:r>
      <w:proofErr w:type="spellStart"/>
      <w:r w:rsidR="003D01F2" w:rsidRPr="000C0613">
        <w:rPr>
          <w:rFonts w:eastAsiaTheme="minorEastAsia"/>
          <w:i/>
        </w:rPr>
        <w:t>error</w:t>
      </w:r>
      <w:proofErr w:type="spellEnd"/>
      <w:r w:rsidR="00AA6FD6" w:rsidRPr="000C0613">
        <w:rPr>
          <w:rFonts w:eastAsiaTheme="minorEastAsia"/>
        </w:rPr>
        <w:t>).</w:t>
      </w:r>
      <w:r w:rsidR="003D01F2" w:rsidRPr="000C0613">
        <w:rPr>
          <w:rFonts w:eastAsiaTheme="minorEastAsia"/>
        </w:rPr>
        <w:t xml:space="preserve"> </w:t>
      </w:r>
      <w:r w:rsidR="00ED34D8" w:rsidRPr="000C0613">
        <w:rPr>
          <w:rFonts w:eastAsiaTheme="minorEastAsia"/>
        </w:rPr>
        <w:t>Portanto,</w:t>
      </w:r>
      <w:r w:rsidR="00AA6FD6" w:rsidRPr="000C0613">
        <w:rPr>
          <w:rFonts w:eastAsiaTheme="minorEastAsia"/>
        </w:rPr>
        <w:t xml:space="preserve"> </w:t>
      </w:r>
      <w:r w:rsidR="00ED34D8" w:rsidRPr="000C0613">
        <w:rPr>
          <w:rFonts w:eastAsiaTheme="minorEastAsia"/>
        </w:rPr>
        <w:t>o efeito do tratamento na unidade afetada pela intervenção é considerado significativo quando sua magnitude é extrema em relação à distribuição da permutação</w:t>
      </w:r>
      <w:r w:rsidR="00AD05EE" w:rsidRPr="000C0613">
        <w:rPr>
          <w:rFonts w:eastAsiaTheme="minorEastAsia"/>
        </w:rPr>
        <w:t xml:space="preserve"> (ABADIE, ET AL. 2010)</w:t>
      </w:r>
      <w:r w:rsidR="00ED34D8" w:rsidRPr="000C0613">
        <w:rPr>
          <w:rFonts w:eastAsiaTheme="minorEastAsia"/>
        </w:rPr>
        <w:t>.</w:t>
      </w:r>
    </w:p>
    <w:p w14:paraId="29427138" w14:textId="77777777" w:rsidR="003D01F2" w:rsidRPr="000C0613" w:rsidRDefault="00C36D7E" w:rsidP="007D7548">
      <w:pPr>
        <w:spacing w:line="360" w:lineRule="auto"/>
        <w:ind w:firstLine="851"/>
        <w:jc w:val="both"/>
        <w:rPr>
          <w:rFonts w:eastAsiaTheme="minorEastAsia"/>
        </w:rPr>
      </w:pPr>
      <w:r>
        <w:rPr>
          <w:rFonts w:eastAsiaTheme="minorEastAsia"/>
        </w:rPr>
        <w:t xml:space="preserve"> No entanto, a magnitude da </w:t>
      </w:r>
      <w:r w:rsidR="00A24DE1" w:rsidRPr="000C0613">
        <w:rPr>
          <w:rFonts w:eastAsiaTheme="minorEastAsia"/>
        </w:rPr>
        <w:t>MSPE, dependendo do período de tempo escolhido, pode mostrar discrepância que podem invalidar o teste de hipótese. Nesse sentido, Abadie (2015</w:t>
      </w:r>
      <w:r>
        <w:rPr>
          <w:rFonts w:eastAsiaTheme="minorEastAsia"/>
        </w:rPr>
        <w:t xml:space="preserve">) propuseram uma razão entre o </w:t>
      </w:r>
      <w:r w:rsidR="00A24DE1" w:rsidRPr="000C0613">
        <w:rPr>
          <w:rFonts w:eastAsiaTheme="minorEastAsia"/>
        </w:rPr>
        <w:t xml:space="preserve">MPSE </w:t>
      </w:r>
      <w:r w:rsidR="00680F44" w:rsidRPr="000C0613">
        <w:rPr>
          <w:rFonts w:eastAsiaTheme="minorEastAsia"/>
        </w:rPr>
        <w:t>pós-intervenção</w:t>
      </w:r>
      <w:r>
        <w:rPr>
          <w:rFonts w:eastAsiaTheme="minorEastAsia"/>
        </w:rPr>
        <w:t xml:space="preserve"> e </w:t>
      </w:r>
      <w:r w:rsidR="00A24DE1" w:rsidRPr="000C0613">
        <w:rPr>
          <w:rFonts w:eastAsiaTheme="minorEastAsia"/>
        </w:rPr>
        <w:t xml:space="preserve">MSPE </w:t>
      </w:r>
      <w:proofErr w:type="spellStart"/>
      <w:r w:rsidR="006E5436" w:rsidRPr="000C0613">
        <w:rPr>
          <w:rFonts w:eastAsiaTheme="minorEastAsia"/>
        </w:rPr>
        <w:t>pré</w:t>
      </w:r>
      <w:proofErr w:type="spellEnd"/>
      <w:r w:rsidR="006E5436" w:rsidRPr="000C0613">
        <w:rPr>
          <w:rFonts w:eastAsiaTheme="minorEastAsia"/>
        </w:rPr>
        <w:t>-intervenção</w:t>
      </w:r>
      <w:r w:rsidR="00A24DE1" w:rsidRPr="000C0613">
        <w:rPr>
          <w:rFonts w:eastAsiaTheme="minorEastAsia"/>
        </w:rPr>
        <w:t xml:space="preserve"> </w:t>
      </w:r>
      <w:r w:rsidR="00E87CD0" w:rsidRPr="000C0613">
        <w:rPr>
          <w:rFonts w:eastAsiaTheme="minorEastAsia"/>
        </w:rPr>
        <w:t xml:space="preserve">tanto </w:t>
      </w:r>
      <w:r w:rsidR="00A24DE1" w:rsidRPr="000C0613">
        <w:rPr>
          <w:rFonts w:eastAsiaTheme="minorEastAsia"/>
        </w:rPr>
        <w:t>para as unidades de tratamento quanto para as unidades de controle.</w:t>
      </w:r>
      <w:r w:rsidR="006E5436" w:rsidRPr="000C0613">
        <w:rPr>
          <w:rFonts w:eastAsiaTheme="minorEastAsia"/>
        </w:rPr>
        <w:t xml:space="preserve"> Assim, quanto</w:t>
      </w:r>
      <w:r w:rsidR="00E87CD0" w:rsidRPr="000C0613">
        <w:rPr>
          <w:rFonts w:eastAsiaTheme="minorEastAsia"/>
        </w:rPr>
        <w:t xml:space="preserve"> maior </w:t>
      </w:r>
      <w:r w:rsidR="006E5436" w:rsidRPr="000C0613">
        <w:rPr>
          <w:rFonts w:eastAsiaTheme="minorEastAsia"/>
        </w:rPr>
        <w:t>essa razão</w:t>
      </w:r>
      <w:r w:rsidR="00E87CD0" w:rsidRPr="000C0613">
        <w:rPr>
          <w:rFonts w:eastAsiaTheme="minorEastAsia"/>
        </w:rPr>
        <w:t>, maior a evidência</w:t>
      </w:r>
      <w:r w:rsidR="007D7548" w:rsidRPr="000C0613">
        <w:rPr>
          <w:rFonts w:eastAsiaTheme="minorEastAsia"/>
        </w:rPr>
        <w:t xml:space="preserve"> do efeito da intervenção.</w:t>
      </w:r>
    </w:p>
    <w:p w14:paraId="74FE3D65" w14:textId="77777777" w:rsidR="007D7548" w:rsidRPr="000C0613" w:rsidRDefault="007227FB" w:rsidP="007D7548">
      <w:pPr>
        <w:spacing w:line="360" w:lineRule="auto"/>
        <w:ind w:firstLine="851"/>
        <w:jc w:val="both"/>
        <w:rPr>
          <w:rFonts w:eastAsiaTheme="minorEastAsia"/>
        </w:rPr>
      </w:pPr>
      <w:r w:rsidRPr="000C0613">
        <w:rPr>
          <w:rFonts w:eastAsiaTheme="minorEastAsia"/>
        </w:rPr>
        <w:lastRenderedPageBreak/>
        <w:t>A formalização</w:t>
      </w:r>
      <w:r w:rsidR="00E87CD0" w:rsidRPr="000C0613">
        <w:rPr>
          <w:rFonts w:eastAsiaTheme="minorEastAsia"/>
        </w:rPr>
        <w:t xml:space="preserve"> da razão</w:t>
      </w:r>
      <w:r w:rsidRPr="000C0613">
        <w:rPr>
          <w:rFonts w:eastAsiaTheme="minorEastAsia"/>
        </w:rPr>
        <w:t xml:space="preserve"> RMPSE desenvolvida por Abadie (2010) pode ser melhor sintetizada de forma mais clara de acordo com o trabalho de </w:t>
      </w:r>
      <w:proofErr w:type="spellStart"/>
      <w:r w:rsidRPr="000C0613">
        <w:rPr>
          <w:rFonts w:eastAsiaTheme="minorEastAsia"/>
        </w:rPr>
        <w:t>Possebom</w:t>
      </w:r>
      <w:proofErr w:type="spellEnd"/>
      <w:r w:rsidR="007D7548" w:rsidRPr="000C0613">
        <w:rPr>
          <w:rFonts w:eastAsiaTheme="minorEastAsia"/>
        </w:rPr>
        <w:t xml:space="preserve"> </w:t>
      </w:r>
      <w:r w:rsidRPr="000C0613">
        <w:rPr>
          <w:rFonts w:eastAsiaTheme="minorEastAsia"/>
        </w:rPr>
        <w:fldChar w:fldCharType="begin" w:fldLock="1"/>
      </w:r>
      <w:r w:rsidR="003C41E2" w:rsidRPr="000C0613">
        <w:rPr>
          <w:rFonts w:eastAsiaTheme="minorEastAsia"/>
        </w:rPr>
        <w:instrText>ADDIN CSL_CITATION {"citationItems":[{"id":"ITEM-1","itemData":{"DOI":"10.5935/0034-7140.20170011","ISSN":"00347140","abstract":"I apply the synthetic control method to Brazilian city-level data during the twentieth century in order to evaluate the economic impact of the Free Trade Zone of Manaus (FTZM). I find that this enterprise zone had significantly positive effects on real GDP per capita and Services Total Production per capita, but it also had significantly negative effects on Agriculture Total Production per capita. My results suggest that this subsidy policy achieved its goal of promoting regional economic growth at the cost of creating mis-allocation of resources among economic sectors. They also reject the view that an industrialization policy will benefit all economic sectors due to positive spill-overs from the manufacturing sector that are strong enough to compensate for the negative effect of the mis-allocation of resources.","author":[{"dropping-particle":"","family":"Possebom","given":"Vítor","non-dropping-particle":"","parse-names":false,"suffix":""}],"container-title":"Revista Brasileira de Economia","id":"ITEM-1","issue":"2","issued":{"date-parts":[["2017"]]},"page":"217-231","title":"Free trade zone of manaus: An impact evaluation using the synthetic control method","type":"article-journal","volume":"71"},"uris":["http://www.mendeley.com/documents/?uuid=a9fac5a7-76a9-4f9d-9cec-55f310522221"]}],"mendeley":{"formattedCitation":"(POSSEBOM, 2017)","manualFormatting":"(2017)","plainTextFormattedCitation":"(POSSEBOM, 2017)","previouslyFormattedCitation":"(POSSEBOM, 2017)"},"properties":{"noteIndex":0},"schema":"https://github.com/citation-style-language/schema/raw/master/csl-citation.json"}</w:instrText>
      </w:r>
      <w:r w:rsidRPr="000C0613">
        <w:rPr>
          <w:rFonts w:eastAsiaTheme="minorEastAsia"/>
        </w:rPr>
        <w:fldChar w:fldCharType="separate"/>
      </w:r>
      <w:r w:rsidRPr="000C0613">
        <w:rPr>
          <w:rFonts w:eastAsiaTheme="minorEastAsia"/>
          <w:noProof/>
        </w:rPr>
        <w:t>(2017)</w:t>
      </w:r>
      <w:r w:rsidRPr="000C0613">
        <w:rPr>
          <w:rFonts w:eastAsiaTheme="minorEastAsia"/>
        </w:rPr>
        <w:fldChar w:fldCharType="end"/>
      </w:r>
      <w:r w:rsidRPr="000C0613">
        <w:rPr>
          <w:rFonts w:eastAsiaTheme="minorEastAsia"/>
        </w:rPr>
        <w:t>:</w:t>
      </w:r>
    </w:p>
    <w:p w14:paraId="5886338A" w14:textId="77FA2AD4" w:rsidR="007227FB" w:rsidRPr="004701A5" w:rsidRDefault="006B1E3D" w:rsidP="007D7548">
      <w:pPr>
        <w:spacing w:line="360" w:lineRule="auto"/>
        <w:ind w:firstLine="851"/>
        <w:jc w:val="both"/>
        <w:rPr>
          <w:rFonts w:eastAsiaTheme="minorEastAsia"/>
          <w:lang w:val="en-US"/>
        </w:rPr>
      </w:pPr>
      <m:oMathPara>
        <m:oMath>
          <m:sSub>
            <m:sSubPr>
              <m:ctrlPr>
                <w:rPr>
                  <w:rFonts w:ascii="Cambria Math" w:eastAsiaTheme="minorEastAsia" w:hAnsi="Cambria Math"/>
                  <w:i/>
                </w:rPr>
              </m:ctrlPr>
            </m:sSubPr>
            <m:e>
              <m:r>
                <m:rPr>
                  <m:nor/>
                </m:rPr>
                <w:rPr>
                  <w:rFonts w:eastAsiaTheme="minorEastAsia"/>
                  <w:lang w:val="en-US"/>
                </w:rPr>
                <m:t>RMSPE</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hint="eastAsia"/>
              <w:lang w:val="en-US"/>
            </w:rPr>
            <m:t xml:space="preserve">=  </m:t>
          </m:r>
          <m:f>
            <m:fPr>
              <m:ctrlPr>
                <w:rPr>
                  <w:rFonts w:ascii="Cambria Math" w:eastAsiaTheme="minorEastAsia" w:hAnsi="Cambria Math"/>
                  <w:i/>
                </w:rPr>
              </m:ctrlPr>
            </m:fPr>
            <m:num>
              <m:f>
                <m:fPr>
                  <m:type m:val="skw"/>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hint="eastAsia"/>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hint="eastAsia"/>
                          <w:lang w:val="en-US"/>
                        </w:rPr>
                        <m: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hint="eastAsia"/>
                                  <w:lang w:val="en-US"/>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r>
                                    <w:rPr>
                                      <w:rFonts w:ascii="Cambria Math" w:eastAsiaTheme="minorEastAsia" w:hAnsi="Cambria Math" w:hint="eastAsia"/>
                                      <w:lang w:val="en-US"/>
                                    </w:rPr>
                                    <m:t>,</m:t>
                                  </m:r>
                                  <m:r>
                                    <w:rPr>
                                      <w:rFonts w:ascii="Cambria Math" w:eastAsiaTheme="minorEastAsia" w:hAnsi="Cambria Math"/>
                                    </w:rPr>
                                    <m:t>t</m:t>
                                  </m:r>
                                </m:sub>
                              </m:sSub>
                              <m:r>
                                <w:rPr>
                                  <w:rFonts w:ascii="Cambria Math" w:eastAsiaTheme="minorEastAsia" w:hAnsi="Cambria Math"/>
                                  <w:lang w:val="en-US"/>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r>
                                    <w:rPr>
                                      <w:rFonts w:ascii="Cambria Math" w:eastAsiaTheme="minorEastAsia" w:hAnsi="Cambria Math" w:hint="eastAsia"/>
                                      <w:lang w:val="en-US"/>
                                    </w:rPr>
                                    <m:t>,</m:t>
                                  </m:r>
                                  <m:r>
                                    <w:rPr>
                                      <w:rFonts w:ascii="Cambria Math" w:eastAsiaTheme="minorEastAsia" w:hAnsi="Cambria Math"/>
                                    </w:rPr>
                                    <m:t>t</m:t>
                                  </m:r>
                                </m:sub>
                                <m:sup>
                                  <m:r>
                                    <w:rPr>
                                      <w:rFonts w:ascii="Cambria Math" w:eastAsiaTheme="minorEastAsia" w:hAnsi="Cambria Math"/>
                                    </w:rPr>
                                    <m:t>N</m:t>
                                  </m:r>
                                </m:sup>
                              </m:sSubSup>
                            </m:e>
                          </m:d>
                        </m:e>
                        <m:sup>
                          <m:r>
                            <w:rPr>
                              <w:rFonts w:ascii="Cambria Math" w:eastAsiaTheme="minorEastAsia" w:hAnsi="Cambria Math" w:hint="eastAsia"/>
                              <w:lang w:val="en-US"/>
                            </w:rPr>
                            <m:t>2</m:t>
                          </m:r>
                        </m:sup>
                      </m:sSup>
                    </m:e>
                  </m:nary>
                </m:num>
                <m:den>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hint="eastAsia"/>
                              <w:lang w:val="en-US"/>
                            </w:rPr>
                            <m:t>0</m:t>
                          </m:r>
                        </m:sub>
                      </m:sSub>
                    </m:e>
                  </m:d>
                </m:den>
              </m:f>
            </m:num>
            <m:den>
              <m:f>
                <m:fPr>
                  <m:type m:val="skw"/>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hint="eastAsia"/>
                          <w:lang w:val="en-US"/>
                        </w:rPr>
                        <m:t>=1</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hint="eastAsia"/>
                              <w:lang w:val="en-US"/>
                            </w:rPr>
                            <m:t>0</m:t>
                          </m:r>
                        </m:sub>
                      </m:s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hint="eastAsia"/>
                                  <w:lang w:val="en-US"/>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r>
                                    <w:rPr>
                                      <w:rFonts w:ascii="Cambria Math" w:eastAsiaTheme="minorEastAsia" w:hAnsi="Cambria Math" w:hint="eastAsia"/>
                                      <w:lang w:val="en-US"/>
                                    </w:rPr>
                                    <m:t>,</m:t>
                                  </m:r>
                                  <m:r>
                                    <w:rPr>
                                      <w:rFonts w:ascii="Cambria Math" w:eastAsiaTheme="minorEastAsia" w:hAnsi="Cambria Math"/>
                                    </w:rPr>
                                    <m:t>t</m:t>
                                  </m:r>
                                </m:sub>
                              </m:sSub>
                              <m:r>
                                <w:rPr>
                                  <w:rFonts w:ascii="Cambria Math" w:eastAsiaTheme="minorEastAsia" w:hAnsi="Cambria Math"/>
                                  <w:lang w:val="en-US"/>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r>
                                    <w:rPr>
                                      <w:rFonts w:ascii="Cambria Math" w:eastAsiaTheme="minorEastAsia" w:hAnsi="Cambria Math" w:hint="eastAsia"/>
                                      <w:lang w:val="en-US"/>
                                    </w:rPr>
                                    <m:t>,</m:t>
                                  </m:r>
                                  <m:r>
                                    <w:rPr>
                                      <w:rFonts w:ascii="Cambria Math" w:eastAsiaTheme="minorEastAsia" w:hAnsi="Cambria Math"/>
                                    </w:rPr>
                                    <m:t>t</m:t>
                                  </m:r>
                                </m:sub>
                                <m:sup>
                                  <m:r>
                                    <w:rPr>
                                      <w:rFonts w:ascii="Cambria Math" w:eastAsiaTheme="minorEastAsia" w:hAnsi="Cambria Math"/>
                                    </w:rPr>
                                    <m:t>N</m:t>
                                  </m:r>
                                </m:sup>
                              </m:sSubSup>
                            </m:e>
                          </m:d>
                        </m:e>
                        <m:sup>
                          <m:r>
                            <w:rPr>
                              <w:rFonts w:ascii="Cambria Math" w:eastAsiaTheme="minorEastAsia" w:hAnsi="Cambria Math" w:hint="eastAsia"/>
                              <w:lang w:val="en-US"/>
                            </w:rPr>
                            <m:t>2</m:t>
                          </m:r>
                        </m:sup>
                      </m:sSup>
                    </m:e>
                  </m:nary>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hint="eastAsia"/>
                          <w:lang w:val="en-US"/>
                        </w:rPr>
                        <m:t>0</m:t>
                      </m:r>
                    </m:sub>
                  </m:sSub>
                </m:den>
              </m:f>
            </m:den>
          </m:f>
          <m:r>
            <w:rPr>
              <w:rFonts w:ascii="Cambria Math" w:eastAsiaTheme="minorEastAsia" w:hAnsi="Cambria Math" w:hint="eastAsia"/>
              <w:lang w:val="en-US"/>
            </w:rPr>
            <m:t xml:space="preserve"> </m:t>
          </m:r>
        </m:oMath>
      </m:oMathPara>
    </w:p>
    <w:p w14:paraId="2F742C0C" w14:textId="77777777" w:rsidR="00ED34D8" w:rsidRPr="000C0613" w:rsidRDefault="003467D2" w:rsidP="003D1DA4">
      <w:pPr>
        <w:spacing w:line="360" w:lineRule="auto"/>
        <w:ind w:firstLine="851"/>
        <w:jc w:val="both"/>
        <w:rPr>
          <w:rFonts w:eastAsiaTheme="minorEastAsia"/>
        </w:rPr>
      </w:pPr>
      <w:r w:rsidRPr="000C0613">
        <w:rPr>
          <w:rFonts w:eastAsiaTheme="minorEastAsia"/>
        </w:rPr>
        <w:t xml:space="preserve">E para cada </w:t>
      </w:r>
      <m:oMath>
        <m:r>
          <m:rPr>
            <m:sty m:val="p"/>
          </m:rPr>
          <w:rPr>
            <w:rFonts w:ascii="Cambria Math" w:eastAsiaTheme="minorEastAsia" w:hAnsi="Cambria Math"/>
          </w:rPr>
          <m:t>j ∈</m:t>
        </m:r>
        <m:d>
          <m:dPr>
            <m:begChr m:val="{"/>
            <m:endChr m:val="}"/>
            <m:ctrlPr>
              <w:rPr>
                <w:rFonts w:ascii="Cambria Math" w:eastAsiaTheme="minorEastAsia" w:hAnsi="Cambria Math"/>
              </w:rPr>
            </m:ctrlPr>
          </m:dPr>
          <m:e>
            <m:r>
              <m:rPr>
                <m:sty m:val="p"/>
              </m:rPr>
              <w:rPr>
                <w:rFonts w:ascii="Cambria Math" w:eastAsiaTheme="minorEastAsia" w:hAnsi="Cambria Math"/>
              </w:rPr>
              <m:t xml:space="preserve"> 1,…, J+1</m:t>
            </m:r>
          </m:e>
        </m:d>
        <m:r>
          <m:rPr>
            <m:sty m:val="p"/>
          </m:rPr>
          <w:rPr>
            <w:rFonts w:ascii="Cambria Math" w:eastAsiaTheme="minorEastAsia" w:hAnsi="Cambria Math"/>
          </w:rPr>
          <m:t xml:space="preserve">, </m:t>
        </m:r>
      </m:oMath>
      <w:r w:rsidRPr="000C0613">
        <w:rPr>
          <w:rFonts w:eastAsiaTheme="minorEastAsia"/>
        </w:rPr>
        <w:t>calcula-se:</w:t>
      </w:r>
    </w:p>
    <w:p w14:paraId="16CA85F4" w14:textId="77777777" w:rsidR="003467D2" w:rsidRPr="004701A5" w:rsidRDefault="003467D2" w:rsidP="003D1DA4">
      <w:pPr>
        <w:spacing w:line="360" w:lineRule="auto"/>
        <w:ind w:firstLine="851"/>
        <w:jc w:val="both"/>
        <w:rPr>
          <w:rFonts w:eastAsiaTheme="minorEastAsia"/>
          <w:lang w:val="en-US"/>
        </w:rPr>
      </w:pPr>
      <m:oMathPara>
        <m:oMath>
          <m:r>
            <w:rPr>
              <w:rFonts w:ascii="Cambria Math" w:eastAsiaTheme="minorEastAsia" w:hAnsi="Cambria Math"/>
            </w:rPr>
            <m:t>p</m:t>
          </m:r>
          <m:r>
            <w:rPr>
              <w:rFonts w:ascii="Cambria Math" w:eastAsiaTheme="minorEastAsia" w:hAnsi="Cambria Math" w:hint="eastAsia"/>
              <w:lang w:val="en-US"/>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hint="eastAsia"/>
                      <w:lang w:val="en-US"/>
                    </w:rPr>
                    <m:t>=1</m:t>
                  </m:r>
                </m:sub>
                <m:sup>
                  <m:r>
                    <w:rPr>
                      <w:rFonts w:ascii="Cambria Math" w:eastAsiaTheme="minorEastAsia" w:hAnsi="Cambria Math"/>
                    </w:rPr>
                    <m:t>J</m:t>
                  </m:r>
                  <m:r>
                    <w:rPr>
                      <w:rFonts w:ascii="Cambria Math" w:eastAsiaTheme="minorEastAsia" w:hAnsi="Cambria Math" w:hint="eastAsia"/>
                      <w:lang w:val="en-US"/>
                    </w:rPr>
                    <m:t>+1</m:t>
                  </m:r>
                </m:sup>
                <m:e>
                  <m:r>
                    <w:rPr>
                      <w:rFonts w:ascii="Cambria Math" w:eastAsiaTheme="minorEastAsia" w:hAnsi="Cambria Math" w:hint="eastAsia"/>
                      <w:lang w:val="en-US"/>
                    </w:rPr>
                    <m:t>[</m:t>
                  </m:r>
                  <m:sSub>
                    <m:sSubPr>
                      <m:ctrlPr>
                        <w:rPr>
                          <w:rFonts w:ascii="Cambria Math" w:eastAsiaTheme="minorEastAsia" w:hAnsi="Cambria Math"/>
                          <w:i/>
                        </w:rPr>
                      </m:ctrlPr>
                    </m:sSubPr>
                    <m:e>
                      <m:r>
                        <m:rPr>
                          <m:nor/>
                        </m:rPr>
                        <w:rPr>
                          <w:rFonts w:eastAsiaTheme="minorEastAsia"/>
                          <w:lang w:val="en-US"/>
                        </w:rPr>
                        <m:t>RMSPE</m:t>
                      </m:r>
                      <m:ctrlPr>
                        <w:rPr>
                          <w:rFonts w:ascii="Cambria Math" w:eastAsiaTheme="minorEastAsia" w:hAnsi="Cambria Math"/>
                        </w:rPr>
                      </m:ctrlPr>
                    </m:e>
                    <m:sub>
                      <m:r>
                        <w:rPr>
                          <w:rFonts w:ascii="Cambria Math" w:eastAsiaTheme="minorEastAsia" w:hAnsi="Cambria Math"/>
                        </w:rPr>
                        <m:t>j</m:t>
                      </m:r>
                    </m:sub>
                  </m:sSub>
                  <m:r>
                    <w:rPr>
                      <w:rFonts w:ascii="Cambria Math" w:eastAsiaTheme="minorEastAsia" w:hAnsi="Cambria Math"/>
                      <w:lang w:val="en-US"/>
                    </w:rPr>
                    <m:t xml:space="preserve">≥ </m:t>
                  </m:r>
                  <m:sSub>
                    <m:sSubPr>
                      <m:ctrlPr>
                        <w:rPr>
                          <w:rFonts w:ascii="Cambria Math" w:eastAsiaTheme="minorEastAsia" w:hAnsi="Cambria Math"/>
                          <w:i/>
                        </w:rPr>
                      </m:ctrlPr>
                    </m:sSubPr>
                    <m:e>
                      <m:r>
                        <m:rPr>
                          <m:nor/>
                        </m:rPr>
                        <w:rPr>
                          <w:rFonts w:eastAsiaTheme="minorEastAsia"/>
                          <w:lang w:val="en-US"/>
                        </w:rPr>
                        <m:t>RMSPE</m:t>
                      </m:r>
                      <m:ctrlPr>
                        <w:rPr>
                          <w:rFonts w:ascii="Cambria Math" w:eastAsiaTheme="minorEastAsia" w:hAnsi="Cambria Math"/>
                        </w:rPr>
                      </m:ctrlPr>
                    </m:e>
                    <m:sub>
                      <m:r>
                        <w:rPr>
                          <w:rFonts w:ascii="Cambria Math" w:eastAsiaTheme="minorEastAsia" w:hAnsi="Cambria Math" w:hint="eastAsia"/>
                          <w:lang w:val="en-US"/>
                        </w:rPr>
                        <m:t>1</m:t>
                      </m:r>
                    </m:sub>
                  </m:sSub>
                  <m:r>
                    <w:rPr>
                      <w:rFonts w:ascii="Cambria Math" w:eastAsiaTheme="minorEastAsia" w:hAnsi="Cambria Math" w:hint="eastAsia"/>
                      <w:lang w:val="en-US"/>
                    </w:rPr>
                    <m:t>]</m:t>
                  </m:r>
                </m:e>
              </m:nary>
            </m:num>
            <m:den>
              <m:r>
                <w:rPr>
                  <w:rFonts w:ascii="Cambria Math" w:eastAsiaTheme="minorEastAsia" w:hAnsi="Cambria Math"/>
                </w:rPr>
                <m:t>J</m:t>
              </m:r>
              <m:r>
                <w:rPr>
                  <w:rFonts w:ascii="Cambria Math" w:eastAsiaTheme="minorEastAsia" w:hAnsi="Cambria Math" w:hint="eastAsia"/>
                  <w:lang w:val="en-US"/>
                </w:rPr>
                <m:t>+1</m:t>
              </m:r>
            </m:den>
          </m:f>
        </m:oMath>
      </m:oMathPara>
    </w:p>
    <w:p w14:paraId="72089D22" w14:textId="2DDFF3D4" w:rsidR="00C36D7E" w:rsidRPr="000C0613" w:rsidRDefault="00CE6C8B" w:rsidP="003D1DA4">
      <w:pPr>
        <w:spacing w:line="360" w:lineRule="auto"/>
        <w:ind w:firstLine="851"/>
        <w:jc w:val="both"/>
        <w:rPr>
          <w:rFonts w:eastAsiaTheme="minorEastAsia"/>
        </w:rPr>
      </w:pPr>
      <w:r>
        <w:rPr>
          <w:rFonts w:eastAsiaTheme="minorEastAsia"/>
        </w:rPr>
        <w:t xml:space="preserve">Onde </w:t>
      </w:r>
      <m:oMath>
        <m:r>
          <w:rPr>
            <w:rFonts w:ascii="Cambria Math" w:eastAsiaTheme="minorEastAsia" w:hAnsi="Cambria Math"/>
          </w:rPr>
          <m:t>p</m:t>
        </m:r>
      </m:oMath>
      <w:r w:rsidR="000E1428" w:rsidRPr="000C0613">
        <w:rPr>
          <w:rFonts w:eastAsiaTheme="minorEastAsia"/>
        </w:rPr>
        <w:t xml:space="preserve"> é a probabilidade de se obter RMSPE maior que a unidade de intervenção</w:t>
      </w:r>
      <w:r w:rsidR="003C41E2" w:rsidRPr="000C0613">
        <w:rPr>
          <w:rFonts w:eastAsiaTheme="minorEastAsia"/>
        </w:rPr>
        <w:t>.</w:t>
      </w:r>
    </w:p>
    <w:p w14:paraId="1E9CBEE4" w14:textId="4239328D" w:rsidR="00DA2626" w:rsidRPr="000C0613" w:rsidRDefault="008122C3" w:rsidP="00C570E0">
      <w:pPr>
        <w:spacing w:line="360" w:lineRule="auto"/>
        <w:ind w:firstLine="851"/>
        <w:jc w:val="both"/>
      </w:pPr>
      <w:r>
        <w:t xml:space="preserve">Outras contribuições metodológicas notáveis </w:t>
      </w:r>
      <w:r w:rsidR="00C06A9D" w:rsidRPr="000C0613">
        <w:t>for</w:t>
      </w:r>
      <w:r w:rsidR="00C6416F">
        <w:t xml:space="preserve">am publicados </w:t>
      </w:r>
      <w:r>
        <w:t>após o</w:t>
      </w:r>
      <w:r w:rsidR="00C06A9D" w:rsidRPr="000C0613">
        <w:t>s artigos seminais de Abadie et al. (2010;2015).</w:t>
      </w:r>
      <w:r w:rsidR="00C36D7E">
        <w:t xml:space="preserve"> Nesse sentido,</w:t>
      </w:r>
      <w:r w:rsidR="00C06A9D" w:rsidRPr="000C0613">
        <w:t xml:space="preserve"> Be</w:t>
      </w:r>
      <w:r>
        <w:t>n</w:t>
      </w:r>
      <w:r w:rsidR="00C06A9D" w:rsidRPr="000C0613">
        <w:t xml:space="preserve">-Michael, </w:t>
      </w:r>
      <w:proofErr w:type="spellStart"/>
      <w:r w:rsidR="00C06A9D" w:rsidRPr="000C0613">
        <w:t>Feller</w:t>
      </w:r>
      <w:proofErr w:type="spellEnd"/>
      <w:r w:rsidR="00C06A9D" w:rsidRPr="000C0613">
        <w:t xml:space="preserve"> e </w:t>
      </w:r>
      <w:proofErr w:type="spellStart"/>
      <w:r w:rsidR="00C06A9D" w:rsidRPr="000C0613">
        <w:t>Rothstein</w:t>
      </w:r>
      <w:proofErr w:type="spellEnd"/>
      <w:r w:rsidR="00C06A9D" w:rsidRPr="000C0613">
        <w:t xml:space="preserve">  </w:t>
      </w:r>
      <w:r w:rsidR="00C06A9D" w:rsidRPr="000C0613">
        <w:fldChar w:fldCharType="begin" w:fldLock="1"/>
      </w:r>
      <w:r w:rsidR="008A4F44" w:rsidRPr="000C0613">
        <w:instrText>ADDIN CSL_CITATION {"citationItems":[{"id":"ITEM-1","itemData":{"abstract":"The synthetic control method (SCM) is a popular approach for estimating the impact of a treatment on a single unit in panel data settings. The \"synthetic control\" is a weighted average of control units that balances the treated unit's pre-treatment outcomes as closely as possible. A critical feature of the original proposal is to use SCM only when the fit on pre-treatment outcomes is excellent. We propose Augmented SCM to extend SCM to settings where such pre-treatment fit is infeasible. Analogous to bias correction for inexact matching, Augmented SCM uses an outcome model to estimate the bias due to imperfect pre-treatment fit and then de-biases the original SCM estimate. Our main proposal, which uses ridge regression as the outcome model, directly controls pre-treatment fit while minimizing extrapolation from the convex hull. We bound the bias of this approach under a linear factor model and show how regularization helps to avoid over-fitting to noise. We demonstrate gains from Augmented SCM with extensive simulation studies and apply this framework to estimate the impact of the 2012 Kansas tax cuts on economic growth. We implement the proposed method in the new augsynth R package.","author":[{"dropping-particle":"","family":"Ben-Michael","given":"Eli","non-dropping-particle":"","parse-names":false,"suffix":""},{"dropping-particle":"","family":"Feller","given":"Avi","non-dropping-particle":"","parse-names":false,"suffix":""},{"dropping-particle":"","family":"Rothstein","given":"Jesse","non-dropping-particle":"","parse-names":false,"suffix":""}],"id":"ITEM-1","issue":"November","issued":{"date-parts":[["2019"]]},"title":"The Augmented Synthetic Control Method","type":"article-journal"},"label":"chapter","suppress-author":1,"uris":["http://www.mendeley.com/documents/?uuid=afc33760-02a1-42a8-9daa-a33fc1eb5f42"]}],"mendeley":{"formattedCitation":"(2019)","plainTextFormattedCitation":"(2019)","previouslyFormattedCitation":"(2019)"},"properties":{"noteIndex":0},"schema":"https://github.com/citation-style-language/schema/raw/master/csl-citation.json"}</w:instrText>
      </w:r>
      <w:r w:rsidR="00C06A9D" w:rsidRPr="000C0613">
        <w:fldChar w:fldCharType="separate"/>
      </w:r>
      <w:r w:rsidR="00C06A9D" w:rsidRPr="000C0613">
        <w:rPr>
          <w:noProof/>
        </w:rPr>
        <w:t>(2019)</w:t>
      </w:r>
      <w:r w:rsidR="00C06A9D" w:rsidRPr="000C0613">
        <w:fldChar w:fldCharType="end"/>
      </w:r>
      <w:r w:rsidR="00C06A9D" w:rsidRPr="000C0613">
        <w:t xml:space="preserve"> divide</w:t>
      </w:r>
      <w:r>
        <w:t>m</w:t>
      </w:r>
      <w:r w:rsidR="00C06A9D" w:rsidRPr="000C0613">
        <w:t xml:space="preserve"> essas contribuições em três áreas. A primeira delas refere-se ao método de otimização e </w:t>
      </w:r>
      <w:r w:rsidR="005A2870" w:rsidRPr="000C0613">
        <w:t>d</w:t>
      </w:r>
      <w:r w:rsidR="00C06A9D" w:rsidRPr="000C0613">
        <w:t>a definição dos pesos em cada unidade sintética. A segunda linha de pesquisa é de relaxar a hipótese de que os pesos sejam entre zero e um, permitindo inclusive a hipótese de pesos negat</w:t>
      </w:r>
      <w:r w:rsidR="00E87CD0" w:rsidRPr="000C0613">
        <w:t>ivos, como abordado</w:t>
      </w:r>
      <w:r w:rsidR="00C06A9D" w:rsidRPr="000C0613">
        <w:t xml:space="preserve"> por </w:t>
      </w:r>
      <w:proofErr w:type="spellStart"/>
      <w:r w:rsidR="00C06A9D" w:rsidRPr="000C0613">
        <w:t>Imbens</w:t>
      </w:r>
      <w:proofErr w:type="spellEnd"/>
      <w:r w:rsidR="00C06A9D" w:rsidRPr="000C0613">
        <w:t xml:space="preserve"> e </w:t>
      </w:r>
      <w:proofErr w:type="spellStart"/>
      <w:r w:rsidR="00C06A9D" w:rsidRPr="000C0613">
        <w:t>Doudchenko</w:t>
      </w:r>
      <w:proofErr w:type="spellEnd"/>
      <w:r w:rsidR="00C06A9D" w:rsidRPr="000C0613">
        <w:t xml:space="preserve"> </w:t>
      </w:r>
      <w:r w:rsidR="00C06A9D" w:rsidRPr="000C0613">
        <w:fldChar w:fldCharType="begin" w:fldLock="1"/>
      </w:r>
      <w:r w:rsidR="00C06A9D" w:rsidRPr="000C0613">
        <w:instrText>ADDIN CSL_CITATION {"citationItems":[{"id":"ITEM-1","itemData":{"abstract":"In a seminal paper Abadie et al (2010) develop the synthetic control procedure for estimating the effect of a treatment, in the presence of a single treated unit and a number of control units, with pre-treatment outcomes observed for all units. The method constructs a set of weights such that covariates and pre-treatment outcomes of the treated unit are approximately matched by a weighted average of control units. The weights are restricted to be nonnegative and sum to one, which allows the procedure to obtain the weights even when the number of lagged outcomes is modest relative to the number of control units, a setting that is not uncommon in applications. In the current paper we propose a more general class of synthetic control estimators that allows researchers to relax some of the restrictions in the ADH method. We allow the weights to be negative, do not necessarily restrict the sum of the weights, and allow for a permanent additive difference between the treated unit and the controls, similar to difference-indifference procedures. The weights directly minimize the distance between the lagged outcomes for the treated and the control units, using regularization methods to deal with a potentially large number of possible control units.","author":[{"dropping-particle":"","family":"Imbens","given":"Guido W","non-dropping-particle":"","parse-names":false,"suffix":""},{"dropping-particle":"","family":"Doudchenko","given":"Nikolay","non-dropping-particle":"","parse-names":false,"suffix":""}],"id":"ITEM-1","issued":{"date-parts":[["2016"]]},"title":"NBER WORKING PAPER SERIES BALANCING, REGRESSION, DIFFERENCE-IN-DIFFERENCES AND SYNTHETIC CONTROL METHODS: A SYNTHESIS Nikolay Doudchenko","type":"article-journal"},"label":"chapter","suppress-author":1,"uris":["http://www.mendeley.com/documents/?uuid=1acff0a7-8cc6-4e33-b520-d932f002a2bc"]}],"mendeley":{"formattedCitation":"(2016)","plainTextFormattedCitation":"(2016)","previouslyFormattedCitation":"(2016)"},"properties":{"noteIndex":0},"schema":"https://github.com/citation-style-language/schema/raw/master/csl-citation.json"}</w:instrText>
      </w:r>
      <w:r w:rsidR="00C06A9D" w:rsidRPr="000C0613">
        <w:fldChar w:fldCharType="separate"/>
      </w:r>
      <w:r w:rsidR="00C06A9D" w:rsidRPr="000C0613">
        <w:rPr>
          <w:noProof/>
        </w:rPr>
        <w:t>(2016)</w:t>
      </w:r>
      <w:r w:rsidR="00C06A9D" w:rsidRPr="000C0613">
        <w:fldChar w:fldCharType="end"/>
      </w:r>
      <w:r w:rsidR="00C06A9D" w:rsidRPr="000C0613">
        <w:t>. Por fim, outros grupos de publicação estão contribuindo no método projeção das variáveis de interesse para além das definições dos pesos como resultado da minimização ou a interação com outros modelos de análise causal.</w:t>
      </w:r>
      <w:r w:rsidR="008A4F44" w:rsidRPr="000C0613">
        <w:t xml:space="preserve"> Há </w:t>
      </w:r>
      <w:r w:rsidR="005A2870" w:rsidRPr="000C0613">
        <w:t>estudos</w:t>
      </w:r>
      <w:r w:rsidR="008A4F44" w:rsidRPr="000C0613">
        <w:t xml:space="preserve"> em relação </w:t>
      </w:r>
      <w:r w:rsidR="00455066" w:rsidRPr="000C0613">
        <w:t>à</w:t>
      </w:r>
      <w:r w:rsidR="005A2870" w:rsidRPr="000C0613">
        <w:t xml:space="preserve"> i</w:t>
      </w:r>
      <w:r w:rsidR="008A4F44" w:rsidRPr="000C0613">
        <w:t xml:space="preserve">nferência estatística do método de controle sintético como o uso </w:t>
      </w:r>
      <w:r w:rsidR="00FC7ECC" w:rsidRPr="000C0613">
        <w:t>da simulação de Monte C</w:t>
      </w:r>
      <w:r w:rsidR="008A4F44" w:rsidRPr="000C0613">
        <w:t>arlos p</w:t>
      </w:r>
      <w:r w:rsidR="00D8199B">
        <w:t>ara testar a robustez da</w:t>
      </w:r>
      <w:r w:rsidR="008A4F44" w:rsidRPr="000C0613">
        <w:t xml:space="preserve"> RMSPE </w:t>
      </w:r>
      <w:r w:rsidR="008A4F44" w:rsidRPr="000C0613">
        <w:fldChar w:fldCharType="begin" w:fldLock="1"/>
      </w:r>
      <w:r w:rsidR="00E571E2" w:rsidRPr="000C0613">
        <w:instrText>ADDIN CSL_CITATION {"citationItems":[{"id":"ITEM-1","itemData":{"DOI":"10.1515/jci-2016-0026","ISSN":"21933685","abstract":"We extend the inference procedure for the synthetic control method in two ways. First, we propose parametric weights for the p-value that includes the equal weights benchmark of Abadie et al. [1]. By changing the value of this parameter, we can analyze the sensitivity of the test's result to deviations from the equal weights benchmark. Second, we modify the RMSPE statistic to test any sharp null hypothesis, including, as a specifc case, the null hypothesis of no effect whatsoever analyzed by Abadie et al. [1]. Based on this last extension, we invert the test statistic to estimate confdence sets that quickly show the point-estimates' precision, and the test's signifcance and robustness. We also extend these two tools to other test statistics and to problems with multiple outcome variables or multiple treated units. Furthermore, in a Monte Carlo experiment, we fnd that the RMSPE statistic has good properties with respect to size, power and robustness. Finally, we illustrate the usefulness of our proposed tools by reanalyzing the economic impact of ETA's terrorism in the Basque Country, studied frst by Abadie and Gardeazabal [2] and Abadie et al. [3].","author":[{"dropping-particle":"","family":"Firpo","given":"Sergio","non-dropping-particle":"","parse-names":false,"suffix":""},{"dropping-particle":"","family":"Possebom","given":"Vitor","non-dropping-particle":"","parse-names":false,"suffix":""}],"container-title":"Journal of Causal Inference","id":"ITEM-1","issue":"2","issued":{"date-parts":[["2018"]]},"page":"1-54","title":"Synthetic control method: Inference, sensitivity analysis and confdence sets","type":"article-journal","volume":"6"},"uris":["http://www.mendeley.com/documents/?uuid=546be430-e864-4255-9601-f2542a5efebc"]}],"mendeley":{"formattedCitation":"(FIRPO; POSSEBOM, 2018)","plainTextFormattedCitation":"(FIRPO; POSSEBOM, 2018)","previouslyFormattedCitation":"(FIRPO; POSSEBOM, 2018)"},"properties":{"noteIndex":0},"schema":"https://github.com/citation-style-language/schema/raw/master/csl-citation.json"}</w:instrText>
      </w:r>
      <w:r w:rsidR="008A4F44" w:rsidRPr="000C0613">
        <w:fldChar w:fldCharType="separate"/>
      </w:r>
      <w:r w:rsidR="008A4F44" w:rsidRPr="000C0613">
        <w:rPr>
          <w:noProof/>
        </w:rPr>
        <w:t>(FIRPO; POSSEBOM, 2018)</w:t>
      </w:r>
      <w:r w:rsidR="008A4F44" w:rsidRPr="000C0613">
        <w:fldChar w:fldCharType="end"/>
      </w:r>
      <w:r w:rsidR="008A4F44" w:rsidRPr="000C0613">
        <w:t xml:space="preserve">. </w:t>
      </w:r>
      <w:r w:rsidR="00C6416F">
        <w:t>Ou em relação</w:t>
      </w:r>
      <w:r w:rsidR="00353375">
        <w:t xml:space="preserve"> à discricionariedade </w:t>
      </w:r>
      <w:r w:rsidR="00C6416F">
        <w:t xml:space="preserve">das covariáveis </w:t>
      </w:r>
      <w:r w:rsidR="00C6416F">
        <w:fldChar w:fldCharType="begin" w:fldLock="1"/>
      </w:r>
      <w:r w:rsidR="00367361">
        <w:instrText>ADDIN CSL_CITATION {"citationItems":[{"id":"ITEM-1","itemData":{"DOI":"10.1002/pam.22206","ISSN":"15206688","abstract":"We evaluate whether a lack of guidance on how to choose the matching variables used in the Synthetic Control (SC) estimator creates specification-searching opportunities. We provide theoretical results showing that specification-searching opportunities are asymptotically irrelevant if we restrict to a subset of SC specifications. However, based on Monte Carlo simulations and simulations with real datasets, we show significant room for specification searching when the number of pre-treatment periods is in line with common SC applications, and when alternative specifications commonly used in SC applications are also considered. This suggests that such lack of guidance generates a substantial level of discretion in the choice of the comparison units in SC applications, undermining one of the advantages of the method. We provide recommendations to limit the possibilities for specification searching in the SC method. Finally, we analyze the possibilities for specification searching and provide our recommendations in a series of empirical applications.","author":[{"dropping-particle":"","family":"Ferman","given":"Bruno","non-dropping-particle":"","parse-names":false,"suffix":""},{"dropping-particle":"","family":"Pinto","given":"Cristine","non-dropping-particle":"","parse-names":false,"suffix":""},{"dropping-particle":"","family":"Possebom","given":"Vitor","non-dropping-particle":"","parse-names":false,"suffix":""}],"container-title":"Journal of Policy Analysis and Management","id":"ITEM-1","issue":"2","issued":{"date-parts":[["2020"]]},"page":"510-532","title":"Cherry Picking with Synthetic Controls","type":"article-journal","volume":"39"},"uris":["http://www.mendeley.com/documents/?uuid=34df7ab3-c6bf-49fe-82e6-ea41d64f951e"]}],"mendeley":{"formattedCitation":"(FERMAN; PINTO; POSSEBOM, 2020)","plainTextFormattedCitation":"(FERMAN; PINTO; POSSEBOM, 2020)","previouslyFormattedCitation":"(FERMAN; PINTO; POSSEBOM, 2020)"},"properties":{"noteIndex":0},"schema":"https://github.com/citation-style-language/schema/raw/master/csl-citation.json"}</w:instrText>
      </w:r>
      <w:r w:rsidR="00C6416F">
        <w:fldChar w:fldCharType="separate"/>
      </w:r>
      <w:r w:rsidR="00C6416F" w:rsidRPr="00C6416F">
        <w:rPr>
          <w:noProof/>
        </w:rPr>
        <w:t>(FERMAN; PINTO; POSSEBOM, 2020)</w:t>
      </w:r>
      <w:r w:rsidR="00C6416F">
        <w:fldChar w:fldCharType="end"/>
      </w:r>
      <w:r w:rsidR="006861D0">
        <w:t>.</w:t>
      </w:r>
    </w:p>
    <w:p w14:paraId="1177C78B" w14:textId="4A2B7CAD" w:rsidR="00EC08A0" w:rsidRPr="000C0613" w:rsidRDefault="00EC08A0" w:rsidP="00C570E0">
      <w:pPr>
        <w:spacing w:line="360" w:lineRule="auto"/>
        <w:ind w:firstLine="851"/>
        <w:jc w:val="both"/>
      </w:pPr>
    </w:p>
    <w:p w14:paraId="3B2ED3CC" w14:textId="0DECBB14" w:rsidR="00125289" w:rsidRPr="000C0613" w:rsidRDefault="00290949" w:rsidP="00290949">
      <w:pPr>
        <w:pStyle w:val="PargrafodaLista"/>
        <w:numPr>
          <w:ilvl w:val="0"/>
          <w:numId w:val="12"/>
        </w:numPr>
        <w:spacing w:line="360" w:lineRule="auto"/>
        <w:jc w:val="both"/>
        <w:outlineLvl w:val="0"/>
        <w:rPr>
          <w:rFonts w:ascii="Times New Roman" w:hAnsi="Times New Roman" w:cs="Times New Roman"/>
          <w:b/>
          <w:smallCaps/>
          <w:sz w:val="24"/>
          <w:szCs w:val="24"/>
        </w:rPr>
      </w:pPr>
      <w:bookmarkStart w:id="4" w:name="_Toc51774595"/>
      <w:r w:rsidRPr="000C0613">
        <w:rPr>
          <w:rFonts w:ascii="Times New Roman" w:hAnsi="Times New Roman" w:cs="Times New Roman"/>
          <w:b/>
          <w:smallCaps/>
          <w:sz w:val="24"/>
          <w:szCs w:val="24"/>
        </w:rPr>
        <w:t>METODOLOGIA</w:t>
      </w:r>
      <w:bookmarkEnd w:id="4"/>
      <w:r w:rsidRPr="000C0613">
        <w:rPr>
          <w:rFonts w:ascii="Times New Roman" w:hAnsi="Times New Roman" w:cs="Times New Roman"/>
          <w:b/>
          <w:smallCaps/>
          <w:sz w:val="24"/>
          <w:szCs w:val="24"/>
        </w:rPr>
        <w:t xml:space="preserve"> </w:t>
      </w:r>
    </w:p>
    <w:p w14:paraId="0E800AB6" w14:textId="77777777" w:rsidR="004B0117" w:rsidRPr="000C0613" w:rsidRDefault="004B0117" w:rsidP="00C570E0">
      <w:pPr>
        <w:pStyle w:val="PargrafodaLista"/>
        <w:spacing w:line="360" w:lineRule="auto"/>
        <w:ind w:left="360"/>
        <w:jc w:val="both"/>
        <w:rPr>
          <w:rFonts w:ascii="Times New Roman" w:hAnsi="Times New Roman" w:cs="Times New Roman"/>
          <w:b/>
          <w:smallCaps/>
          <w:sz w:val="24"/>
          <w:szCs w:val="24"/>
        </w:rPr>
      </w:pPr>
    </w:p>
    <w:p w14:paraId="6127942C" w14:textId="77777777" w:rsidR="00A93381" w:rsidRPr="000C0613" w:rsidRDefault="00A93381" w:rsidP="00290949">
      <w:pPr>
        <w:pStyle w:val="PargrafodaLista"/>
        <w:numPr>
          <w:ilvl w:val="1"/>
          <w:numId w:val="12"/>
        </w:numPr>
        <w:spacing w:line="360" w:lineRule="auto"/>
        <w:jc w:val="both"/>
        <w:outlineLvl w:val="1"/>
        <w:rPr>
          <w:rFonts w:ascii="Times New Roman" w:hAnsi="Times New Roman" w:cs="Times New Roman"/>
          <w:b/>
          <w:smallCaps/>
          <w:sz w:val="24"/>
          <w:szCs w:val="24"/>
        </w:rPr>
      </w:pPr>
      <w:r w:rsidRPr="000C0613">
        <w:rPr>
          <w:rFonts w:ascii="Times New Roman" w:hAnsi="Times New Roman" w:cs="Times New Roman"/>
          <w:b/>
          <w:smallCaps/>
          <w:sz w:val="24"/>
          <w:szCs w:val="24"/>
        </w:rPr>
        <w:t xml:space="preserve"> </w:t>
      </w:r>
      <w:bookmarkStart w:id="5" w:name="_Toc51774596"/>
      <w:r w:rsidR="00805048" w:rsidRPr="000C0613">
        <w:rPr>
          <w:rFonts w:ascii="Times New Roman" w:hAnsi="Times New Roman" w:cs="Times New Roman"/>
          <w:b/>
          <w:smallCaps/>
          <w:sz w:val="24"/>
          <w:szCs w:val="24"/>
        </w:rPr>
        <w:t>Estratégia empírica</w:t>
      </w:r>
      <w:bookmarkEnd w:id="5"/>
    </w:p>
    <w:p w14:paraId="466C54B2" w14:textId="77777777" w:rsidR="00745EE0" w:rsidRPr="000C0613" w:rsidRDefault="00A93381" w:rsidP="00C570E0">
      <w:pPr>
        <w:spacing w:line="360" w:lineRule="auto"/>
        <w:ind w:firstLine="851"/>
        <w:jc w:val="both"/>
      </w:pPr>
      <w:r w:rsidRPr="000C0613">
        <w:t>Como dito anteriormente, m</w:t>
      </w:r>
      <w:r w:rsidR="00745EE0" w:rsidRPr="000C0613">
        <w:t>etodologia</w:t>
      </w:r>
      <w:r w:rsidRPr="000C0613">
        <w:t xml:space="preserve"> deste trabalho</w:t>
      </w:r>
      <w:r w:rsidR="00745EE0" w:rsidRPr="000C0613">
        <w:t xml:space="preserve"> será</w:t>
      </w:r>
      <w:r w:rsidR="00271296" w:rsidRPr="000C0613">
        <w:t xml:space="preserve"> a aplicação do método conforme</w:t>
      </w:r>
      <w:r w:rsidRPr="000C0613">
        <w:t xml:space="preserve"> foi</w:t>
      </w:r>
      <w:r w:rsidR="00271296" w:rsidRPr="000C0613">
        <w:t xml:space="preserve"> formalizado e explorado em Abadie e </w:t>
      </w:r>
      <w:proofErr w:type="spellStart"/>
      <w:r w:rsidR="00271296" w:rsidRPr="000C0613">
        <w:t>Gardeazabal</w:t>
      </w:r>
      <w:proofErr w:type="spellEnd"/>
      <w:r w:rsidR="00271296" w:rsidRPr="000C0613">
        <w:t xml:space="preserve"> </w:t>
      </w:r>
      <w:r w:rsidR="00271296" w:rsidRPr="000C0613">
        <w:fldChar w:fldCharType="begin" w:fldLock="1"/>
      </w:r>
      <w:r w:rsidR="00271296" w:rsidRPr="000C0613">
        <w:instrText>ADDIN CSL_CITATION {"citationItems":[{"id":"ITEM-1","itemData":{"DOI":"10.1257/000282803321455188","ISSN":"00028282","abstract":"This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author":[{"dropping-particle":"","family":"Abadie","given":"Alberto","non-dropping-particle":"","parse-names":false,"suffix":""},{"dropping-particle":"","family":"Gardeazabal","given":"Javier","non-dropping-particle":"","parse-names":false,"suffix":""}],"container-title":"American Economic Review","id":"ITEM-1","issue":"1","issued":{"date-parts":[["2003"]]},"page":"113-132","title":"The economic costs of conflict: A case study of the Basque country","type":"article-journal","volume":"93"},"suppress-author":1,"uris":["http://www.mendeley.com/documents/?uuid=dde319c1-7ef6-46c7-8610-96ee645d11cb"]}],"mendeley":{"formattedCitation":"(2003)","plainTextFormattedCitation":"(2003)","previouslyFormattedCitation":"(2003)"},"properties":{"noteIndex":0},"schema":"https://github.com/citation-style-language/schema/raw/master/csl-citation.json"}</w:instrText>
      </w:r>
      <w:r w:rsidR="00271296" w:rsidRPr="000C0613">
        <w:fldChar w:fldCharType="separate"/>
      </w:r>
      <w:r w:rsidR="00271296" w:rsidRPr="000C0613">
        <w:rPr>
          <w:noProof/>
        </w:rPr>
        <w:t>(2003)</w:t>
      </w:r>
      <w:r w:rsidR="00271296" w:rsidRPr="000C0613">
        <w:fldChar w:fldCharType="end"/>
      </w:r>
      <w:r w:rsidR="00271296" w:rsidRPr="000C0613">
        <w:t xml:space="preserve">, Abadie </w:t>
      </w:r>
      <w:r w:rsidR="00271296" w:rsidRPr="000C0613">
        <w:rPr>
          <w:i/>
        </w:rPr>
        <w:t>et al</w:t>
      </w:r>
      <w:r w:rsidR="00271296" w:rsidRPr="000C0613">
        <w:t xml:space="preserve">. </w:t>
      </w:r>
      <w:r w:rsidR="00271296" w:rsidRPr="000C0613">
        <w:fldChar w:fldCharType="begin" w:fldLock="1"/>
      </w:r>
      <w:r w:rsidR="00271296" w:rsidRPr="000C0613">
        <w:instrText>ADDIN CSL_CITATION {"citationItems":[{"id":"ITEM-1","itemData":{"DOI":"10.1198/jasa.2009.ap08746","ISSN":"01621459","abstract":"Building on an idea in Abadie and Gardeazabal (2003), this article investigates the application of synthetic control methods to comparative case studies. We discuss the advantages of these methods and apply them to study the effects of Proposition 99, a large-scale tobacco control program that California implemented in 1988. We demonstrate that, following Proposition 99, tobacco consumption fell markedly in California relative to a comparable synthetic control region. We estimate that by the year 2000 annual per-capita cigarette sales in California were about 26 packs lower than what they would have been in the absence of Proposition 99. Using new inferential methods proposed in this article, we demonstrate the significance of our estimates. Given that many policy interventions and events of interest in social sciences take place at an aggregate level (countries, regions, cities, etc.) and affect a small number of aggregate units, the potential applicability of synthetic control methods to comparative case studies is very large, especially in situations where traditional regression methods are not appropriate. © 2010 American Statistical Association.","author":[{"dropping-particle":"","family":"Abadie","given":"Alberto","non-dropping-particle":"","parse-names":false,"suffix":""},{"dropping-particle":"","family":"Diamond","given":"Alexis","non-dropping-particle":"","parse-names":false,"suffix":""},{"dropping-particle":"","family":"Hainmueller","given":"And Jens","non-dropping-particle":"","parse-names":false,"suffix":""}],"container-title":"Journal of the American Statistical Association","id":"ITEM-1","issue":"490","issued":{"date-parts":[["2010"]]},"page":"493-505","title":"Synthetic control methods for comparative case studies: Estimating the effect of California's Tobacco control program","type":"article-journal","volume":"105"},"suppress-author":1,"uris":["http://www.mendeley.com/documents/?uuid=f2448c27-1ec1-4de9-ac75-dc76c8cb83a1"]}],"mendeley":{"formattedCitation":"(2010)","plainTextFormattedCitation":"(2010)","previouslyFormattedCitation":"(2010)"},"properties":{"noteIndex":0},"schema":"https://github.com/citation-style-language/schema/raw/master/csl-citation.json"}</w:instrText>
      </w:r>
      <w:r w:rsidR="00271296" w:rsidRPr="000C0613">
        <w:fldChar w:fldCharType="separate"/>
      </w:r>
      <w:r w:rsidR="00271296" w:rsidRPr="000C0613">
        <w:rPr>
          <w:noProof/>
        </w:rPr>
        <w:t>(2010)</w:t>
      </w:r>
      <w:r w:rsidR="00271296" w:rsidRPr="000C0613">
        <w:fldChar w:fldCharType="end"/>
      </w:r>
      <w:r w:rsidR="00271296" w:rsidRPr="000C0613">
        <w:t xml:space="preserve"> e</w:t>
      </w:r>
      <w:r w:rsidRPr="000C0613">
        <w:t xml:space="preserve"> Abadie</w:t>
      </w:r>
      <w:r w:rsidR="00271296" w:rsidRPr="000C0613">
        <w:t xml:space="preserve"> </w:t>
      </w:r>
      <w:r w:rsidR="00271296" w:rsidRPr="000C0613">
        <w:fldChar w:fldCharType="begin" w:fldLock="1"/>
      </w:r>
      <w:r w:rsidR="00F011EE" w:rsidRPr="000C0613">
        <w:instrText>ADDIN CSL_CITATION {"citationItems":[{"id":"ITEM-1","itemData":{"author":[{"dropping-particle":"","family":"Abadie","given":"Alberto","non-dropping-particle":"","parse-names":false,"suffix":""}],"container-title":"Journal of Economic Literature","id":"ITEM-1","issued":{"date-parts":[["2019"]]},"title":"Using Synthetic Controls : Feasibility , Data Requirements , and Methodological Aspects","type":"article-journal"},"label":"chapter","suppress-author":1,"uris":["http://www.mendeley.com/documents/?uuid=3c28d8df-8149-44c9-b903-0c116d280886"]}],"mendeley":{"formattedCitation":"(2019)","plainTextFormattedCitation":"(2019)","previouslyFormattedCitation":"(2019)"},"properties":{"noteIndex":0},"schema":"https://github.com/citation-style-language/schema/raw/master/csl-citation.json"}</w:instrText>
      </w:r>
      <w:r w:rsidR="00271296" w:rsidRPr="000C0613">
        <w:fldChar w:fldCharType="separate"/>
      </w:r>
      <w:r w:rsidRPr="000C0613">
        <w:rPr>
          <w:noProof/>
        </w:rPr>
        <w:t>(2019)</w:t>
      </w:r>
      <w:r w:rsidR="00271296" w:rsidRPr="000C0613">
        <w:fldChar w:fldCharType="end"/>
      </w:r>
      <w:r w:rsidR="00745EE0" w:rsidRPr="000C0613">
        <w:t xml:space="preserve">. </w:t>
      </w:r>
    </w:p>
    <w:p w14:paraId="44F9FC0B" w14:textId="370D5BCF" w:rsidR="0043782D" w:rsidRPr="000C0613" w:rsidRDefault="00466F0D" w:rsidP="00C570E0">
      <w:pPr>
        <w:spacing w:line="360" w:lineRule="auto"/>
        <w:ind w:firstLine="851"/>
        <w:jc w:val="both"/>
        <w:rPr>
          <w:rFonts w:eastAsiaTheme="minorEastAsia"/>
        </w:rPr>
      </w:pPr>
      <w:r w:rsidRPr="000C0613">
        <w:rPr>
          <w:rFonts w:eastAsiaTheme="minorEastAsia"/>
        </w:rPr>
        <w:t xml:space="preserve">Neste caso em particular, o país que modificou o controle dos atos de concentração foi o Brasil, </w:t>
      </w:r>
      <w:r w:rsidR="00EA575C">
        <w:rPr>
          <w:rFonts w:eastAsiaTheme="minorEastAsia"/>
        </w:rPr>
        <w:t>então</w:t>
      </w:r>
      <w:r w:rsidR="00EA575C" w:rsidRPr="000C0613">
        <w:rPr>
          <w:rFonts w:eastAsiaTheme="minorEastAsia"/>
        </w:rPr>
        <w:t xml:space="preserve"> </w:t>
      </w:r>
      <w:r w:rsidRPr="000C0613">
        <w:rPr>
          <w:rFonts w:eastAsiaTheme="minorEastAsia"/>
        </w:rPr>
        <w:t xml:space="preserve">este é considerado a unidade de tratamento e os outros </w:t>
      </w:r>
      <w:r w:rsidRPr="000C0613">
        <w:rPr>
          <w:rFonts w:eastAsiaTheme="minorEastAsia"/>
        </w:rPr>
        <w:lastRenderedPageBreak/>
        <w:t xml:space="preserve">países poderão fazer parte do grupo de comparação para a formação do Brasil </w:t>
      </w:r>
      <w:r w:rsidR="00EA575C">
        <w:rPr>
          <w:rFonts w:eastAsiaTheme="minorEastAsia"/>
        </w:rPr>
        <w:t>sintético</w:t>
      </w:r>
      <w:r w:rsidRPr="000C0613">
        <w:rPr>
          <w:rFonts w:eastAsiaTheme="minorEastAsia"/>
        </w:rPr>
        <w:t>.</w:t>
      </w:r>
      <w:r w:rsidR="0043782D" w:rsidRPr="000C0613">
        <w:rPr>
          <w:rFonts w:eastAsiaTheme="minorEastAsia"/>
        </w:rPr>
        <w:t xml:space="preserve"> Uma vez que a definição do grupo de controle é orientada aos dados</w:t>
      </w:r>
      <w:r w:rsidR="0047119F" w:rsidRPr="000C0613">
        <w:rPr>
          <w:rFonts w:eastAsiaTheme="minorEastAsia"/>
        </w:rPr>
        <w:t xml:space="preserve"> </w:t>
      </w:r>
      <w:r w:rsidR="0047119F">
        <w:rPr>
          <w:rFonts w:eastAsiaTheme="minorEastAsia"/>
        </w:rPr>
        <w:t>a aplicação do método foi realizada com os países</w:t>
      </w:r>
      <w:r w:rsidR="0023310A" w:rsidRPr="000C0613">
        <w:rPr>
          <w:rFonts w:eastAsiaTheme="minorEastAsia"/>
        </w:rPr>
        <w:t xml:space="preserve"> </w:t>
      </w:r>
      <w:r w:rsidR="0047119F" w:rsidRPr="000C0613">
        <w:rPr>
          <w:rFonts w:eastAsiaTheme="minorEastAsia"/>
        </w:rPr>
        <w:t>América</w:t>
      </w:r>
      <w:r w:rsidR="0023310A" w:rsidRPr="000C0613">
        <w:rPr>
          <w:rFonts w:eastAsiaTheme="minorEastAsia"/>
        </w:rPr>
        <w:t xml:space="preserve"> </w:t>
      </w:r>
      <w:r w:rsidR="0047119F">
        <w:rPr>
          <w:rFonts w:eastAsiaTheme="minorEastAsia"/>
        </w:rPr>
        <w:t>do Sul mais o México, bem como os países que compõem o denominado grupo</w:t>
      </w:r>
      <w:r w:rsidR="0023310A" w:rsidRPr="000C0613">
        <w:rPr>
          <w:rFonts w:eastAsiaTheme="minorEastAsia"/>
        </w:rPr>
        <w:t xml:space="preserve"> BRICS</w:t>
      </w:r>
      <w:r w:rsidR="0047119F">
        <w:rPr>
          <w:rFonts w:eastAsiaTheme="minorEastAsia"/>
        </w:rPr>
        <w:t>.</w:t>
      </w:r>
    </w:p>
    <w:p w14:paraId="4547017F" w14:textId="77777777" w:rsidR="004E7E51" w:rsidRDefault="004E7E51" w:rsidP="004E7E51">
      <w:pPr>
        <w:spacing w:line="360" w:lineRule="auto"/>
        <w:ind w:firstLine="851"/>
        <w:jc w:val="both"/>
        <w:rPr>
          <w:rFonts w:eastAsiaTheme="minorEastAsia"/>
        </w:rPr>
      </w:pPr>
      <w:r w:rsidRPr="000C0613">
        <w:rPr>
          <w:rFonts w:eastAsiaTheme="minorEastAsia"/>
        </w:rPr>
        <w:t xml:space="preserve">A intervenção é definida como a mudança do regime de controle de atos de concentração promulgada na </w:t>
      </w:r>
      <w:r w:rsidR="00AE5464" w:rsidRPr="000C0613">
        <w:t>Lei 12.529/2011</w:t>
      </w:r>
      <w:r w:rsidR="0047119F">
        <w:t>, sendo este o ano considerado o da intervenção</w:t>
      </w:r>
      <w:r w:rsidR="0047119F">
        <w:rPr>
          <w:rFonts w:eastAsiaTheme="minorEastAsia"/>
        </w:rPr>
        <w:t xml:space="preserve">. </w:t>
      </w:r>
      <w:r w:rsidR="00E834B2" w:rsidRPr="000C0613">
        <w:rPr>
          <w:rFonts w:eastAsiaTheme="minorEastAsia"/>
        </w:rPr>
        <w:t>O período disponível para a análise dos dados começará no ano 2000, co</w:t>
      </w:r>
      <w:r w:rsidR="0047119F">
        <w:rPr>
          <w:rFonts w:eastAsiaTheme="minorEastAsia"/>
        </w:rPr>
        <w:t>m a intervenção definida em 2011</w:t>
      </w:r>
      <w:r w:rsidR="00CE3EDD" w:rsidRPr="000C0613">
        <w:rPr>
          <w:rFonts w:eastAsiaTheme="minorEastAsia"/>
        </w:rPr>
        <w:t xml:space="preserve"> </w:t>
      </w:r>
      <w:r w:rsidR="00E834B2" w:rsidRPr="000C0613">
        <w:rPr>
          <w:rFonts w:eastAsiaTheme="minorEastAsia"/>
        </w:rPr>
        <w:t xml:space="preserve">e o período </w:t>
      </w:r>
      <w:r w:rsidR="0055175D" w:rsidRPr="000C0613">
        <w:rPr>
          <w:rFonts w:eastAsiaTheme="minorEastAsia"/>
        </w:rPr>
        <w:t>pós-intervenção</w:t>
      </w:r>
      <w:r w:rsidR="00E834B2" w:rsidRPr="000C0613">
        <w:rPr>
          <w:rFonts w:eastAsiaTheme="minorEastAsia"/>
        </w:rPr>
        <w:t xml:space="preserve"> será de 20</w:t>
      </w:r>
      <w:r w:rsidR="0047119F">
        <w:rPr>
          <w:rFonts w:eastAsiaTheme="minorEastAsia"/>
        </w:rPr>
        <w:t>12</w:t>
      </w:r>
      <w:r w:rsidR="00E834B2" w:rsidRPr="000C0613">
        <w:rPr>
          <w:rFonts w:eastAsiaTheme="minorEastAsia"/>
        </w:rPr>
        <w:t xml:space="preserve"> a 2018.</w:t>
      </w:r>
    </w:p>
    <w:p w14:paraId="4913BBA4" w14:textId="2890BD67" w:rsidR="004E53B6" w:rsidRPr="000C0613" w:rsidRDefault="004E53B6" w:rsidP="004E7E51">
      <w:pPr>
        <w:spacing w:line="360" w:lineRule="auto"/>
        <w:ind w:firstLine="851"/>
        <w:jc w:val="both"/>
        <w:rPr>
          <w:rFonts w:eastAsiaTheme="minorEastAsia"/>
        </w:rPr>
      </w:pPr>
      <w:r>
        <w:rPr>
          <w:rFonts w:eastAsiaTheme="minorEastAsia"/>
        </w:rPr>
        <w:t xml:space="preserve">É importante deixar claro que a </w:t>
      </w:r>
      <w:r w:rsidRPr="000C0613">
        <w:t>Lei 12.529/2011</w:t>
      </w:r>
      <w:r>
        <w:t xml:space="preserve"> trouxe diversas modificações na aplicação da política antitruste no Brasil. Contudo, a modificação de controle de atos de concentração “apresentou uma porta de entrada para diversas outras eficiências” </w:t>
      </w:r>
      <w:r>
        <w:fldChar w:fldCharType="begin" w:fldLock="1"/>
      </w:r>
      <w:r w:rsidR="00E04906">
        <w:instrText>ADDIN CSL_CITATION {"citationItems":[{"id":"ITEM-1","itemData":{"author":[{"dropping-particle":"","family":"Ragazzo","given":"Carlos Emmanuel Joppert","non-dropping-particle":"","parse-names":false,"suffix":""},{"dropping-particle":"de","family":"Carvalho","given":"Vinicius Marques","non-dropping-particle":"","parse-names":false,"suffix":""}],"chapter-number":"1","container-title":"5 anos Lei de Defesa da Concorrência: gênese, jurisprudência e desafios para o futuro","editor":[{"dropping-particle":"","family":"Eduardo Caminati Anders","given":"Guilherme Favaro Corvo Ribas","non-dropping-particle":"","parse-names":false,"suffix":""},{"dropping-particle":"","family":"Mariana Villela, Pedro Paulo Salles Cristofaro","given":"Vicente Bagnoli","non-dropping-particle":"","parse-names":false,"suffix":""}],"id":"ITEM-1","issued":{"date-parts":[["2017"]]},"page":"22-34","publisher":"IBRAC","title":"A Evolução do Antitruste no Brasil - A Política de Defesa da Concorrência sob a Lei 12.529/11","type":"chapter"},"uris":["http://www.mendeley.com/documents/?uuid=9b8f307a-5492-4633-a05b-3e8ae3fcf221"]}],"mendeley":{"formattedCitation":"(RAGAZZO; CARVALHO, 2017)","plainTextFormattedCitation":"(RAGAZZO; CARVALHO, 2017)","previouslyFormattedCitation":"(RAGAZZO; CARVALHO, 2017)"},"properties":{"noteIndex":0},"schema":"https://github.com/citation-style-language/schema/raw/master/csl-citation.json"}</w:instrText>
      </w:r>
      <w:r>
        <w:fldChar w:fldCharType="separate"/>
      </w:r>
      <w:r w:rsidRPr="004E53B6">
        <w:rPr>
          <w:noProof/>
        </w:rPr>
        <w:t>(RAGAZZO; CARVALHO, 2017)</w:t>
      </w:r>
      <w:r>
        <w:fldChar w:fldCharType="end"/>
      </w:r>
      <w:r>
        <w:t>.</w:t>
      </w:r>
    </w:p>
    <w:p w14:paraId="50113443" w14:textId="52BF58AB" w:rsidR="004E7E51" w:rsidRPr="000C0613" w:rsidRDefault="00466F0D" w:rsidP="00C570E0">
      <w:pPr>
        <w:spacing w:line="360" w:lineRule="auto"/>
        <w:ind w:firstLine="851"/>
        <w:jc w:val="both"/>
        <w:rPr>
          <w:rFonts w:eastAsiaTheme="minorEastAsia"/>
        </w:rPr>
      </w:pPr>
      <w:r w:rsidRPr="000C0613">
        <w:rPr>
          <w:rFonts w:eastAsiaTheme="minorEastAsia"/>
        </w:rPr>
        <w:t>A unidade temporal será dad</w:t>
      </w:r>
      <w:r w:rsidR="001A3167">
        <w:rPr>
          <w:rFonts w:eastAsiaTheme="minorEastAsia"/>
        </w:rPr>
        <w:t>a</w:t>
      </w:r>
      <w:r w:rsidRPr="000C0613">
        <w:rPr>
          <w:rFonts w:eastAsiaTheme="minorEastAsia"/>
        </w:rPr>
        <w:t xml:space="preserve"> por </w:t>
      </w:r>
      <m:oMath>
        <m:r>
          <w:rPr>
            <w:rFonts w:ascii="Cambria Math" w:eastAsiaTheme="minorEastAsia" w:hAnsi="Cambria Math"/>
          </w:rPr>
          <m:t>t=1,…T</m:t>
        </m:r>
      </m:oMath>
      <w:r w:rsidRPr="000C0613">
        <w:rPr>
          <w:rFonts w:eastAsiaTheme="minorEastAsia"/>
        </w:rPr>
        <w:t xml:space="preserve">, sendo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CC6D7B" w:rsidRPr="000C0613">
        <w:rPr>
          <w:rFonts w:eastAsiaTheme="minorEastAsia"/>
        </w:rPr>
        <w:t xml:space="preserve"> o último período antes da intervenção, de forma que </w:t>
      </w:r>
      <m:oMath>
        <m:r>
          <w:rPr>
            <w:rFonts w:ascii="Cambria Math" w:eastAsiaTheme="minorEastAsia" w:hAnsi="Cambria Math"/>
          </w:rPr>
          <m:t>1&lt;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0 </m:t>
            </m:r>
          </m:sub>
        </m:sSub>
        <m:r>
          <w:rPr>
            <w:rFonts w:ascii="Cambria Math" w:eastAsiaTheme="minorEastAsia" w:hAnsi="Cambria Math"/>
          </w:rPr>
          <m:t>&lt;T</m:t>
        </m:r>
      </m:oMath>
      <w:r w:rsidR="00CC6D7B" w:rsidRPr="000C0613">
        <w:rPr>
          <w:rFonts w:eastAsiaTheme="minorEastAsia"/>
        </w:rPr>
        <w:t>.</w:t>
      </w:r>
      <w:r w:rsidR="004E7E51" w:rsidRPr="000C0613">
        <w:rPr>
          <w:rFonts w:eastAsiaTheme="minorEastAsia"/>
        </w:rPr>
        <w:t xml:space="preserve"> A</w:t>
      </w:r>
      <w:r w:rsidR="008633C2" w:rsidRPr="000C0613">
        <w:rPr>
          <w:rFonts w:eastAsiaTheme="minorEastAsia"/>
        </w:rPr>
        <w:t xml:space="preserve"> variável de interesse </w:t>
      </w:r>
      <m:oMath>
        <m:r>
          <w:rPr>
            <w:rFonts w:ascii="Cambria Math" w:eastAsiaTheme="minorEastAsia" w:hAnsi="Cambria Math"/>
          </w:rPr>
          <m:t>Y</m:t>
        </m:r>
      </m:oMath>
      <w:r w:rsidR="008633C2" w:rsidRPr="000C0613">
        <w:rPr>
          <w:rFonts w:eastAsiaTheme="minorEastAsia"/>
        </w:rPr>
        <w:t xml:space="preserve"> </w:t>
      </w:r>
      <w:r w:rsidR="004E7E51" w:rsidRPr="000C0613">
        <w:rPr>
          <w:rFonts w:eastAsiaTheme="minorEastAsia"/>
        </w:rPr>
        <w:t>será o número de fusões e aquisições no Brasil, ou seja, quando uma empresa estrangeira adqu</w:t>
      </w:r>
      <w:r w:rsidR="00EC5A9D" w:rsidRPr="000C0613">
        <w:rPr>
          <w:rFonts w:eastAsiaTheme="minorEastAsia"/>
        </w:rPr>
        <w:t>irir uma empresa nacional. Partindo do modelo apresentado anteriormente temos que</w:t>
      </w:r>
      <w:r w:rsidR="004E7E51" w:rsidRPr="000C0613">
        <w:rPr>
          <w:rFonts w:eastAsiaTheme="minorEastAsia"/>
        </w:rPr>
        <w:t>:</w:t>
      </w:r>
    </w:p>
    <w:p w14:paraId="3F0EC0FC" w14:textId="77777777" w:rsidR="004E7E51" w:rsidRPr="000C0613" w:rsidRDefault="006B1E3D" w:rsidP="004E7E51">
      <w:pPr>
        <w:pStyle w:val="PargrafodaLista"/>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Sub>
      </m:oMath>
      <w:r w:rsidR="00C2008B" w:rsidRPr="000C0613">
        <w:rPr>
          <w:rFonts w:ascii="Times New Roman" w:eastAsiaTheme="minorEastAsia" w:hAnsi="Times New Roman" w:cs="Times New Roman"/>
          <w:sz w:val="24"/>
          <w:szCs w:val="24"/>
        </w:rPr>
        <w:t xml:space="preserve"> </w:t>
      </w:r>
      <w:r w:rsidR="00E834B2" w:rsidRPr="000C0613">
        <w:rPr>
          <w:rFonts w:ascii="Times New Roman" w:eastAsiaTheme="minorEastAsia" w:hAnsi="Times New Roman" w:cs="Times New Roman"/>
          <w:sz w:val="24"/>
          <w:szCs w:val="24"/>
        </w:rPr>
        <w:t xml:space="preserve">- </w:t>
      </w:r>
      <w:r w:rsidR="004E7E51" w:rsidRPr="000C0613">
        <w:rPr>
          <w:rFonts w:ascii="Times New Roman" w:eastAsiaTheme="minorEastAsia" w:hAnsi="Times New Roman" w:cs="Times New Roman"/>
          <w:sz w:val="24"/>
          <w:szCs w:val="24"/>
        </w:rPr>
        <w:t>o número de fusões e aquisições do país</w:t>
      </w:r>
      <w:r w:rsidR="008633C2" w:rsidRPr="000C061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oMath>
      <w:r w:rsidR="008633C2" w:rsidRPr="000C0613">
        <w:rPr>
          <w:rFonts w:ascii="Times New Roman" w:eastAsiaTheme="minorEastAsia" w:hAnsi="Times New Roman" w:cs="Times New Roman"/>
          <w:sz w:val="24"/>
          <w:szCs w:val="24"/>
        </w:rPr>
        <w:t xml:space="preserve"> no período </w:t>
      </w:r>
      <m:oMath>
        <m:r>
          <w:rPr>
            <w:rFonts w:ascii="Cambria Math" w:eastAsiaTheme="minorEastAsia" w:hAnsi="Cambria Math" w:cs="Times New Roman"/>
            <w:sz w:val="24"/>
            <w:szCs w:val="24"/>
          </w:rPr>
          <m:t>t</m:t>
        </m:r>
      </m:oMath>
      <w:r w:rsidR="00E834B2" w:rsidRPr="000C0613">
        <w:rPr>
          <w:rFonts w:ascii="Times New Roman" w:eastAsiaTheme="minorEastAsia" w:hAnsi="Times New Roman" w:cs="Times New Roman"/>
          <w:sz w:val="24"/>
          <w:szCs w:val="24"/>
        </w:rPr>
        <w:t>;</w:t>
      </w:r>
    </w:p>
    <w:p w14:paraId="340E6ACD" w14:textId="77777777" w:rsidR="004E7E51" w:rsidRPr="000C0613" w:rsidRDefault="0031698E" w:rsidP="004E7E51">
      <w:pPr>
        <w:pStyle w:val="PargrafodaLista"/>
        <w:numPr>
          <w:ilvl w:val="0"/>
          <w:numId w:val="10"/>
        </w:numPr>
        <w:spacing w:line="360" w:lineRule="auto"/>
        <w:jc w:val="both"/>
        <w:rPr>
          <w:rFonts w:ascii="Times New Roman" w:eastAsiaTheme="minorEastAsia" w:hAnsi="Times New Roman" w:cs="Times New Roman"/>
          <w:sz w:val="24"/>
          <w:szCs w:val="24"/>
        </w:rPr>
      </w:pPr>
      <w:r w:rsidRPr="000C0613">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I</m:t>
            </m:r>
          </m:sup>
        </m:sSubSup>
      </m:oMath>
      <w:r w:rsidR="00E834B2" w:rsidRPr="000C0613">
        <w:rPr>
          <w:rFonts w:ascii="Times New Roman" w:eastAsiaTheme="minorEastAsia" w:hAnsi="Times New Roman" w:cs="Times New Roman"/>
          <w:sz w:val="24"/>
          <w:szCs w:val="24"/>
        </w:rPr>
        <w:t xml:space="preserve"> -</w:t>
      </w:r>
      <w:r w:rsidR="004E7E51" w:rsidRPr="000C0613">
        <w:rPr>
          <w:rFonts w:ascii="Times New Roman" w:eastAsiaTheme="minorEastAsia" w:hAnsi="Times New Roman" w:cs="Times New Roman"/>
          <w:sz w:val="24"/>
          <w:szCs w:val="24"/>
        </w:rPr>
        <w:t xml:space="preserve"> a unidade de tratamento onde se teve a intervenção, ou seja, o Brasil</w:t>
      </w:r>
      <w:r w:rsidR="00EC5A9D" w:rsidRPr="000C0613">
        <w:rPr>
          <w:rFonts w:ascii="Times New Roman" w:eastAsiaTheme="minorEastAsia" w:hAnsi="Times New Roman" w:cs="Times New Roman"/>
          <w:sz w:val="24"/>
          <w:szCs w:val="24"/>
        </w:rPr>
        <w:t xml:space="preserve"> é a única unidade de tratamento</w:t>
      </w:r>
      <w:r w:rsidR="00E834B2" w:rsidRPr="000C0613">
        <w:rPr>
          <w:rFonts w:ascii="Times New Roman" w:eastAsiaTheme="minorEastAsia" w:hAnsi="Times New Roman" w:cs="Times New Roman"/>
          <w:sz w:val="24"/>
          <w:szCs w:val="24"/>
        </w:rPr>
        <w:t>;</w:t>
      </w:r>
    </w:p>
    <w:p w14:paraId="2823F97D" w14:textId="77777777" w:rsidR="004E7E51" w:rsidRPr="000C0613" w:rsidRDefault="0031698E" w:rsidP="004E7E51">
      <w:pPr>
        <w:pStyle w:val="PargrafodaLista"/>
        <w:numPr>
          <w:ilvl w:val="0"/>
          <w:numId w:val="10"/>
        </w:numPr>
        <w:spacing w:line="360" w:lineRule="auto"/>
        <w:jc w:val="both"/>
        <w:rPr>
          <w:rFonts w:ascii="Times New Roman" w:eastAsiaTheme="minorEastAsia" w:hAnsi="Times New Roman" w:cs="Times New Roman"/>
          <w:sz w:val="24"/>
          <w:szCs w:val="24"/>
        </w:rPr>
      </w:pPr>
      <w:r w:rsidRPr="000C0613">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up>
            <m:r>
              <w:rPr>
                <w:rFonts w:ascii="Cambria Math" w:eastAsiaTheme="minorEastAsia" w:hAnsi="Cambria Math" w:cs="Times New Roman"/>
                <w:sz w:val="24"/>
                <w:szCs w:val="24"/>
              </w:rPr>
              <m:t>N</m:t>
            </m:r>
          </m:sup>
        </m:sSubSup>
      </m:oMath>
      <w:r w:rsidR="00E834B2" w:rsidRPr="000C0613">
        <w:rPr>
          <w:rFonts w:ascii="Times New Roman" w:eastAsiaTheme="minorEastAsia" w:hAnsi="Times New Roman" w:cs="Times New Roman"/>
          <w:sz w:val="24"/>
          <w:szCs w:val="24"/>
        </w:rPr>
        <w:t xml:space="preserve"> - a</w:t>
      </w:r>
      <w:r w:rsidR="004E7E51" w:rsidRPr="000C0613">
        <w:rPr>
          <w:rFonts w:ascii="Times New Roman" w:eastAsiaTheme="minorEastAsia" w:hAnsi="Times New Roman" w:cs="Times New Roman"/>
          <w:sz w:val="24"/>
          <w:szCs w:val="24"/>
        </w:rPr>
        <w:t>s</w:t>
      </w:r>
      <w:r w:rsidRPr="000C0613">
        <w:rPr>
          <w:rFonts w:ascii="Times New Roman" w:eastAsiaTheme="minorEastAsia" w:hAnsi="Times New Roman" w:cs="Times New Roman"/>
          <w:sz w:val="24"/>
          <w:szCs w:val="24"/>
        </w:rPr>
        <w:t xml:space="preserve"> unidades</w:t>
      </w:r>
      <w:r w:rsidR="004E7E51" w:rsidRPr="000C0613">
        <w:rPr>
          <w:rFonts w:ascii="Times New Roman" w:eastAsiaTheme="minorEastAsia" w:hAnsi="Times New Roman" w:cs="Times New Roman"/>
          <w:sz w:val="24"/>
          <w:szCs w:val="24"/>
        </w:rPr>
        <w:t xml:space="preserve"> são as unidades de controle</w:t>
      </w:r>
      <w:r w:rsidR="00E834B2" w:rsidRPr="000C0613">
        <w:rPr>
          <w:rFonts w:ascii="Times New Roman" w:eastAsiaTheme="minorEastAsia" w:hAnsi="Times New Roman" w:cs="Times New Roman"/>
          <w:sz w:val="24"/>
          <w:szCs w:val="24"/>
        </w:rPr>
        <w:t xml:space="preserve"> que não sofreram a intervenção;</w:t>
      </w:r>
      <w:r w:rsidRPr="000C0613">
        <w:rPr>
          <w:rFonts w:ascii="Times New Roman" w:eastAsiaTheme="minorEastAsia" w:hAnsi="Times New Roman" w:cs="Times New Roman"/>
          <w:sz w:val="24"/>
          <w:szCs w:val="24"/>
        </w:rPr>
        <w:t xml:space="preserve"> </w:t>
      </w:r>
    </w:p>
    <w:p w14:paraId="07270109" w14:textId="77777777" w:rsidR="00EC5A9D" w:rsidRPr="000C0613" w:rsidRDefault="006B1E3D" w:rsidP="00EC5A9D">
      <w:pPr>
        <w:pStyle w:val="PargrafodaLista"/>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N</m:t>
            </m:r>
          </m:sup>
        </m:sSubSup>
      </m:oMath>
      <w:r w:rsidR="00241D7D" w:rsidRPr="000C0613">
        <w:rPr>
          <w:rFonts w:ascii="Times New Roman" w:eastAsiaTheme="minorEastAsia" w:hAnsi="Times New Roman" w:cs="Times New Roman"/>
          <w:sz w:val="24"/>
          <w:szCs w:val="24"/>
        </w:rPr>
        <w:t xml:space="preserve"> - diferença </w:t>
      </w:r>
      <w:r w:rsidR="00E834B2" w:rsidRPr="000C0613">
        <w:rPr>
          <w:rFonts w:ascii="Times New Roman" w:eastAsiaTheme="minorEastAsia" w:hAnsi="Times New Roman" w:cs="Times New Roman"/>
          <w:sz w:val="24"/>
          <w:szCs w:val="24"/>
        </w:rPr>
        <w:t>entre</w:t>
      </w:r>
      <w:r w:rsidR="00241D7D" w:rsidRPr="000C0613">
        <w:rPr>
          <w:rFonts w:ascii="Times New Roman" w:eastAsiaTheme="minorEastAsia" w:hAnsi="Times New Roman" w:cs="Times New Roman"/>
          <w:sz w:val="24"/>
          <w:szCs w:val="24"/>
        </w:rPr>
        <w:t xml:space="preserve"> </w:t>
      </w:r>
      <w:r w:rsidR="00E834B2" w:rsidRPr="000C0613">
        <w:rPr>
          <w:rFonts w:ascii="Times New Roman" w:eastAsiaTheme="minorEastAsia" w:hAnsi="Times New Roman" w:cs="Times New Roman"/>
          <w:sz w:val="24"/>
          <w:szCs w:val="24"/>
        </w:rPr>
        <w:t>o número de fusões e aquisições</w:t>
      </w:r>
      <w:r w:rsidR="00B135B7" w:rsidRPr="000C0613">
        <w:rPr>
          <w:rFonts w:ascii="Times New Roman" w:eastAsiaTheme="minorEastAsia" w:hAnsi="Times New Roman" w:cs="Times New Roman"/>
          <w:sz w:val="24"/>
          <w:szCs w:val="24"/>
        </w:rPr>
        <w:t xml:space="preserve"> após a intervenção em relação a</w:t>
      </w:r>
      <w:r w:rsidR="00241D7D" w:rsidRPr="000C0613">
        <w:rPr>
          <w:rFonts w:ascii="Times New Roman" w:eastAsiaTheme="minorEastAsia" w:hAnsi="Times New Roman" w:cs="Times New Roman"/>
          <w:sz w:val="24"/>
          <w:szCs w:val="24"/>
        </w:rPr>
        <w:t xml:space="preserve"> esta mesma unidade de interesse caso não tivesse recebido a intervenção.</w:t>
      </w:r>
    </w:p>
    <w:p w14:paraId="7E5F7AD3" w14:textId="77777777" w:rsidR="00805048" w:rsidRPr="000C0613" w:rsidRDefault="006B1E3D" w:rsidP="00805048">
      <w:pPr>
        <w:pStyle w:val="PargrafodaLista"/>
        <w:numPr>
          <w:ilvl w:val="0"/>
          <w:numId w:val="10"/>
        </w:numPr>
        <w:spacing w:line="360" w:lineRule="auto"/>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1t</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j=2</m:t>
            </m:r>
          </m:sub>
          <m:sup>
            <m:r>
              <w:rPr>
                <w:rFonts w:ascii="Cambria Math" w:eastAsiaTheme="minorEastAsia" w:hAnsi="Cambria Math" w:cs="Times New Roman"/>
                <w:sz w:val="24"/>
                <w:szCs w:val="24"/>
              </w:rPr>
              <m:t>J+1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jt</m:t>
                </m:r>
              </m:sub>
            </m:sSub>
            <m:r>
              <w:rPr>
                <w:rFonts w:ascii="Cambria Math" w:eastAsiaTheme="minorEastAsia" w:hAnsi="Cambria Math" w:cs="Times New Roman"/>
                <w:sz w:val="24"/>
                <w:szCs w:val="24"/>
              </w:rPr>
              <m:t>,</m:t>
            </m:r>
          </m:e>
        </m:nary>
      </m:oMath>
      <w:r w:rsidR="00805048" w:rsidRPr="000C0613">
        <w:rPr>
          <w:rFonts w:ascii="Times New Roman" w:eastAsiaTheme="minorEastAsia" w:hAnsi="Times New Roman" w:cs="Times New Roman"/>
          <w:sz w:val="24"/>
          <w:szCs w:val="24"/>
        </w:rPr>
        <w:t xml:space="preserve"> é a estimação do contrafa</w:t>
      </w:r>
      <w:r w:rsidR="00455066">
        <w:rPr>
          <w:rFonts w:ascii="Times New Roman" w:eastAsiaTheme="minorEastAsia" w:hAnsi="Times New Roman" w:cs="Times New Roman"/>
          <w:sz w:val="24"/>
          <w:szCs w:val="24"/>
        </w:rPr>
        <w:t>c</w:t>
      </w:r>
      <w:r w:rsidR="00805048" w:rsidRPr="000C0613">
        <w:rPr>
          <w:rFonts w:ascii="Times New Roman" w:eastAsiaTheme="minorEastAsia" w:hAnsi="Times New Roman" w:cs="Times New Roman"/>
          <w:sz w:val="24"/>
          <w:szCs w:val="24"/>
        </w:rPr>
        <w:t>tual do nú</w:t>
      </w:r>
      <w:r w:rsidR="00455066">
        <w:rPr>
          <w:rFonts w:ascii="Times New Roman" w:eastAsiaTheme="minorEastAsia" w:hAnsi="Times New Roman" w:cs="Times New Roman"/>
          <w:sz w:val="24"/>
          <w:szCs w:val="24"/>
        </w:rPr>
        <w:t xml:space="preserve">mero de fusões e aquisição que </w:t>
      </w:r>
      <w:r w:rsidR="00805048" w:rsidRPr="000C0613">
        <w:rPr>
          <w:rFonts w:ascii="Times New Roman" w:eastAsiaTheme="minorEastAsia" w:hAnsi="Times New Roman" w:cs="Times New Roman"/>
          <w:sz w:val="24"/>
          <w:szCs w:val="24"/>
        </w:rPr>
        <w:t>o brasil teria recebido caso não mudasse o regime do controle de atos de concentração</w:t>
      </w:r>
    </w:p>
    <w:p w14:paraId="2FF7F893" w14:textId="1687D5EA" w:rsidR="00805048" w:rsidRPr="000C0613" w:rsidRDefault="006B1E3D" w:rsidP="00EC5A9D">
      <w:pPr>
        <w:pStyle w:val="PargrafodaLista"/>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oMath>
      <w:r w:rsidR="00805048" w:rsidRPr="000C0613">
        <w:rPr>
          <w:rFonts w:ascii="Times New Roman" w:eastAsiaTheme="minorEastAsia" w:hAnsi="Times New Roman" w:cs="Times New Roman"/>
          <w:sz w:val="24"/>
          <w:szCs w:val="24"/>
        </w:rPr>
        <w:t xml:space="preserve">é o peso de cada unidade de controle na formulação do Brasil </w:t>
      </w:r>
      <w:r w:rsidR="00EA575C">
        <w:rPr>
          <w:rFonts w:ascii="Times New Roman" w:eastAsiaTheme="minorEastAsia" w:hAnsi="Times New Roman" w:cs="Times New Roman"/>
          <w:sz w:val="24"/>
          <w:szCs w:val="24"/>
        </w:rPr>
        <w:t>sintético</w:t>
      </w:r>
    </w:p>
    <w:p w14:paraId="5707E60F" w14:textId="742630F2" w:rsidR="00805048" w:rsidRPr="000C0613" w:rsidRDefault="006B1E3D" w:rsidP="00EC5A9D">
      <w:pPr>
        <w:pStyle w:val="PargrafodaLista"/>
        <w:numPr>
          <w:ilvl w:val="0"/>
          <w:numId w:val="10"/>
        </w:num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é </m:t>
        </m:r>
      </m:oMath>
      <w:r w:rsidR="00805048" w:rsidRPr="000C0613">
        <w:rPr>
          <w:rFonts w:ascii="Times New Roman" w:eastAsiaTheme="minorEastAsia" w:hAnsi="Times New Roman" w:cs="Times New Roman"/>
          <w:sz w:val="24"/>
          <w:szCs w:val="24"/>
        </w:rPr>
        <w:t xml:space="preserve">o peso de cada variável nas unidades de controle para a formulação do Brasil </w:t>
      </w:r>
      <w:r w:rsidR="00EA575C">
        <w:rPr>
          <w:rFonts w:ascii="Times New Roman" w:eastAsiaTheme="minorEastAsia" w:hAnsi="Times New Roman" w:cs="Times New Roman"/>
          <w:sz w:val="24"/>
          <w:szCs w:val="24"/>
        </w:rPr>
        <w:t>sintético</w:t>
      </w:r>
    </w:p>
    <w:p w14:paraId="6511B24D" w14:textId="77777777" w:rsidR="00EC5A9D" w:rsidRPr="000C0613" w:rsidRDefault="00EC5A9D" w:rsidP="00EC5A9D">
      <w:pPr>
        <w:pStyle w:val="PargrafodaLista"/>
        <w:spacing w:line="360" w:lineRule="auto"/>
        <w:ind w:left="1628"/>
        <w:jc w:val="both"/>
        <w:rPr>
          <w:rFonts w:ascii="Times New Roman" w:eastAsiaTheme="minorEastAsia" w:hAnsi="Times New Roman" w:cs="Times New Roman"/>
          <w:sz w:val="24"/>
          <w:szCs w:val="24"/>
        </w:rPr>
      </w:pPr>
    </w:p>
    <w:p w14:paraId="72F2208A" w14:textId="6F54484A" w:rsidR="001F2D22" w:rsidRDefault="001F2D22" w:rsidP="00C570E0">
      <w:pPr>
        <w:spacing w:line="360" w:lineRule="auto"/>
        <w:ind w:firstLine="851"/>
        <w:jc w:val="both"/>
        <w:rPr>
          <w:rFonts w:eastAsiaTheme="minorEastAsia"/>
        </w:rPr>
      </w:pPr>
      <w:r w:rsidRPr="000C0613">
        <w:rPr>
          <w:rFonts w:eastAsiaTheme="minorEastAsia"/>
        </w:rPr>
        <w:lastRenderedPageBreak/>
        <w:t xml:space="preserve">Para validar a inferência estatística do modelo contrafactual, </w:t>
      </w:r>
      <w:r w:rsidR="005E5C69" w:rsidRPr="000C0613">
        <w:rPr>
          <w:rFonts w:eastAsiaTheme="minorEastAsia"/>
        </w:rPr>
        <w:t>além do cálculo da razão do e</w:t>
      </w:r>
      <w:r w:rsidR="004D5A00" w:rsidRPr="000C0613">
        <w:rPr>
          <w:rFonts w:eastAsiaTheme="minorEastAsia"/>
        </w:rPr>
        <w:t xml:space="preserve">rro médio de previsão pós e </w:t>
      </w:r>
      <w:proofErr w:type="spellStart"/>
      <w:r w:rsidR="004D5A00" w:rsidRPr="000C0613">
        <w:rPr>
          <w:rFonts w:eastAsiaTheme="minorEastAsia"/>
        </w:rPr>
        <w:t>pré</w:t>
      </w:r>
      <w:proofErr w:type="spellEnd"/>
      <w:r w:rsidR="004D5A00" w:rsidRPr="000C0613">
        <w:rPr>
          <w:rFonts w:eastAsiaTheme="minorEastAsia"/>
        </w:rPr>
        <w:t>-</w:t>
      </w:r>
      <w:r w:rsidR="005E5C69" w:rsidRPr="000C0613">
        <w:rPr>
          <w:rFonts w:eastAsiaTheme="minorEastAsia"/>
        </w:rPr>
        <w:t xml:space="preserve">intervenção apresentado na sessão 2.2, </w:t>
      </w:r>
      <w:r w:rsidRPr="000C0613">
        <w:rPr>
          <w:rFonts w:eastAsiaTheme="minorEastAsia"/>
        </w:rPr>
        <w:t xml:space="preserve">o método de controle sintético permite que se </w:t>
      </w:r>
      <w:r w:rsidR="00C52B65" w:rsidRPr="000C0613">
        <w:rPr>
          <w:rFonts w:eastAsiaTheme="minorEastAsia"/>
        </w:rPr>
        <w:t>façam</w:t>
      </w:r>
      <w:r w:rsidRPr="000C0613">
        <w:rPr>
          <w:rFonts w:eastAsiaTheme="minorEastAsia"/>
        </w:rPr>
        <w:t xml:space="preserve"> </w:t>
      </w:r>
      <w:r w:rsidR="00C52B65" w:rsidRPr="000C0613">
        <w:rPr>
          <w:rFonts w:eastAsiaTheme="minorEastAsia"/>
        </w:rPr>
        <w:t xml:space="preserve">testes de </w:t>
      </w:r>
      <w:r w:rsidR="00EA575C">
        <w:rPr>
          <w:rFonts w:eastAsiaTheme="minorEastAsia"/>
        </w:rPr>
        <w:t xml:space="preserve">placebo. Para isso, serão feitas </w:t>
      </w:r>
      <w:r w:rsidR="00611AFA">
        <w:rPr>
          <w:rFonts w:eastAsiaTheme="minorEastAsia"/>
        </w:rPr>
        <w:t>p</w:t>
      </w:r>
      <w:r w:rsidR="00455066">
        <w:rPr>
          <w:rFonts w:eastAsiaTheme="minorEastAsia"/>
        </w:rPr>
        <w:t>ermutações entre as unidades tratadas e de tratamentos a fim de verificar</w:t>
      </w:r>
      <w:r w:rsidR="00611AFA">
        <w:rPr>
          <w:rFonts w:eastAsiaTheme="minorEastAsia"/>
        </w:rPr>
        <w:t xml:space="preserve"> a magnitude da variável</w:t>
      </w:r>
      <w:r w:rsidR="0047119F">
        <w:rPr>
          <w:rFonts w:eastAsiaTheme="minorEastAsia"/>
        </w:rPr>
        <w:t xml:space="preserve"> </w:t>
      </w:r>
      <w:r w:rsidR="00611AFA">
        <w:rPr>
          <w:rFonts w:eastAsiaTheme="minorEastAsia"/>
        </w:rPr>
        <w:t>entre as unidades de tratamentos e suas unidades sintéticas.</w:t>
      </w:r>
    </w:p>
    <w:p w14:paraId="2B4BE9A9" w14:textId="77777777" w:rsidR="005C38AD" w:rsidRDefault="005C38AD" w:rsidP="00C570E0">
      <w:pPr>
        <w:spacing w:line="360" w:lineRule="auto"/>
        <w:ind w:firstLine="851"/>
        <w:jc w:val="both"/>
        <w:rPr>
          <w:rFonts w:eastAsiaTheme="minorEastAsia"/>
        </w:rPr>
      </w:pPr>
    </w:p>
    <w:p w14:paraId="4DD755E7" w14:textId="77777777" w:rsidR="00C6416F" w:rsidRPr="000C0613" w:rsidRDefault="00C6416F" w:rsidP="00C570E0">
      <w:pPr>
        <w:spacing w:line="360" w:lineRule="auto"/>
        <w:ind w:firstLine="851"/>
        <w:jc w:val="both"/>
        <w:rPr>
          <w:rFonts w:eastAsiaTheme="minorEastAsia"/>
        </w:rPr>
      </w:pPr>
    </w:p>
    <w:p w14:paraId="59075DDA" w14:textId="77777777" w:rsidR="001F2D22" w:rsidRPr="000C0613" w:rsidRDefault="00C52B65" w:rsidP="00290949">
      <w:pPr>
        <w:pStyle w:val="PargrafodaLista"/>
        <w:numPr>
          <w:ilvl w:val="1"/>
          <w:numId w:val="12"/>
        </w:numPr>
        <w:spacing w:line="360" w:lineRule="auto"/>
        <w:jc w:val="both"/>
        <w:outlineLvl w:val="1"/>
        <w:rPr>
          <w:rFonts w:ascii="Times New Roman" w:hAnsi="Times New Roman" w:cs="Times New Roman"/>
          <w:b/>
          <w:smallCaps/>
          <w:sz w:val="24"/>
          <w:szCs w:val="24"/>
        </w:rPr>
      </w:pPr>
      <w:bookmarkStart w:id="6" w:name="_Toc51774597"/>
      <w:r w:rsidRPr="000C0613">
        <w:rPr>
          <w:rFonts w:ascii="Times New Roman" w:hAnsi="Times New Roman" w:cs="Times New Roman"/>
          <w:b/>
          <w:smallCaps/>
          <w:sz w:val="24"/>
          <w:szCs w:val="24"/>
        </w:rPr>
        <w:t>Base de dados</w:t>
      </w:r>
      <w:bookmarkEnd w:id="6"/>
    </w:p>
    <w:p w14:paraId="0AA8535C" w14:textId="2DC34BFC" w:rsidR="00453AE2" w:rsidRDefault="001F2D22" w:rsidP="00C570E0">
      <w:pPr>
        <w:spacing w:line="360" w:lineRule="auto"/>
        <w:ind w:firstLine="851"/>
        <w:jc w:val="both"/>
        <w:rPr>
          <w:rFonts w:eastAsiaTheme="minorEastAsia"/>
        </w:rPr>
      </w:pPr>
      <w:r w:rsidRPr="000C0613">
        <w:rPr>
          <w:rFonts w:eastAsiaTheme="minorEastAsia"/>
        </w:rPr>
        <w:t xml:space="preserve">Os dados que </w:t>
      </w:r>
      <w:r w:rsidR="00595E49" w:rsidRPr="000C0613">
        <w:rPr>
          <w:rFonts w:eastAsiaTheme="minorEastAsia"/>
        </w:rPr>
        <w:t xml:space="preserve">serão utilizados dados agregados dos países selecionados para serem os candidatos a grupo de </w:t>
      </w:r>
      <w:r w:rsidR="00934F34">
        <w:rPr>
          <w:rFonts w:eastAsiaTheme="minorEastAsia"/>
        </w:rPr>
        <w:t>controle</w:t>
      </w:r>
      <w:r w:rsidR="00934F34" w:rsidRPr="000C0613">
        <w:rPr>
          <w:rFonts w:eastAsiaTheme="minorEastAsia"/>
        </w:rPr>
        <w:t xml:space="preserve"> </w:t>
      </w:r>
      <w:r w:rsidR="0079423B">
        <w:rPr>
          <w:rFonts w:eastAsiaTheme="minorEastAsia"/>
        </w:rPr>
        <w:t>– “</w:t>
      </w:r>
      <w:proofErr w:type="spellStart"/>
      <w:r w:rsidR="00595E49" w:rsidRPr="000C0613">
        <w:rPr>
          <w:rFonts w:eastAsiaTheme="minorEastAsia"/>
          <w:i/>
        </w:rPr>
        <w:t>donor</w:t>
      </w:r>
      <w:proofErr w:type="spellEnd"/>
      <w:r w:rsidR="00595E49" w:rsidRPr="000C0613">
        <w:rPr>
          <w:rFonts w:eastAsiaTheme="minorEastAsia"/>
          <w:i/>
        </w:rPr>
        <w:t xml:space="preserve"> pool</w:t>
      </w:r>
      <w:r w:rsidR="0079423B">
        <w:rPr>
          <w:rFonts w:eastAsiaTheme="minorEastAsia"/>
        </w:rPr>
        <w:t>”</w:t>
      </w:r>
      <w:r w:rsidR="00595E49" w:rsidRPr="000C0613">
        <w:rPr>
          <w:rFonts w:eastAsiaTheme="minorEastAsia"/>
        </w:rPr>
        <w:t>. A maioria dos dados macroeconômicos, macrofinanceiros e de atuação governamental estão disponível</w:t>
      </w:r>
      <w:r w:rsidR="006206C6" w:rsidRPr="000C0613">
        <w:rPr>
          <w:rFonts w:eastAsiaTheme="minorEastAsia"/>
        </w:rPr>
        <w:t xml:space="preserve"> na plataforma</w:t>
      </w:r>
      <w:r w:rsidR="00595E49" w:rsidRPr="000C0613">
        <w:rPr>
          <w:rFonts w:eastAsiaTheme="minorEastAsia"/>
        </w:rPr>
        <w:t xml:space="preserve"> </w:t>
      </w:r>
      <w:r w:rsidR="00595E49" w:rsidRPr="004701A5">
        <w:rPr>
          <w:rFonts w:eastAsiaTheme="minorEastAsia"/>
          <w:i/>
          <w:iCs/>
        </w:rPr>
        <w:t xml:space="preserve">World </w:t>
      </w:r>
      <w:proofErr w:type="spellStart"/>
      <w:r w:rsidR="00595E49" w:rsidRPr="004701A5">
        <w:rPr>
          <w:rFonts w:eastAsiaTheme="minorEastAsia"/>
          <w:i/>
          <w:iCs/>
        </w:rPr>
        <w:t>Delevopment</w:t>
      </w:r>
      <w:proofErr w:type="spellEnd"/>
      <w:r w:rsidR="00595E49" w:rsidRPr="004701A5">
        <w:rPr>
          <w:rFonts w:eastAsiaTheme="minorEastAsia"/>
          <w:i/>
          <w:iCs/>
        </w:rPr>
        <w:t xml:space="preserve"> </w:t>
      </w:r>
      <w:proofErr w:type="spellStart"/>
      <w:r w:rsidR="00595E49" w:rsidRPr="004701A5">
        <w:rPr>
          <w:rFonts w:eastAsiaTheme="minorEastAsia"/>
          <w:i/>
          <w:iCs/>
        </w:rPr>
        <w:t>Indicator</w:t>
      </w:r>
      <w:proofErr w:type="spellEnd"/>
      <w:r w:rsidR="00595E49" w:rsidRPr="000C0613">
        <w:rPr>
          <w:rFonts w:eastAsiaTheme="minorEastAsia"/>
        </w:rPr>
        <w:t xml:space="preserve"> (WDI)</w:t>
      </w:r>
      <w:r w:rsidR="00332B6C" w:rsidRPr="000C0613">
        <w:rPr>
          <w:rFonts w:eastAsiaTheme="minorEastAsia"/>
        </w:rPr>
        <w:t>. Já a variável de interesse, ou seja, o número de fusões e aquisições internaciona</w:t>
      </w:r>
      <w:r w:rsidR="00251F6D">
        <w:rPr>
          <w:rFonts w:eastAsiaTheme="minorEastAsia"/>
        </w:rPr>
        <w:t>is</w:t>
      </w:r>
      <w:r w:rsidR="00332B6C" w:rsidRPr="000C0613">
        <w:rPr>
          <w:rFonts w:eastAsiaTheme="minorEastAsia"/>
        </w:rPr>
        <w:t xml:space="preserve"> no Brasil está </w:t>
      </w:r>
      <w:r w:rsidR="006206C6" w:rsidRPr="000C0613">
        <w:rPr>
          <w:rFonts w:eastAsiaTheme="minorEastAsia"/>
        </w:rPr>
        <w:t>compilado</w:t>
      </w:r>
      <w:r w:rsidR="00332B6C" w:rsidRPr="000C0613">
        <w:rPr>
          <w:rFonts w:eastAsiaTheme="minorEastAsia"/>
        </w:rPr>
        <w:t xml:space="preserve"> como anexo do </w:t>
      </w:r>
      <w:r w:rsidR="00332B6C" w:rsidRPr="004701A5">
        <w:rPr>
          <w:rFonts w:eastAsiaTheme="minorEastAsia"/>
          <w:i/>
          <w:iCs/>
        </w:rPr>
        <w:t xml:space="preserve">World </w:t>
      </w:r>
      <w:proofErr w:type="spellStart"/>
      <w:r w:rsidR="00332B6C" w:rsidRPr="004701A5">
        <w:rPr>
          <w:rFonts w:eastAsiaTheme="minorEastAsia"/>
          <w:i/>
          <w:iCs/>
        </w:rPr>
        <w:t>Investment</w:t>
      </w:r>
      <w:proofErr w:type="spellEnd"/>
      <w:r w:rsidR="00332B6C" w:rsidRPr="004701A5">
        <w:rPr>
          <w:rFonts w:eastAsiaTheme="minorEastAsia"/>
          <w:i/>
          <w:iCs/>
        </w:rPr>
        <w:t xml:space="preserve"> </w:t>
      </w:r>
      <w:proofErr w:type="spellStart"/>
      <w:r w:rsidR="00332B6C" w:rsidRPr="004701A5">
        <w:rPr>
          <w:rFonts w:eastAsiaTheme="minorEastAsia"/>
          <w:i/>
          <w:iCs/>
        </w:rPr>
        <w:t>Report</w:t>
      </w:r>
      <w:proofErr w:type="spellEnd"/>
      <w:r w:rsidR="006206C6" w:rsidRPr="000C0613">
        <w:rPr>
          <w:rFonts w:eastAsiaTheme="minorEastAsia"/>
        </w:rPr>
        <w:t xml:space="preserve"> </w:t>
      </w:r>
      <w:r w:rsidR="006206C6" w:rsidRPr="000C0613">
        <w:rPr>
          <w:rFonts w:eastAsiaTheme="minorEastAsia"/>
        </w:rPr>
        <w:fldChar w:fldCharType="begin" w:fldLock="1"/>
      </w:r>
      <w:r w:rsidR="00E0297C">
        <w:rPr>
          <w:rFonts w:eastAsiaTheme="minorEastAsia"/>
        </w:rPr>
        <w:instrText>ADDIN CSL_CITATION {"citationItems":[{"id":"ITEM-1","itemData":{"ISBN":"9789211128284","abstract":"Prospects for foreign direct investment (FDI) continue to be fraught with risks and uncertainties. At $1.5 trillion, flows of global FDI exceeded pre-financial crisis levels in 2011, but the recovery is expected to level off in 2012 at an estimated $1.6 trillion. Despite record cash holdings, transnational corporations have yet to convert available cash into new and sustained FDI, and are unlikely to do so while instability remains in international financial markets. Even so, half of the global total will flow to developing and transition economies, underlining the important development role that FDI can play, including in least developed countries. A broader development policy agenda is emerging that has inclusive and sustainable development goals at its core. For investment policy, this new paradigm poses specific challenges. At the national level they include integrating investment policy into development strategy, incorporating sustainable development objectives, and ensuring relevance and effectiveness. At the international level it is necessary to strengthen the development dimension of international investment agreements, manage their complexity, and balance the rights and obligations of States and investors. Against this background, this year’s World Investment Report unveils the UNCTAD Investment Policy Framework for Sustainable Development. Mobilizing investment for sustainable development is essential in this era of persistent crises and pressing social and environmental challenges. As we look ahead to the post-2015 development framework, I commend this important tool for the international investment community","author":[{"dropping-particle":"","family":"UNCTAD. UNITED NATIONS CONFERENCE ON TRADE AND DEVELOPMENT","given":"","non-dropping-particle":"","parse-names":false,"suffix":""}],"id":"ITEM-1","issue":"June","issued":{"date-parts":[["2019"]]},"title":"World Investment Report 2019","type":"report"},"label":"chapter","suppress-author":1,"uris":["http://www.mendeley.com/documents/?uuid=747a0725-cb91-4242-aa5b-5191542f7bd5"]}],"mendeley":{"formattedCitation":"(2019a)","plainTextFormattedCitation":"(2019a)","previouslyFormattedCitation":"(2019a)"},"properties":{"noteIndex":0},"schema":"https://github.com/citation-style-language/schema/raw/master/csl-citation.json"}</w:instrText>
      </w:r>
      <w:r w:rsidR="006206C6" w:rsidRPr="000C0613">
        <w:rPr>
          <w:rFonts w:eastAsiaTheme="minorEastAsia"/>
        </w:rPr>
        <w:fldChar w:fldCharType="separate"/>
      </w:r>
      <w:r w:rsidR="00E0297C" w:rsidRPr="00E0297C">
        <w:rPr>
          <w:rFonts w:eastAsiaTheme="minorEastAsia"/>
          <w:noProof/>
        </w:rPr>
        <w:t>(2019a)</w:t>
      </w:r>
      <w:r w:rsidR="006206C6" w:rsidRPr="000C0613">
        <w:rPr>
          <w:rFonts w:eastAsiaTheme="minorEastAsia"/>
        </w:rPr>
        <w:fldChar w:fldCharType="end"/>
      </w:r>
      <w:r w:rsidR="006206C6" w:rsidRPr="000C0613">
        <w:rPr>
          <w:rFonts w:eastAsiaTheme="minorEastAsia"/>
        </w:rPr>
        <w:t xml:space="preserve">, disponibilizado pela Conferência das Nações Unidas sobre Comércio e Desenvolvimento </w:t>
      </w:r>
      <w:r w:rsidR="00E0297C">
        <w:rPr>
          <w:rFonts w:eastAsiaTheme="minorEastAsia"/>
        </w:rPr>
        <w:fldChar w:fldCharType="begin" w:fldLock="1"/>
      </w:r>
      <w:r w:rsidR="003D27D7">
        <w:rPr>
          <w:rFonts w:eastAsiaTheme="minorEastAsia"/>
        </w:rPr>
        <w:instrText>ADDIN CSL_CITATION {"citationItems":[{"id":"ITEM-1","itemData":{"URL":"https://unctad.org/en/Pages/DIAE/World Investment Report/Annex-Tables.aspx","abstract":"Annex table 7. Number of net cross-border M&amp;As by region/economy of seller, 1990-2018","accessed":{"date-parts":[["2020","8","1"]]},"author":[{"dropping-particle":"","family":"UNCTAD. UNITED NATIONS CONFERENCE ON TRADE AND DEVELOPMENT","given":"","non-dropping-particle":"","parse-names":false,"suffix":""}],"id":"ITEM-1","issued":{"date-parts":[["2019"]]},"page":"Annex Table 7","title":"World Investment Report: Annex Tables","type":"webpage"},"label":"chapter","suppress-author":1,"uris":["http://www.mendeley.com/documents/?uuid=f0b3053e-9114-4091-8bb4-2d80f5c63fd2"]}],"mendeley":{"formattedCitation":"(2019b)","plainTextFormattedCitation":"(2019b)","previouslyFormattedCitation":"(2019b)"},"properties":{"noteIndex":0},"schema":"https://github.com/citation-style-language/schema/raw/master/csl-citation.json"}</w:instrText>
      </w:r>
      <w:r w:rsidR="00E0297C">
        <w:rPr>
          <w:rFonts w:eastAsiaTheme="minorEastAsia"/>
        </w:rPr>
        <w:fldChar w:fldCharType="separate"/>
      </w:r>
      <w:r w:rsidR="00E0297C" w:rsidRPr="00E0297C">
        <w:rPr>
          <w:rFonts w:eastAsiaTheme="minorEastAsia"/>
          <w:noProof/>
        </w:rPr>
        <w:t>(2019b)</w:t>
      </w:r>
      <w:r w:rsidR="00E0297C">
        <w:rPr>
          <w:rFonts w:eastAsiaTheme="minorEastAsia"/>
        </w:rPr>
        <w:fldChar w:fldCharType="end"/>
      </w:r>
      <w:r w:rsidR="006206C6" w:rsidRPr="000C0613">
        <w:rPr>
          <w:rFonts w:eastAsiaTheme="minorEastAsia"/>
        </w:rPr>
        <w:t>.</w:t>
      </w:r>
      <w:r w:rsidR="00453AE2" w:rsidRPr="000C0613">
        <w:rPr>
          <w:rFonts w:eastAsiaTheme="minorEastAsia"/>
        </w:rPr>
        <w:t xml:space="preserve"> </w:t>
      </w:r>
      <w:r w:rsidR="004D5A00" w:rsidRPr="000C0613">
        <w:rPr>
          <w:rFonts w:eastAsiaTheme="minorEastAsia"/>
        </w:rPr>
        <w:t xml:space="preserve">Além disso, foi utilizado </w:t>
      </w:r>
      <w:r w:rsidR="00EE5A7E">
        <w:rPr>
          <w:rFonts w:eastAsiaTheme="minorEastAsia"/>
        </w:rPr>
        <w:t xml:space="preserve">como </w:t>
      </w:r>
      <w:r w:rsidR="00EE5A7E" w:rsidRPr="004701A5">
        <w:rPr>
          <w:rFonts w:eastAsiaTheme="minorEastAsia"/>
          <w:i/>
          <w:iCs/>
        </w:rPr>
        <w:t>proxy</w:t>
      </w:r>
      <w:r w:rsidR="00EE5A7E">
        <w:rPr>
          <w:rFonts w:eastAsiaTheme="minorEastAsia"/>
        </w:rPr>
        <w:t xml:space="preserve"> de desenvolvimento institucional </w:t>
      </w:r>
      <w:r w:rsidR="004D5A00" w:rsidRPr="000C0613">
        <w:rPr>
          <w:rFonts w:eastAsiaTheme="minorEastAsia"/>
        </w:rPr>
        <w:t xml:space="preserve">o </w:t>
      </w:r>
      <w:r w:rsidR="00C62432">
        <w:rPr>
          <w:rFonts w:eastAsiaTheme="minorEastAsia"/>
        </w:rPr>
        <w:t>Í</w:t>
      </w:r>
      <w:r w:rsidR="00C62432" w:rsidRPr="000C0613">
        <w:rPr>
          <w:rFonts w:eastAsiaTheme="minorEastAsia"/>
        </w:rPr>
        <w:t>ndice</w:t>
      </w:r>
      <w:r w:rsidR="00C62432">
        <w:rPr>
          <w:rFonts w:eastAsiaTheme="minorEastAsia"/>
        </w:rPr>
        <w:t xml:space="preserve"> de Liberdade E</w:t>
      </w:r>
      <w:r w:rsidR="004D5A00" w:rsidRPr="000C0613">
        <w:rPr>
          <w:rFonts w:eastAsiaTheme="minorEastAsia"/>
        </w:rPr>
        <w:t>conômica</w:t>
      </w:r>
      <w:r w:rsidR="00EE5A7E">
        <w:rPr>
          <w:rFonts w:eastAsiaTheme="minorEastAsia"/>
        </w:rPr>
        <w:t xml:space="preserve"> divulgado pela</w:t>
      </w:r>
      <w:r w:rsidR="004D5A00" w:rsidRPr="000C0613">
        <w:rPr>
          <w:rFonts w:eastAsiaTheme="minorEastAsia"/>
        </w:rPr>
        <w:t xml:space="preserve"> Fundação </w:t>
      </w:r>
      <w:proofErr w:type="spellStart"/>
      <w:r w:rsidR="004D5A00" w:rsidRPr="000C0613">
        <w:rPr>
          <w:rFonts w:eastAsiaTheme="minorEastAsia"/>
        </w:rPr>
        <w:t>Heritage</w:t>
      </w:r>
      <w:proofErr w:type="spellEnd"/>
      <w:r w:rsidR="00EE5A7E">
        <w:rPr>
          <w:rFonts w:eastAsiaTheme="minorEastAsia"/>
        </w:rPr>
        <w:t xml:space="preserve"> </w:t>
      </w:r>
      <w:r w:rsidR="00EE5A7E">
        <w:rPr>
          <w:rFonts w:eastAsiaTheme="minorEastAsia"/>
        </w:rPr>
        <w:fldChar w:fldCharType="begin" w:fldLock="1"/>
      </w:r>
      <w:r w:rsidR="00064837">
        <w:rPr>
          <w:rFonts w:eastAsiaTheme="minorEastAsia"/>
        </w:rPr>
        <w:instrText>ADDIN CSL_CITATION {"citationItems":[{"id":"ITEM-1","itemData":{"ISBN":"9780891953005","abstract":"Twenty-five years! That’s quite an achievement for a publication like the Index of Economic Freedom. The 2019 edition is better than ever, with comprehensive information on 186 economies from every corner of the world.","author":[{"dropping-particle":"","family":"Miller","given":"Terry","non-dropping-particle":"","parse-names":false,"suffix":""},{"dropping-particle":"","family":"Kim","given":"Anthony B","non-dropping-particle":"","parse-names":false,"suffix":""},{"dropping-particle":"","family":"Roberts","given":"James M","non-dropping-particle":"","parse-names":false,"suffix":""}],"container-title":"The Heritage Foundation","id":"ITEM-1","issued":{"date-parts":[["2020"]]},"number-of-pages":"524","publisher-place":"Washington, D.C","title":"2020 Index of Economic Freedom.","type":"report"},"uris":["http://www.mendeley.com/documents/?uuid=9554c178-e5e2-4f7b-97e6-ce45ee9f4603"]}],"mendeley":{"formattedCitation":"(MILLER; KIM; ROBERTS, 2020)","plainTextFormattedCitation":"(MILLER; KIM; ROBERTS, 2020)","previouslyFormattedCitation":"(MILLER; KIM; ROBERTS, 2020)"},"properties":{"noteIndex":0},"schema":"https://github.com/citation-style-language/schema/raw/master/csl-citation.json"}</w:instrText>
      </w:r>
      <w:r w:rsidR="00EE5A7E">
        <w:rPr>
          <w:rFonts w:eastAsiaTheme="minorEastAsia"/>
        </w:rPr>
        <w:fldChar w:fldCharType="separate"/>
      </w:r>
      <w:r w:rsidR="00EE5A7E" w:rsidRPr="00EE5A7E">
        <w:rPr>
          <w:rFonts w:eastAsiaTheme="minorEastAsia"/>
          <w:noProof/>
        </w:rPr>
        <w:t>(MILLER; KIM; ROBERTS, 2020)</w:t>
      </w:r>
      <w:r w:rsidR="00EE5A7E">
        <w:rPr>
          <w:rFonts w:eastAsiaTheme="minorEastAsia"/>
        </w:rPr>
        <w:fldChar w:fldCharType="end"/>
      </w:r>
      <w:r w:rsidR="00EE5A7E">
        <w:rPr>
          <w:rFonts w:eastAsiaTheme="minorEastAsia"/>
        </w:rPr>
        <w:t>, bem como os históricos dos dados disponíveis</w:t>
      </w:r>
      <w:r w:rsidR="007A6F7A">
        <w:rPr>
          <w:rFonts w:eastAsiaTheme="minorEastAsia"/>
        </w:rPr>
        <w:t xml:space="preserve"> </w:t>
      </w:r>
      <w:r w:rsidR="007A6F7A">
        <w:rPr>
          <w:rFonts w:eastAsiaTheme="minorEastAsia"/>
        </w:rPr>
        <w:fldChar w:fldCharType="begin" w:fldLock="1"/>
      </w:r>
      <w:r w:rsidR="007A6F7A">
        <w:rPr>
          <w:rFonts w:eastAsiaTheme="minorEastAsia"/>
        </w:rPr>
        <w:instrText>ADDIN CSL_CITATION {"citationItems":[{"id":"ITEM-1","itemData":{"URL":"https://www.heritage.org/index/explore","accessed":{"date-parts":[["2020","6","1"]]},"author":[{"dropping-particle":"","family":"Heritage","given":"Foundation","non-dropping-particle":"","parse-names":false,"suffix":""}],"container-title":"Heritage Foundation","id":"ITEM-1","issued":{"date-parts":[["2020"]]},"title":"Index of Economic Freedom Datasets","type":"webpage"},"uris":["http://www.mendeley.com/documents/?uuid=032e6af7-ecd5-4b7e-835e-4f4a891858b2"]}],"mendeley":{"formattedCitation":"(HERITAGE, 2020)","plainTextFormattedCitation":"(HERITAGE, 2020)","previouslyFormattedCitation":"(HERITAGE, 2020)"},"properties":{"noteIndex":0},"schema":"https://github.com/citation-style-language/schema/raw/master/csl-citation.json"}</w:instrText>
      </w:r>
      <w:r w:rsidR="007A6F7A">
        <w:rPr>
          <w:rFonts w:eastAsiaTheme="minorEastAsia"/>
        </w:rPr>
        <w:fldChar w:fldCharType="separate"/>
      </w:r>
      <w:r w:rsidR="007A6F7A" w:rsidRPr="007A6F7A">
        <w:rPr>
          <w:rFonts w:eastAsiaTheme="minorEastAsia"/>
          <w:noProof/>
        </w:rPr>
        <w:t>(HERITAGE, 2020)</w:t>
      </w:r>
      <w:r w:rsidR="007A6F7A">
        <w:rPr>
          <w:rFonts w:eastAsiaTheme="minorEastAsia"/>
        </w:rPr>
        <w:fldChar w:fldCharType="end"/>
      </w:r>
      <w:r w:rsidR="00064837">
        <w:rPr>
          <w:rFonts w:eastAsiaTheme="minorEastAsia"/>
        </w:rPr>
        <w:t>.</w:t>
      </w:r>
    </w:p>
    <w:p w14:paraId="3500380C" w14:textId="2A85EF7F" w:rsidR="00682251" w:rsidRPr="000C0613" w:rsidRDefault="00682251" w:rsidP="00C570E0">
      <w:pPr>
        <w:spacing w:line="360" w:lineRule="auto"/>
        <w:ind w:firstLine="851"/>
        <w:jc w:val="both"/>
        <w:rPr>
          <w:rFonts w:eastAsiaTheme="minorEastAsia"/>
        </w:rPr>
      </w:pPr>
      <w:r>
        <w:rPr>
          <w:rFonts w:eastAsiaTheme="minorEastAsia"/>
        </w:rPr>
        <w:t>Ainda sobre os dados, é importante esclarecer que não foi possível encontrar dados para os países somente para os atos de concentração que passaram pela autoridade antitruste de cada país. Os únicos dados obtidos por esse trabalho são os dados públicos disponibilizados pela UNCTAD.</w:t>
      </w:r>
    </w:p>
    <w:p w14:paraId="769297C2" w14:textId="77777777" w:rsidR="000C0613" w:rsidRPr="000C0613" w:rsidRDefault="000C0613" w:rsidP="00C570E0">
      <w:pPr>
        <w:spacing w:line="360" w:lineRule="auto"/>
        <w:ind w:firstLine="851"/>
        <w:jc w:val="both"/>
        <w:rPr>
          <w:rFonts w:eastAsiaTheme="minorEastAsia"/>
        </w:rPr>
      </w:pPr>
      <w:r w:rsidRPr="000C0613">
        <w:rPr>
          <w:rFonts w:eastAsiaTheme="minorEastAsia"/>
        </w:rPr>
        <w:t xml:space="preserve">Para a realização do modelo de controle sintético, foram utilizados os pacote </w:t>
      </w:r>
      <w:proofErr w:type="spellStart"/>
      <w:r w:rsidRPr="000C0613">
        <w:rPr>
          <w:rFonts w:eastAsiaTheme="minorEastAsia"/>
          <w:i/>
        </w:rPr>
        <w:t>Synth</w:t>
      </w:r>
      <w:proofErr w:type="spellEnd"/>
      <w:r w:rsidRPr="000C0613">
        <w:rPr>
          <w:rFonts w:eastAsiaTheme="minorEastAsia"/>
        </w:rPr>
        <w:t xml:space="preserve"> disponível no software R desenvolvido por </w:t>
      </w:r>
      <w:r w:rsidRPr="000C0613">
        <w:rPr>
          <w:rFonts w:eastAsiaTheme="minorEastAsia"/>
          <w:noProof/>
        </w:rPr>
        <w:t>Abadie, Diamond e Hainmueller</w:t>
      </w:r>
      <w:r w:rsidRPr="000C0613">
        <w:rPr>
          <w:rFonts w:eastAsiaTheme="minorEastAsia"/>
        </w:rPr>
        <w:t xml:space="preserve"> </w:t>
      </w:r>
      <w:r w:rsidRPr="000C0613">
        <w:rPr>
          <w:rFonts w:eastAsiaTheme="minorEastAsia"/>
        </w:rPr>
        <w:fldChar w:fldCharType="begin" w:fldLock="1"/>
      </w:r>
      <w:r w:rsidRPr="000C0613">
        <w:rPr>
          <w:rFonts w:eastAsiaTheme="minorEastAsia"/>
        </w:rPr>
        <w:instrText>ADDIN CSL_CITATION {"citationItems":[{"id":"ITEM-1","itemData":{"DOI":"10.18637/jss.v042.i13","ISSN":"1548-7660","author":[{"dropping-particle":"","family":"Abadie","given":"Alberto","non-dropping-particle":"","parse-names":false,"suffix":""},{"dropping-particle":"","family":"Diamond","given":"Alexis","non-dropping-particle":"","parse-names":false,"suffix":""},{"dropping-particle":"","family":"Hainmueller","given":"Jens","non-dropping-particle":"","parse-names":false,"suffix":""}],"container-title":"Journal of Statistical Software","id":"ITEM-1","issue":"13","issued":{"date-parts":[["2011"]]},"title":"Synth : An R Package for Synthetic Control Methods in Comparative Case Studies","type":"article-journal","volume":"42"},"uris":["http://www.mendeley.com/documents/?uuid=b6ff6034-fea5-4d0b-a2f8-18de9ec91d70"]}],"mendeley":{"formattedCitation":"(ABADIE; DIAMOND; HAINMUELLER, 2011)","manualFormatting":"(2011)","plainTextFormattedCitation":"(ABADIE; DIAMOND; HAINMUELLER, 2011)","previouslyFormattedCitation":"(ABADIE; DIAMOND; HAINMUELLER, 2011)"},"properties":{"noteIndex":0},"schema":"https://github.com/citation-style-language/schema/raw/master/csl-citation.json"}</w:instrText>
      </w:r>
      <w:r w:rsidRPr="000C0613">
        <w:rPr>
          <w:rFonts w:eastAsiaTheme="minorEastAsia"/>
        </w:rPr>
        <w:fldChar w:fldCharType="separate"/>
      </w:r>
      <w:r w:rsidRPr="000C0613">
        <w:rPr>
          <w:rFonts w:eastAsiaTheme="minorEastAsia"/>
          <w:noProof/>
        </w:rPr>
        <w:t>(2011)</w:t>
      </w:r>
      <w:r w:rsidRPr="000C0613">
        <w:rPr>
          <w:rFonts w:eastAsiaTheme="minorEastAsia"/>
        </w:rPr>
        <w:fldChar w:fldCharType="end"/>
      </w:r>
      <w:r w:rsidRPr="000C0613">
        <w:rPr>
          <w:rFonts w:eastAsiaTheme="minorEastAsia"/>
        </w:rPr>
        <w:t xml:space="preserve">, bem como o pacote </w:t>
      </w:r>
      <w:proofErr w:type="spellStart"/>
      <w:r w:rsidRPr="000C0613">
        <w:rPr>
          <w:rFonts w:eastAsiaTheme="minorEastAsia"/>
          <w:i/>
        </w:rPr>
        <w:t>SCtools</w:t>
      </w:r>
      <w:proofErr w:type="spellEnd"/>
      <w:r w:rsidRPr="000C0613">
        <w:rPr>
          <w:rFonts w:eastAsiaTheme="minorEastAsia"/>
        </w:rPr>
        <w:t xml:space="preserve"> desenvolvido por </w:t>
      </w:r>
      <w:r w:rsidR="00E0477F">
        <w:rPr>
          <w:rFonts w:eastAsiaTheme="minorEastAsia"/>
        </w:rPr>
        <w:t>Silva</w:t>
      </w:r>
      <w:r w:rsidR="0036470B" w:rsidRPr="0036470B">
        <w:rPr>
          <w:rFonts w:eastAsiaTheme="minorEastAsia"/>
        </w:rPr>
        <w:t xml:space="preserve"> e </w:t>
      </w:r>
      <w:proofErr w:type="spellStart"/>
      <w:r w:rsidR="0036470B" w:rsidRPr="0036470B">
        <w:rPr>
          <w:rFonts w:eastAsiaTheme="minorEastAsia"/>
        </w:rPr>
        <w:t>Dewitt</w:t>
      </w:r>
      <w:proofErr w:type="spellEnd"/>
      <w:r w:rsidR="00E0477F">
        <w:rPr>
          <w:rFonts w:eastAsiaTheme="minorEastAsia"/>
        </w:rPr>
        <w:t xml:space="preserve">  </w:t>
      </w:r>
      <w:r w:rsidR="00E0477F">
        <w:rPr>
          <w:rFonts w:eastAsiaTheme="minorEastAsia"/>
        </w:rPr>
        <w:fldChar w:fldCharType="begin" w:fldLock="1"/>
      </w:r>
      <w:r w:rsidR="00E0477F">
        <w:rPr>
          <w:rFonts w:eastAsiaTheme="minorEastAsia"/>
        </w:rPr>
        <w:instrText>ADDIN CSL_CITATION {"citationItems":[{"id":"ITEM-1","itemData":{"abstract":"Extensions to the synthetic controls analysesperformed by the package 'Synth' as detailed in Abadie, Diamond, and Hainmueller (2011)&lt;doi:10.18637/jss.v042.i13&gt;. Includes generatingand plotting placebos, post/pre-MSPE (mean squared prediction error)significance tests and plots, and calculating average treatment effectsfor multiple treated units. This package represents an implementation ofthose methods suggested in Abadie, Diamond,and Hain-mueller (2010) &lt;doi:10.1198/jasa.2009.ap08746&gt; foruse in synthetic control analysis.","author":[{"dropping-particle":"","family":"Silva","given":"Bruno Castanho","non-dropping-particle":"","parse-names":false,"suffix":""},{"dropping-particle":"","family":"DeWitt","given":"Michael","non-dropping-particle":"","parse-names":false,"suffix":""}],"id":"ITEM-1","issued":{"date-parts":[["2019"]]},"number":"0.3.0","publisher":"CRAN","title":"SCtools: Extensions for Synthetic Controls Analysis","type":"article"},"uris":["http://www.mendeley.com/documents/?uuid=96e85896-1d1c-4a32-8fd9-6cf3abfd433b"]}],"mendeley":{"formattedCitation":"(SILVA; DEWITT, 2019)","manualFormatting":"(2019)","plainTextFormattedCitation":"(SILVA; DEWITT, 2019)","previouslyFormattedCitation":"(SILVA; DEWITT, 2019)"},"properties":{"noteIndex":0},"schema":"https://github.com/citation-style-language/schema/raw/master/csl-citation.json"}</w:instrText>
      </w:r>
      <w:r w:rsidR="00E0477F">
        <w:rPr>
          <w:rFonts w:eastAsiaTheme="minorEastAsia"/>
        </w:rPr>
        <w:fldChar w:fldCharType="separate"/>
      </w:r>
      <w:r w:rsidR="00E0477F">
        <w:rPr>
          <w:rFonts w:eastAsiaTheme="minorEastAsia"/>
          <w:noProof/>
        </w:rPr>
        <w:t>(</w:t>
      </w:r>
      <w:r w:rsidR="00E0477F" w:rsidRPr="00E0477F">
        <w:rPr>
          <w:rFonts w:eastAsiaTheme="minorEastAsia"/>
          <w:noProof/>
        </w:rPr>
        <w:t>2019)</w:t>
      </w:r>
      <w:r w:rsidR="00E0477F">
        <w:rPr>
          <w:rFonts w:eastAsiaTheme="minorEastAsia"/>
        </w:rPr>
        <w:fldChar w:fldCharType="end"/>
      </w:r>
      <w:r w:rsidR="00E0477F">
        <w:rPr>
          <w:rFonts w:eastAsiaTheme="minorEastAsia"/>
        </w:rPr>
        <w:t>.</w:t>
      </w:r>
    </w:p>
    <w:p w14:paraId="70D4D52D" w14:textId="11B97243" w:rsidR="00C943B4" w:rsidRDefault="0023310A" w:rsidP="00C570E0">
      <w:pPr>
        <w:spacing w:line="360" w:lineRule="auto"/>
        <w:ind w:firstLine="851"/>
        <w:jc w:val="both"/>
        <w:rPr>
          <w:rFonts w:eastAsiaTheme="minorEastAsia"/>
        </w:rPr>
      </w:pPr>
      <w:r w:rsidRPr="000C0613">
        <w:rPr>
          <w:rFonts w:eastAsiaTheme="minorEastAsia"/>
        </w:rPr>
        <w:t>Diante disso</w:t>
      </w:r>
      <w:r w:rsidR="000C0613" w:rsidRPr="000C0613">
        <w:rPr>
          <w:rFonts w:eastAsiaTheme="minorEastAsia"/>
        </w:rPr>
        <w:t>,</w:t>
      </w:r>
      <w:r w:rsidRPr="000C0613">
        <w:rPr>
          <w:rFonts w:eastAsiaTheme="minorEastAsia"/>
        </w:rPr>
        <w:t xml:space="preserve"> adotou-se como possíveis candidatos à formação da unidade sintética os países dos BRICS</w:t>
      </w:r>
      <w:r w:rsidR="006A0DF5">
        <w:rPr>
          <w:rFonts w:eastAsiaTheme="minorEastAsia"/>
        </w:rPr>
        <w:t>, México</w:t>
      </w:r>
      <w:r w:rsidRPr="000C0613">
        <w:rPr>
          <w:rFonts w:eastAsiaTheme="minorEastAsia"/>
        </w:rPr>
        <w:t xml:space="preserve"> e os países da </w:t>
      </w:r>
      <w:r w:rsidR="003E53A9" w:rsidRPr="000C0613">
        <w:rPr>
          <w:rFonts w:eastAsiaTheme="minorEastAsia"/>
        </w:rPr>
        <w:t xml:space="preserve">América </w:t>
      </w:r>
      <w:r w:rsidR="006A0DF5">
        <w:rPr>
          <w:rFonts w:eastAsiaTheme="minorEastAsia"/>
        </w:rPr>
        <w:t xml:space="preserve">do Sul. </w:t>
      </w:r>
      <w:r w:rsidR="00C943B4">
        <w:rPr>
          <w:rFonts w:eastAsiaTheme="minorEastAsia"/>
        </w:rPr>
        <w:t xml:space="preserve">A argumentação para a escolha desses países se deve ao fato de que os países da América do sul e México obtiveram um interesse internacional após as reformas da década de 90. Em relação aos BRICS a explicação é semelhante, uma vez que o interesse internacional nesses últimos vinte anos justificou a transformação </w:t>
      </w:r>
      <w:r w:rsidR="00611AFA">
        <w:rPr>
          <w:rFonts w:eastAsiaTheme="minorEastAsia"/>
        </w:rPr>
        <w:t>destes países</w:t>
      </w:r>
      <w:r w:rsidR="00C943B4">
        <w:rPr>
          <w:rFonts w:eastAsiaTheme="minorEastAsia"/>
        </w:rPr>
        <w:t xml:space="preserve"> em um grupo.</w:t>
      </w:r>
    </w:p>
    <w:p w14:paraId="3003082C" w14:textId="3CA809E3" w:rsidR="0023310A" w:rsidRDefault="00C943B4" w:rsidP="00C570E0">
      <w:pPr>
        <w:spacing w:line="360" w:lineRule="auto"/>
        <w:ind w:firstLine="851"/>
        <w:jc w:val="both"/>
        <w:rPr>
          <w:rFonts w:eastAsiaTheme="minorEastAsia"/>
        </w:rPr>
      </w:pPr>
      <w:r>
        <w:rPr>
          <w:rFonts w:eastAsiaTheme="minorEastAsia"/>
        </w:rPr>
        <w:t>Contudo, d</w:t>
      </w:r>
      <w:r w:rsidR="0023310A" w:rsidRPr="000C0613">
        <w:rPr>
          <w:rFonts w:eastAsiaTheme="minorEastAsia"/>
        </w:rPr>
        <w:t xml:space="preserve">ois países foram retirados dessa relação: Venezuela e </w:t>
      </w:r>
      <w:r w:rsidR="000C0613">
        <w:rPr>
          <w:rFonts w:eastAsiaTheme="minorEastAsia"/>
        </w:rPr>
        <w:t>Índia</w:t>
      </w:r>
      <w:r w:rsidR="0023310A" w:rsidRPr="000C0613">
        <w:rPr>
          <w:rFonts w:eastAsiaTheme="minorEastAsia"/>
        </w:rPr>
        <w:t xml:space="preserve">. Em relação à </w:t>
      </w:r>
      <w:r w:rsidR="00611AFA">
        <w:rPr>
          <w:rFonts w:eastAsiaTheme="minorEastAsia"/>
        </w:rPr>
        <w:t>este último p</w:t>
      </w:r>
      <w:r w:rsidR="001A3167">
        <w:rPr>
          <w:rFonts w:eastAsiaTheme="minorEastAsia"/>
        </w:rPr>
        <w:t>aís</w:t>
      </w:r>
      <w:r w:rsidR="0023310A" w:rsidRPr="000C0613">
        <w:rPr>
          <w:rFonts w:eastAsiaTheme="minorEastAsia"/>
        </w:rPr>
        <w:t xml:space="preserve">, é recomendado que se </w:t>
      </w:r>
      <w:r w:rsidR="00611AFA" w:rsidRPr="000C0613">
        <w:rPr>
          <w:rFonts w:eastAsiaTheme="minorEastAsia"/>
        </w:rPr>
        <w:t>retirasse</w:t>
      </w:r>
      <w:r w:rsidR="0023310A" w:rsidRPr="000C0613">
        <w:rPr>
          <w:rFonts w:eastAsiaTheme="minorEastAsia"/>
        </w:rPr>
        <w:t xml:space="preserve"> de “</w:t>
      </w:r>
      <w:proofErr w:type="spellStart"/>
      <w:r w:rsidR="0023310A" w:rsidRPr="000C0613">
        <w:rPr>
          <w:rFonts w:eastAsiaTheme="minorEastAsia"/>
          <w:i/>
        </w:rPr>
        <w:t>donor</w:t>
      </w:r>
      <w:proofErr w:type="spellEnd"/>
      <w:r w:rsidR="0023310A" w:rsidRPr="000C0613">
        <w:rPr>
          <w:rFonts w:eastAsiaTheme="minorEastAsia"/>
          <w:i/>
        </w:rPr>
        <w:t xml:space="preserve"> pool”</w:t>
      </w:r>
      <w:r w:rsidR="0023310A" w:rsidRPr="000C0613">
        <w:rPr>
          <w:rFonts w:eastAsiaTheme="minorEastAsia"/>
        </w:rPr>
        <w:t xml:space="preserve"> países que </w:t>
      </w:r>
      <w:r w:rsidR="0023310A" w:rsidRPr="000C0613">
        <w:rPr>
          <w:rFonts w:eastAsiaTheme="minorEastAsia"/>
        </w:rPr>
        <w:lastRenderedPageBreak/>
        <w:t>tivera</w:t>
      </w:r>
      <w:r w:rsidR="007C4EE1" w:rsidRPr="000C0613">
        <w:rPr>
          <w:rFonts w:eastAsiaTheme="minorEastAsia"/>
        </w:rPr>
        <w:t>m intervenções similares</w:t>
      </w:r>
      <w:r w:rsidR="003E53A9" w:rsidRPr="000C0613">
        <w:rPr>
          <w:rFonts w:eastAsiaTheme="minorEastAsia"/>
        </w:rPr>
        <w:t xml:space="preserve"> ao objeto de estudo </w:t>
      </w:r>
      <w:r w:rsidR="002C442C" w:rsidRPr="000C0613">
        <w:rPr>
          <w:rFonts w:eastAsiaTheme="minorEastAsia"/>
        </w:rPr>
        <w:fldChar w:fldCharType="begin" w:fldLock="1"/>
      </w:r>
      <w:r w:rsidR="000C0613">
        <w:rPr>
          <w:rFonts w:eastAsiaTheme="minorEastAsia"/>
        </w:rPr>
        <w:instrText>ADDIN CSL_CITATION {"citationItems":[{"id":"ITEM-1","itemData":{"DOI":"10.1111/ajps.12116","ISSN":"15405907","abstract":"In recent years, a widespread consensus has emerged about the necessity of establishing bridges between quantitative and qualitative approaches to empirical research in political science. In this article, we discuss the use of the synthetic control method as a way to bridge the quantitative/qualitative divide in comparative politics. The synthetic control method provides a systematic way to choose comparison units in comparative case studies. This systematization opens the door to precise quantitative inference in small-sample comparative studies, without precluding the application of qualitative approaches. Borrowing the expression from Sidney Tarrow, the synthetic control method allows researchers to put \"qualitative flesh on quantitative bones.\" We illustrate the main ideas behind the synthetic control method by estimating the economic impact of the 1990 German reunification on West Germany.","author":[{"dropping-particle":"","family":"Abadie","given":"Alberto","non-dropping-particle":"","parse-names":false,"suffix":""},{"dropping-particle":"","family":"Diamond","given":"Alexis","non-dropping-particle":"","parse-names":false,"suffix":""},{"dropping-particle":"","family":"Hainmueller","given":"Jens","non-dropping-particle":"","parse-names":false,"suffix":""}],"container-title":"American Journal of Political Science","id":"ITEM-1","issue":"2","issued":{"date-parts":[["2015"]]},"page":"495-510","title":"Comparative Politics and the Synthetic Control Method","type":"article-journal","volume":"59"},"uris":["http://www.mendeley.com/documents/?uuid=7acb4008-94c1-46b6-ada7-c5683ce3ec42"]}],"mendeley":{"formattedCitation":"(ABADIE; DIAMOND; HAINMUELLER, 2015)","plainTextFormattedCitation":"(ABADIE; DIAMOND; HAINMUELLER, 2015)","previouslyFormattedCitation":"(ABADIE; DIAMOND; HAINMUELLER, 2015)"},"properties":{"noteIndex":0},"schema":"https://github.com/citation-style-language/schema/raw/master/csl-citation.json"}</w:instrText>
      </w:r>
      <w:r w:rsidR="002C442C" w:rsidRPr="000C0613">
        <w:rPr>
          <w:rFonts w:eastAsiaTheme="minorEastAsia"/>
        </w:rPr>
        <w:fldChar w:fldCharType="separate"/>
      </w:r>
      <w:r w:rsidR="002C442C" w:rsidRPr="000C0613">
        <w:rPr>
          <w:rFonts w:eastAsiaTheme="minorEastAsia"/>
          <w:noProof/>
        </w:rPr>
        <w:t>(ABADIE; DIAMOND; HAINMUELLER, 2015)</w:t>
      </w:r>
      <w:r w:rsidR="002C442C" w:rsidRPr="000C0613">
        <w:rPr>
          <w:rFonts w:eastAsiaTheme="minorEastAsia"/>
        </w:rPr>
        <w:fldChar w:fldCharType="end"/>
      </w:r>
      <w:r w:rsidR="000C0613" w:rsidRPr="000C0613">
        <w:rPr>
          <w:rFonts w:eastAsiaTheme="minorEastAsia"/>
        </w:rPr>
        <w:t>.</w:t>
      </w:r>
      <w:r w:rsidR="0023310A" w:rsidRPr="000C0613">
        <w:rPr>
          <w:rFonts w:eastAsiaTheme="minorEastAsia"/>
        </w:rPr>
        <w:t xml:space="preserve"> </w:t>
      </w:r>
      <w:r w:rsidR="000C0613" w:rsidRPr="000C0613">
        <w:rPr>
          <w:rFonts w:eastAsiaTheme="minorEastAsia"/>
        </w:rPr>
        <w:t>D</w:t>
      </w:r>
      <w:r w:rsidR="002C442C" w:rsidRPr="000C0613">
        <w:rPr>
          <w:rFonts w:eastAsiaTheme="minorEastAsia"/>
        </w:rPr>
        <w:t xml:space="preserve">e fato, </w:t>
      </w:r>
      <w:r w:rsidR="000C0613" w:rsidRPr="000C0613">
        <w:rPr>
          <w:rFonts w:eastAsiaTheme="minorEastAsia"/>
        </w:rPr>
        <w:t>ocorreram</w:t>
      </w:r>
      <w:r w:rsidR="002C442C" w:rsidRPr="000C0613">
        <w:rPr>
          <w:rFonts w:eastAsiaTheme="minorEastAsia"/>
        </w:rPr>
        <w:t xml:space="preserve"> neste país </w:t>
      </w:r>
      <w:r w:rsidR="000C0613">
        <w:rPr>
          <w:rFonts w:eastAsiaTheme="minorEastAsia"/>
        </w:rPr>
        <w:t>diversas</w:t>
      </w:r>
      <w:r w:rsidR="0023310A" w:rsidRPr="000C0613">
        <w:rPr>
          <w:rFonts w:eastAsiaTheme="minorEastAsia"/>
        </w:rPr>
        <w:t xml:space="preserve"> regulamentações em relação </w:t>
      </w:r>
      <w:r w:rsidR="000C0613">
        <w:rPr>
          <w:rFonts w:eastAsiaTheme="minorEastAsia"/>
        </w:rPr>
        <w:t>ao controle</w:t>
      </w:r>
      <w:r w:rsidR="0023310A" w:rsidRPr="000C0613">
        <w:rPr>
          <w:rFonts w:eastAsiaTheme="minorEastAsia"/>
        </w:rPr>
        <w:t xml:space="preserve"> de atos de concentração no ano de 2011</w:t>
      </w:r>
      <w:r w:rsidR="003E53A9" w:rsidRPr="000C0613">
        <w:rPr>
          <w:rFonts w:eastAsiaTheme="minorEastAsia"/>
        </w:rPr>
        <w:t xml:space="preserve"> </w:t>
      </w:r>
      <w:r w:rsidR="00034DE7">
        <w:rPr>
          <w:rFonts w:eastAsiaTheme="minorEastAsia"/>
        </w:rPr>
        <w:fldChar w:fldCharType="begin" w:fldLock="1"/>
      </w:r>
      <w:r w:rsidR="00E0477F">
        <w:rPr>
          <w:rFonts w:eastAsiaTheme="minorEastAsia"/>
        </w:rPr>
        <w:instrText>ADDIN CSL_CITATION {"citationItems":[{"id":"ITEM-1","itemData":{"abstract":"Procedure in regard to the transaction of business relating to combinations","author":[{"dropping-particle":"","family":"India","given":"","non-dropping-particle":"","parse-names":false,"suffix":""}],"container-title":"The Competition Commission of India","id":"ITEM-1","issued":{"date-parts":[["2011"]]},"publisher-place":"New Delh","title":"The Competition Commission of India Regulations","type":"bill","volume":"PART III,"},"uris":["http://www.mendeley.com/documents/?uuid=96ce33aa-5ccc-4219-88be-d8f19f68b791"]}],"mendeley":{"formattedCitation":"(INDIA, 2011)","plainTextFormattedCitation":"(INDIA, 2011)","previouslyFormattedCitation":"(INDIA, 2011)"},"properties":{"noteIndex":0},"schema":"https://github.com/citation-style-language/schema/raw/master/csl-citation.json"}</w:instrText>
      </w:r>
      <w:r w:rsidR="00034DE7">
        <w:rPr>
          <w:rFonts w:eastAsiaTheme="minorEastAsia"/>
        </w:rPr>
        <w:fldChar w:fldCharType="separate"/>
      </w:r>
      <w:r w:rsidR="00034DE7" w:rsidRPr="00034DE7">
        <w:rPr>
          <w:rFonts w:eastAsiaTheme="minorEastAsia"/>
          <w:noProof/>
        </w:rPr>
        <w:t>(INDIA, 2011)</w:t>
      </w:r>
      <w:r w:rsidR="00034DE7">
        <w:rPr>
          <w:rFonts w:eastAsiaTheme="minorEastAsia"/>
        </w:rPr>
        <w:fldChar w:fldCharType="end"/>
      </w:r>
      <w:r w:rsidR="00034DE7">
        <w:rPr>
          <w:rFonts w:eastAsiaTheme="minorEastAsia"/>
        </w:rPr>
        <w:t>.</w:t>
      </w:r>
      <w:r w:rsidR="003E53A9" w:rsidRPr="000C0613">
        <w:rPr>
          <w:rFonts w:eastAsiaTheme="minorEastAsia"/>
          <w:color w:val="FF0000"/>
        </w:rPr>
        <w:t xml:space="preserve"> </w:t>
      </w:r>
      <w:r w:rsidR="003E53A9" w:rsidRPr="000C0613">
        <w:rPr>
          <w:rFonts w:eastAsiaTheme="minorEastAsia"/>
        </w:rPr>
        <w:t xml:space="preserve">No caso da Venezuela, </w:t>
      </w:r>
      <w:r w:rsidR="00611AFA">
        <w:rPr>
          <w:rFonts w:eastAsiaTheme="minorEastAsia"/>
        </w:rPr>
        <w:t>há uma desconfiança em relação aos dados oficiais disponíveis no últimos anos e, portanto, por prudência, não serão utilizado dados deste país</w:t>
      </w:r>
      <w:r w:rsidR="000C0613" w:rsidRPr="000C0613">
        <w:rPr>
          <w:rFonts w:eastAsiaTheme="minorEastAsia"/>
        </w:rPr>
        <w:t>.</w:t>
      </w:r>
      <w:r w:rsidR="00611AFA">
        <w:rPr>
          <w:rFonts w:eastAsiaTheme="minorEastAsia"/>
        </w:rPr>
        <w:t xml:space="preserve"> Cabe destacar, por fim, que o</w:t>
      </w:r>
      <w:r w:rsidR="000C0613" w:rsidRPr="000C0613">
        <w:rPr>
          <w:rFonts w:eastAsiaTheme="minorEastAsia"/>
        </w:rPr>
        <w:t xml:space="preserve"> modelo de otimização aceita que haja falta de informações em alguns anos, </w:t>
      </w:r>
      <w:r w:rsidR="000C0613">
        <w:rPr>
          <w:rFonts w:eastAsiaTheme="minorEastAsia"/>
        </w:rPr>
        <w:t>mas não em todos os anos</w:t>
      </w:r>
      <w:r w:rsidR="000C0613" w:rsidRPr="000C0613">
        <w:rPr>
          <w:rFonts w:eastAsiaTheme="minorEastAsia"/>
        </w:rPr>
        <w:t>.</w:t>
      </w:r>
    </w:p>
    <w:p w14:paraId="7F5D5E51" w14:textId="29FC9380" w:rsidR="00C62432" w:rsidRPr="00C62432" w:rsidRDefault="00C62432" w:rsidP="00C570E0">
      <w:pPr>
        <w:spacing w:line="360" w:lineRule="auto"/>
        <w:ind w:firstLine="851"/>
        <w:jc w:val="both"/>
        <w:rPr>
          <w:rFonts w:eastAsiaTheme="minorEastAsia"/>
        </w:rPr>
      </w:pPr>
      <w:r>
        <w:rPr>
          <w:rFonts w:eastAsiaTheme="minorEastAsia"/>
        </w:rPr>
        <w:t xml:space="preserve">Quantos as </w:t>
      </w:r>
      <w:proofErr w:type="spellStart"/>
      <w:r>
        <w:rPr>
          <w:rFonts w:eastAsiaTheme="minorEastAsia"/>
        </w:rPr>
        <w:t>covariadas</w:t>
      </w:r>
      <w:proofErr w:type="spellEnd"/>
      <w:r>
        <w:rPr>
          <w:rFonts w:eastAsiaTheme="minorEastAsia"/>
        </w:rPr>
        <w:t xml:space="preserve"> selecionadas, foram usada neste trabalho os seguinte indicadores do WDI: </w:t>
      </w:r>
      <w:r w:rsidRPr="00C62432">
        <w:rPr>
          <w:rFonts w:eastAsiaTheme="minorEastAsia"/>
          <w:i/>
        </w:rPr>
        <w:t>GDP per capita (</w:t>
      </w:r>
      <w:proofErr w:type="spellStart"/>
      <w:proofErr w:type="gramStart"/>
      <w:r w:rsidRPr="00C62432">
        <w:rPr>
          <w:rFonts w:eastAsiaTheme="minorEastAsia"/>
          <w:i/>
        </w:rPr>
        <w:t>constant</w:t>
      </w:r>
      <w:proofErr w:type="spellEnd"/>
      <w:proofErr w:type="gramEnd"/>
      <w:r w:rsidRPr="00C62432">
        <w:rPr>
          <w:rFonts w:eastAsiaTheme="minorEastAsia"/>
          <w:i/>
        </w:rPr>
        <w:t xml:space="preserve"> 2010 US$)</w:t>
      </w:r>
      <w:r>
        <w:rPr>
          <w:rFonts w:eastAsiaTheme="minorEastAsia"/>
          <w:i/>
        </w:rPr>
        <w:t xml:space="preserve">, </w:t>
      </w:r>
      <w:r w:rsidRPr="00C62432">
        <w:rPr>
          <w:rFonts w:eastAsiaTheme="minorEastAsia"/>
          <w:i/>
        </w:rPr>
        <w:t xml:space="preserve">GDP </w:t>
      </w:r>
      <w:proofErr w:type="spellStart"/>
      <w:r w:rsidRPr="00C62432">
        <w:rPr>
          <w:rFonts w:eastAsiaTheme="minorEastAsia"/>
          <w:i/>
        </w:rPr>
        <w:t>growth</w:t>
      </w:r>
      <w:proofErr w:type="spellEnd"/>
      <w:r w:rsidRPr="00C62432">
        <w:rPr>
          <w:rFonts w:eastAsiaTheme="minorEastAsia"/>
          <w:i/>
        </w:rPr>
        <w:t xml:space="preserve"> (</w:t>
      </w:r>
      <w:proofErr w:type="spellStart"/>
      <w:r w:rsidRPr="00C62432">
        <w:rPr>
          <w:rFonts w:eastAsiaTheme="minorEastAsia"/>
          <w:i/>
        </w:rPr>
        <w:t>annual</w:t>
      </w:r>
      <w:proofErr w:type="spellEnd"/>
      <w:r w:rsidRPr="00C62432">
        <w:rPr>
          <w:rFonts w:eastAsiaTheme="minorEastAsia"/>
          <w:i/>
        </w:rPr>
        <w:t xml:space="preserve"> %)</w:t>
      </w:r>
      <w:r>
        <w:rPr>
          <w:rFonts w:eastAsiaTheme="minorEastAsia"/>
          <w:i/>
        </w:rPr>
        <w:t xml:space="preserve">, </w:t>
      </w:r>
      <w:proofErr w:type="spellStart"/>
      <w:r w:rsidRPr="00C62432">
        <w:rPr>
          <w:rFonts w:eastAsiaTheme="minorEastAsia"/>
          <w:i/>
        </w:rPr>
        <w:t>Foreign</w:t>
      </w:r>
      <w:proofErr w:type="spellEnd"/>
      <w:r w:rsidRPr="00C62432">
        <w:rPr>
          <w:rFonts w:eastAsiaTheme="minorEastAsia"/>
          <w:i/>
        </w:rPr>
        <w:t xml:space="preserve"> </w:t>
      </w:r>
      <w:proofErr w:type="spellStart"/>
      <w:r w:rsidRPr="00C62432">
        <w:rPr>
          <w:rFonts w:eastAsiaTheme="minorEastAsia"/>
          <w:i/>
        </w:rPr>
        <w:t>direct</w:t>
      </w:r>
      <w:proofErr w:type="spellEnd"/>
      <w:r w:rsidRPr="00C62432">
        <w:rPr>
          <w:rFonts w:eastAsiaTheme="minorEastAsia"/>
          <w:i/>
        </w:rPr>
        <w:t xml:space="preserve"> </w:t>
      </w:r>
      <w:proofErr w:type="spellStart"/>
      <w:r w:rsidRPr="00C62432">
        <w:rPr>
          <w:rFonts w:eastAsiaTheme="minorEastAsia"/>
          <w:i/>
        </w:rPr>
        <w:t>investment</w:t>
      </w:r>
      <w:proofErr w:type="spellEnd"/>
      <w:r w:rsidRPr="00C62432">
        <w:rPr>
          <w:rFonts w:eastAsiaTheme="minorEastAsia"/>
          <w:i/>
        </w:rPr>
        <w:t xml:space="preserve">, net </w:t>
      </w:r>
      <w:proofErr w:type="spellStart"/>
      <w:r w:rsidRPr="00C62432">
        <w:rPr>
          <w:rFonts w:eastAsiaTheme="minorEastAsia"/>
          <w:i/>
        </w:rPr>
        <w:t>inflows</w:t>
      </w:r>
      <w:proofErr w:type="spellEnd"/>
      <w:r w:rsidRPr="00C62432">
        <w:rPr>
          <w:rFonts w:eastAsiaTheme="minorEastAsia"/>
          <w:i/>
        </w:rPr>
        <w:t xml:space="preserve"> (% </w:t>
      </w:r>
      <w:proofErr w:type="spellStart"/>
      <w:r w:rsidRPr="00C62432">
        <w:rPr>
          <w:rFonts w:eastAsiaTheme="minorEastAsia"/>
          <w:i/>
        </w:rPr>
        <w:t>of</w:t>
      </w:r>
      <w:proofErr w:type="spellEnd"/>
      <w:r w:rsidRPr="00C62432">
        <w:rPr>
          <w:rFonts w:eastAsiaTheme="minorEastAsia"/>
          <w:i/>
        </w:rPr>
        <w:t xml:space="preserve"> GDP)</w:t>
      </w:r>
      <w:r>
        <w:rPr>
          <w:rFonts w:eastAsiaTheme="minorEastAsia"/>
          <w:i/>
        </w:rPr>
        <w:t xml:space="preserve">, </w:t>
      </w:r>
      <w:r w:rsidRPr="00C62432">
        <w:rPr>
          <w:rFonts w:eastAsiaTheme="minorEastAsia"/>
          <w:i/>
        </w:rPr>
        <w:t xml:space="preserve">Final </w:t>
      </w:r>
      <w:proofErr w:type="spellStart"/>
      <w:r w:rsidRPr="00C62432">
        <w:rPr>
          <w:rFonts w:eastAsiaTheme="minorEastAsia"/>
          <w:i/>
        </w:rPr>
        <w:t>consumption</w:t>
      </w:r>
      <w:proofErr w:type="spellEnd"/>
      <w:r w:rsidRPr="00C62432">
        <w:rPr>
          <w:rFonts w:eastAsiaTheme="minorEastAsia"/>
          <w:i/>
        </w:rPr>
        <w:t xml:space="preserve"> </w:t>
      </w:r>
      <w:proofErr w:type="spellStart"/>
      <w:r w:rsidRPr="00C62432">
        <w:rPr>
          <w:rFonts w:eastAsiaTheme="minorEastAsia"/>
          <w:i/>
        </w:rPr>
        <w:t>expenditure</w:t>
      </w:r>
      <w:proofErr w:type="spellEnd"/>
      <w:r w:rsidRPr="00C62432">
        <w:rPr>
          <w:rFonts w:eastAsiaTheme="minorEastAsia"/>
          <w:i/>
        </w:rPr>
        <w:t xml:space="preserve"> (</w:t>
      </w:r>
      <w:proofErr w:type="spellStart"/>
      <w:r w:rsidRPr="00C62432">
        <w:rPr>
          <w:rFonts w:eastAsiaTheme="minorEastAsia"/>
          <w:i/>
        </w:rPr>
        <w:t>annual</w:t>
      </w:r>
      <w:proofErr w:type="spellEnd"/>
      <w:r w:rsidRPr="00C62432">
        <w:rPr>
          <w:rFonts w:eastAsiaTheme="minorEastAsia"/>
          <w:i/>
        </w:rPr>
        <w:t xml:space="preserve"> % </w:t>
      </w:r>
      <w:proofErr w:type="spellStart"/>
      <w:r w:rsidRPr="00C62432">
        <w:rPr>
          <w:rFonts w:eastAsiaTheme="minorEastAsia"/>
          <w:i/>
        </w:rPr>
        <w:t>growth</w:t>
      </w:r>
      <w:proofErr w:type="spellEnd"/>
      <w:r w:rsidRPr="00C62432">
        <w:rPr>
          <w:rFonts w:eastAsiaTheme="minorEastAsia"/>
          <w:i/>
        </w:rPr>
        <w:t>)</w:t>
      </w:r>
      <w:r>
        <w:rPr>
          <w:rFonts w:eastAsiaTheme="minorEastAsia"/>
          <w:i/>
        </w:rPr>
        <w:t xml:space="preserve">. </w:t>
      </w:r>
      <w:r w:rsidRPr="00C62432">
        <w:rPr>
          <w:rFonts w:eastAsiaTheme="minorEastAsia"/>
        </w:rPr>
        <w:t>Além disso, como já citado</w:t>
      </w:r>
      <w:r w:rsidR="00C943B4">
        <w:rPr>
          <w:rFonts w:eastAsiaTheme="minorEastAsia"/>
        </w:rPr>
        <w:t>,</w:t>
      </w:r>
      <w:r w:rsidRPr="00C62432">
        <w:rPr>
          <w:rFonts w:eastAsiaTheme="minorEastAsia"/>
        </w:rPr>
        <w:t xml:space="preserve"> foi utilizado as informações do </w:t>
      </w:r>
      <w:r>
        <w:rPr>
          <w:rFonts w:eastAsiaTheme="minorEastAsia"/>
        </w:rPr>
        <w:t>Í</w:t>
      </w:r>
      <w:r w:rsidRPr="000C0613">
        <w:rPr>
          <w:rFonts w:eastAsiaTheme="minorEastAsia"/>
        </w:rPr>
        <w:t>ndice</w:t>
      </w:r>
      <w:r>
        <w:rPr>
          <w:rFonts w:eastAsiaTheme="minorEastAsia"/>
        </w:rPr>
        <w:t xml:space="preserve"> de Liberdade E</w:t>
      </w:r>
      <w:r w:rsidRPr="000C0613">
        <w:rPr>
          <w:rFonts w:eastAsiaTheme="minorEastAsia"/>
        </w:rPr>
        <w:t xml:space="preserve">conômica da Fundação </w:t>
      </w:r>
      <w:proofErr w:type="spellStart"/>
      <w:r w:rsidRPr="000C0613">
        <w:rPr>
          <w:rFonts w:eastAsiaTheme="minorEastAsia"/>
        </w:rPr>
        <w:t>Heritage</w:t>
      </w:r>
      <w:proofErr w:type="spellEnd"/>
      <w:r>
        <w:rPr>
          <w:rFonts w:eastAsiaTheme="minorEastAsia"/>
        </w:rPr>
        <w:t>,</w:t>
      </w:r>
      <w:r w:rsidRPr="000C0613">
        <w:rPr>
          <w:rFonts w:eastAsiaTheme="minorEastAsia"/>
        </w:rPr>
        <w:t xml:space="preserve"> </w:t>
      </w:r>
      <w:r w:rsidR="00C943B4">
        <w:rPr>
          <w:rFonts w:eastAsiaTheme="minorEastAsia"/>
        </w:rPr>
        <w:fldChar w:fldCharType="begin" w:fldLock="1"/>
      </w:r>
      <w:r w:rsidR="00C943B4">
        <w:rPr>
          <w:rFonts w:eastAsiaTheme="minorEastAsia"/>
        </w:rPr>
        <w:instrText>ADDIN CSL_CITATION {"citationItems":[{"id":"ITEM-1","itemData":{"URL":"https://www.heritage.org/index/explore","accessed":{"date-parts":[["2020","6","1"]]},"author":[{"dropping-particle":"","family":"Heritage","given":"Foundation","non-dropping-particle":"","parse-names":false,"suffix":""}],"container-title":"Heritage Foundation","id":"ITEM-1","issued":{"date-parts":[["2020"]]},"title":"Index of Economic Freedom Datasets","type":"webpage"},"uris":["http://www.mendeley.com/documents/?uuid=032e6af7-ecd5-4b7e-835e-4f4a891858b2"]}],"mendeley":{"formattedCitation":"(HERITAGE, 2020)","manualFormatting":"(2020)","plainTextFormattedCitation":"(HERITAGE, 2020)","previouslyFormattedCitation":"(HERITAGE, 2020)"},"properties":{"noteIndex":0},"schema":"https://github.com/citation-style-language/schema/raw/master/csl-citation.json"}</w:instrText>
      </w:r>
      <w:r w:rsidR="00C943B4">
        <w:rPr>
          <w:rFonts w:eastAsiaTheme="minorEastAsia"/>
        </w:rPr>
        <w:fldChar w:fldCharType="separate"/>
      </w:r>
      <w:r w:rsidR="00C943B4">
        <w:rPr>
          <w:rFonts w:eastAsiaTheme="minorEastAsia"/>
          <w:noProof/>
        </w:rPr>
        <w:t>(</w:t>
      </w:r>
      <w:r w:rsidR="00C943B4" w:rsidRPr="00C943B4">
        <w:rPr>
          <w:rFonts w:eastAsiaTheme="minorEastAsia"/>
          <w:noProof/>
        </w:rPr>
        <w:t>2020)</w:t>
      </w:r>
      <w:r w:rsidR="00C943B4">
        <w:rPr>
          <w:rFonts w:eastAsiaTheme="minorEastAsia"/>
        </w:rPr>
        <w:fldChar w:fldCharType="end"/>
      </w:r>
      <w:r w:rsidRPr="000C0613">
        <w:rPr>
          <w:rFonts w:eastAsiaTheme="minorEastAsia"/>
        </w:rPr>
        <w:t>.</w:t>
      </w:r>
    </w:p>
    <w:p w14:paraId="3BF83D91" w14:textId="77777777" w:rsidR="00490E59" w:rsidRPr="000C0613" w:rsidRDefault="00490E59" w:rsidP="00C570E0">
      <w:pPr>
        <w:pStyle w:val="PargrafodaLista"/>
        <w:spacing w:line="360" w:lineRule="auto"/>
        <w:jc w:val="both"/>
        <w:rPr>
          <w:rFonts w:ascii="Times New Roman" w:hAnsi="Times New Roman" w:cs="Times New Roman"/>
          <w:b/>
          <w:smallCaps/>
          <w:sz w:val="24"/>
          <w:szCs w:val="24"/>
        </w:rPr>
      </w:pPr>
    </w:p>
    <w:p w14:paraId="3D5EAC22" w14:textId="73366D8E" w:rsidR="00BC06F8" w:rsidRPr="000C0613" w:rsidRDefault="00290949" w:rsidP="00290949">
      <w:pPr>
        <w:pStyle w:val="PargrafodaLista"/>
        <w:numPr>
          <w:ilvl w:val="0"/>
          <w:numId w:val="12"/>
        </w:numPr>
        <w:spacing w:line="360" w:lineRule="auto"/>
        <w:jc w:val="both"/>
        <w:outlineLvl w:val="0"/>
        <w:rPr>
          <w:rFonts w:ascii="Times New Roman" w:hAnsi="Times New Roman" w:cs="Times New Roman"/>
          <w:sz w:val="24"/>
          <w:szCs w:val="24"/>
        </w:rPr>
      </w:pPr>
      <w:r w:rsidRPr="000C0613">
        <w:rPr>
          <w:rFonts w:ascii="Times New Roman" w:hAnsi="Times New Roman" w:cs="Times New Roman"/>
          <w:b/>
          <w:smallCaps/>
          <w:sz w:val="24"/>
          <w:szCs w:val="24"/>
        </w:rPr>
        <w:t xml:space="preserve"> </w:t>
      </w:r>
      <w:bookmarkStart w:id="7" w:name="_Toc51774598"/>
      <w:r w:rsidRPr="000C0613">
        <w:rPr>
          <w:rFonts w:ascii="Times New Roman" w:hAnsi="Times New Roman" w:cs="Times New Roman"/>
          <w:b/>
          <w:smallCaps/>
          <w:sz w:val="24"/>
          <w:szCs w:val="24"/>
        </w:rPr>
        <w:t>RESULTADOS</w:t>
      </w:r>
      <w:bookmarkEnd w:id="7"/>
      <w:r w:rsidRPr="000C0613">
        <w:rPr>
          <w:rFonts w:ascii="Times New Roman" w:hAnsi="Times New Roman" w:cs="Times New Roman"/>
          <w:b/>
          <w:smallCaps/>
          <w:sz w:val="24"/>
          <w:szCs w:val="24"/>
        </w:rPr>
        <w:t xml:space="preserve"> </w:t>
      </w:r>
    </w:p>
    <w:p w14:paraId="73FE60A0" w14:textId="7CAFFF6E" w:rsidR="006A0DF5" w:rsidRDefault="00486B70" w:rsidP="00486B70">
      <w:pPr>
        <w:spacing w:line="360" w:lineRule="auto"/>
        <w:ind w:firstLine="851"/>
        <w:jc w:val="both"/>
        <w:rPr>
          <w:rFonts w:eastAsiaTheme="minorEastAsia"/>
        </w:rPr>
      </w:pPr>
      <w:r w:rsidRPr="000C0613">
        <w:rPr>
          <w:rFonts w:eastAsiaTheme="minorEastAsia"/>
        </w:rPr>
        <w:t>A primeira</w:t>
      </w:r>
      <w:r w:rsidR="008F02B2">
        <w:rPr>
          <w:rFonts w:eastAsiaTheme="minorEastAsia"/>
        </w:rPr>
        <w:t xml:space="preserve"> etapa da</w:t>
      </w:r>
      <w:r w:rsidRPr="000C0613">
        <w:rPr>
          <w:rFonts w:eastAsiaTheme="minorEastAsia"/>
        </w:rPr>
        <w:t xml:space="preserve"> apresentação</w:t>
      </w:r>
      <w:r w:rsidR="008F02B2">
        <w:rPr>
          <w:rFonts w:eastAsiaTheme="minorEastAsia"/>
        </w:rPr>
        <w:t xml:space="preserve"> dos resultados são as tabelas de pesos em que cada país tem na unidade sintética, ou no Brasil </w:t>
      </w:r>
      <w:r w:rsidR="00EA575C">
        <w:rPr>
          <w:rFonts w:eastAsiaTheme="minorEastAsia"/>
        </w:rPr>
        <w:t>sintético</w:t>
      </w:r>
      <w:r w:rsidR="008F02B2">
        <w:rPr>
          <w:rFonts w:eastAsiaTheme="minorEastAsia"/>
        </w:rPr>
        <w:t xml:space="preserve">. A </w:t>
      </w:r>
      <w:r w:rsidR="00276272">
        <w:rPr>
          <w:rFonts w:eastAsiaTheme="minorEastAsia"/>
        </w:rPr>
        <w:t>Tabela 1</w:t>
      </w:r>
      <w:r w:rsidR="008F02B2">
        <w:rPr>
          <w:rFonts w:eastAsiaTheme="minorEastAsia"/>
        </w:rPr>
        <w:t xml:space="preserve"> mostra a ponderação de cada variável</w:t>
      </w:r>
      <w:r w:rsidR="00276272">
        <w:rPr>
          <w:rFonts w:eastAsiaTheme="minorEastAsia"/>
        </w:rPr>
        <w:t xml:space="preserve"> para predizer a média do número de fusões e aquisições internacionais no Brasil </w:t>
      </w:r>
      <w:r w:rsidR="00EA575C">
        <w:rPr>
          <w:rFonts w:eastAsiaTheme="minorEastAsia"/>
        </w:rPr>
        <w:t>sintético</w:t>
      </w:r>
      <w:r w:rsidR="008F02B2">
        <w:rPr>
          <w:rFonts w:eastAsiaTheme="minorEastAsia"/>
        </w:rPr>
        <w:t>.</w:t>
      </w:r>
      <w:r w:rsidR="00276272" w:rsidRPr="00276272">
        <w:rPr>
          <w:rFonts w:eastAsiaTheme="minorEastAsia"/>
        </w:rPr>
        <w:t xml:space="preserve"> </w:t>
      </w:r>
      <w:r w:rsidR="00276272">
        <w:rPr>
          <w:rFonts w:eastAsiaTheme="minorEastAsia"/>
        </w:rPr>
        <w:t>Já</w:t>
      </w:r>
      <w:r w:rsidR="00276272" w:rsidRPr="000C0613">
        <w:rPr>
          <w:rFonts w:eastAsiaTheme="minorEastAsia"/>
        </w:rPr>
        <w:t xml:space="preserve"> </w:t>
      </w:r>
      <w:r w:rsidR="00276272">
        <w:rPr>
          <w:rFonts w:eastAsiaTheme="minorEastAsia"/>
        </w:rPr>
        <w:t>a Tabela 2 mostra</w:t>
      </w:r>
      <w:r w:rsidR="00276272" w:rsidRPr="000C0613">
        <w:rPr>
          <w:rFonts w:eastAsiaTheme="minorEastAsia"/>
        </w:rPr>
        <w:t xml:space="preserve"> ponderação</w:t>
      </w:r>
      <w:r w:rsidR="00276272">
        <w:rPr>
          <w:rFonts w:eastAsiaTheme="minorEastAsia"/>
        </w:rPr>
        <w:t xml:space="preserve"> de cada país para este mesma unidade sintética. Dessa forma, o</w:t>
      </w:r>
      <w:r w:rsidR="008F02B2">
        <w:rPr>
          <w:rFonts w:eastAsiaTheme="minorEastAsia"/>
        </w:rPr>
        <w:t>s dois maiores pesos</w:t>
      </w:r>
      <w:r w:rsidR="00276272">
        <w:rPr>
          <w:rFonts w:eastAsiaTheme="minorEastAsia"/>
        </w:rPr>
        <w:t xml:space="preserve"> quanto as variáveis são o</w:t>
      </w:r>
      <w:r w:rsidR="008F02B2">
        <w:rPr>
          <w:rFonts w:eastAsiaTheme="minorEastAsia"/>
        </w:rPr>
        <w:t xml:space="preserve"> Investimento Estrangeiro Direto e o PIB per capita</w:t>
      </w:r>
      <w:r w:rsidR="00276272">
        <w:rPr>
          <w:rFonts w:eastAsiaTheme="minorEastAsia"/>
        </w:rPr>
        <w:t>. Em relação às unidades de controle, os</w:t>
      </w:r>
      <w:r w:rsidR="008F02B2">
        <w:rPr>
          <w:rFonts w:eastAsiaTheme="minorEastAsia"/>
        </w:rPr>
        <w:t xml:space="preserve"> maiores pesos são da argentina, Rússia, México e Chile.</w:t>
      </w:r>
    </w:p>
    <w:p w14:paraId="00CDD6E3" w14:textId="06E72696" w:rsidR="008F02B2" w:rsidRDefault="000873CB" w:rsidP="00486B70">
      <w:pPr>
        <w:spacing w:line="360" w:lineRule="auto"/>
        <w:ind w:firstLine="851"/>
        <w:jc w:val="both"/>
        <w:rPr>
          <w:rFonts w:eastAsiaTheme="minorEastAsia"/>
        </w:rPr>
      </w:pPr>
      <w:r>
        <w:rPr>
          <w:rFonts w:eastAsiaTheme="minorEastAsia"/>
        </w:rPr>
        <w:t>Sendo assim</w:t>
      </w:r>
      <w:r w:rsidR="008F02B2">
        <w:rPr>
          <w:rFonts w:eastAsiaTheme="minorEastAsia"/>
        </w:rPr>
        <w:t xml:space="preserve">, a </w:t>
      </w:r>
      <w:r w:rsidR="004C4D86">
        <w:rPr>
          <w:rFonts w:eastAsiaTheme="minorEastAsia"/>
        </w:rPr>
        <w:t>Tabela 3</w:t>
      </w:r>
      <w:r w:rsidR="008F02B2">
        <w:rPr>
          <w:rFonts w:eastAsiaTheme="minorEastAsia"/>
        </w:rPr>
        <w:t xml:space="preserve"> apresenta a comparação </w:t>
      </w:r>
      <w:r>
        <w:rPr>
          <w:rFonts w:eastAsiaTheme="minorEastAsia"/>
        </w:rPr>
        <w:t xml:space="preserve">dos resultados </w:t>
      </w:r>
      <w:r w:rsidR="008F02B2">
        <w:rPr>
          <w:rFonts w:eastAsiaTheme="minorEastAsia"/>
        </w:rPr>
        <w:t>entre a unidade de tratamento, a unidade sintética e a média simples das variáveis. Tem</w:t>
      </w:r>
      <w:r>
        <w:rPr>
          <w:rFonts w:eastAsiaTheme="minorEastAsia"/>
        </w:rPr>
        <w:t>-se</w:t>
      </w:r>
      <w:r w:rsidR="008F02B2">
        <w:rPr>
          <w:rFonts w:eastAsiaTheme="minorEastAsia"/>
        </w:rPr>
        <w:t xml:space="preserve"> que </w:t>
      </w:r>
      <w:r>
        <w:rPr>
          <w:rFonts w:eastAsiaTheme="minorEastAsia"/>
        </w:rPr>
        <w:t>as variáveis da unidade</w:t>
      </w:r>
      <w:r w:rsidR="008F02B2">
        <w:rPr>
          <w:rFonts w:eastAsiaTheme="minorEastAsia"/>
        </w:rPr>
        <w:t xml:space="preserve"> sintética apresenta</w:t>
      </w:r>
      <w:r>
        <w:rPr>
          <w:rFonts w:eastAsiaTheme="minorEastAsia"/>
        </w:rPr>
        <w:t>m</w:t>
      </w:r>
      <w:r w:rsidR="008F02B2">
        <w:rPr>
          <w:rFonts w:eastAsiaTheme="minorEastAsia"/>
        </w:rPr>
        <w:t xml:space="preserve"> </w:t>
      </w:r>
      <w:r>
        <w:rPr>
          <w:rFonts w:eastAsiaTheme="minorEastAsia"/>
        </w:rPr>
        <w:t xml:space="preserve">uma boa medida de </w:t>
      </w:r>
      <w:r w:rsidR="001B3398">
        <w:rPr>
          <w:rFonts w:eastAsiaTheme="minorEastAsia"/>
        </w:rPr>
        <w:t>comparação</w:t>
      </w:r>
      <w:r w:rsidR="008F02B2">
        <w:rPr>
          <w:rFonts w:eastAsiaTheme="minorEastAsia"/>
        </w:rPr>
        <w:t xml:space="preserve"> em relação a todas as variáveis utilizadas, ficando muito mais ajustada em relação a média simples da</w:t>
      </w:r>
      <w:r w:rsidR="001D22D7">
        <w:rPr>
          <w:rFonts w:eastAsiaTheme="minorEastAsia"/>
        </w:rPr>
        <w:t>s outras unidades de tratamento.</w:t>
      </w:r>
    </w:p>
    <w:p w14:paraId="4984AE07" w14:textId="77777777" w:rsidR="003A6084" w:rsidRDefault="003A6084" w:rsidP="00486B70">
      <w:pPr>
        <w:spacing w:line="360" w:lineRule="auto"/>
        <w:ind w:firstLine="851"/>
        <w:jc w:val="both"/>
        <w:rPr>
          <w:rFonts w:eastAsiaTheme="minorEastAsia"/>
        </w:rPr>
      </w:pPr>
    </w:p>
    <w:p w14:paraId="02151BF0" w14:textId="77777777" w:rsidR="003A6084" w:rsidRDefault="003A6084" w:rsidP="00486B70">
      <w:pPr>
        <w:spacing w:line="360" w:lineRule="auto"/>
        <w:ind w:firstLine="851"/>
        <w:jc w:val="both"/>
        <w:rPr>
          <w:rFonts w:eastAsiaTheme="minorEastAsia"/>
        </w:rPr>
      </w:pPr>
    </w:p>
    <w:p w14:paraId="7EDD6E0C" w14:textId="77777777" w:rsidR="003A6084" w:rsidRDefault="003A6084" w:rsidP="00486B70">
      <w:pPr>
        <w:spacing w:line="360" w:lineRule="auto"/>
        <w:ind w:firstLine="851"/>
        <w:jc w:val="both"/>
        <w:rPr>
          <w:rFonts w:eastAsiaTheme="minorEastAsia"/>
        </w:rPr>
      </w:pPr>
    </w:p>
    <w:p w14:paraId="0FD3B47B" w14:textId="77777777" w:rsidR="003A6084" w:rsidRDefault="003A6084" w:rsidP="00486B70">
      <w:pPr>
        <w:spacing w:line="360" w:lineRule="auto"/>
        <w:ind w:firstLine="851"/>
        <w:jc w:val="both"/>
        <w:rPr>
          <w:rFonts w:eastAsiaTheme="minorEastAsia"/>
        </w:rPr>
      </w:pPr>
    </w:p>
    <w:p w14:paraId="47BF8F4D" w14:textId="77777777" w:rsidR="003A6084" w:rsidRDefault="003A6084" w:rsidP="00486B70">
      <w:pPr>
        <w:spacing w:line="360" w:lineRule="auto"/>
        <w:ind w:firstLine="851"/>
        <w:jc w:val="both"/>
        <w:rPr>
          <w:rFonts w:eastAsiaTheme="minorEastAsia"/>
        </w:rPr>
      </w:pPr>
    </w:p>
    <w:p w14:paraId="474405E2" w14:textId="77777777" w:rsidR="00B8609A" w:rsidRDefault="00B8609A" w:rsidP="00486B70">
      <w:pPr>
        <w:spacing w:line="360" w:lineRule="auto"/>
        <w:ind w:firstLine="851"/>
        <w:jc w:val="both"/>
        <w:rPr>
          <w:rFonts w:eastAsiaTheme="minorEastAsia"/>
        </w:rPr>
      </w:pPr>
    </w:p>
    <w:p w14:paraId="0CAA1262" w14:textId="77777777" w:rsidR="00290949" w:rsidRDefault="00290949" w:rsidP="00486B70">
      <w:pPr>
        <w:spacing w:line="360" w:lineRule="auto"/>
        <w:ind w:firstLine="851"/>
        <w:jc w:val="both"/>
        <w:rPr>
          <w:rFonts w:eastAsiaTheme="minorEastAsia"/>
        </w:rPr>
      </w:pPr>
    </w:p>
    <w:p w14:paraId="73B96035" w14:textId="77777777" w:rsidR="008F02B2" w:rsidRPr="000C0613" w:rsidRDefault="008F02B2" w:rsidP="00290949">
      <w:pPr>
        <w:pStyle w:val="PargrafodaLista"/>
        <w:numPr>
          <w:ilvl w:val="1"/>
          <w:numId w:val="12"/>
        </w:numPr>
        <w:spacing w:line="360" w:lineRule="auto"/>
        <w:jc w:val="both"/>
        <w:outlineLvl w:val="1"/>
        <w:rPr>
          <w:rFonts w:ascii="Times New Roman" w:hAnsi="Times New Roman" w:cs="Times New Roman"/>
          <w:b/>
          <w:smallCaps/>
          <w:sz w:val="24"/>
          <w:szCs w:val="24"/>
        </w:rPr>
      </w:pPr>
      <w:bookmarkStart w:id="8" w:name="_Toc51774599"/>
      <w:r w:rsidRPr="000C0613">
        <w:rPr>
          <w:rFonts w:ascii="Times New Roman" w:hAnsi="Times New Roman" w:cs="Times New Roman"/>
          <w:b/>
          <w:smallCaps/>
          <w:sz w:val="24"/>
          <w:szCs w:val="24"/>
        </w:rPr>
        <w:lastRenderedPageBreak/>
        <w:t>Resultados iniciais do SCM</w:t>
      </w:r>
      <w:bookmarkEnd w:id="8"/>
    </w:p>
    <w:p w14:paraId="2EF918B0" w14:textId="77777777" w:rsidR="00E73394" w:rsidRDefault="00E73394" w:rsidP="00486B70">
      <w:pPr>
        <w:spacing w:line="360" w:lineRule="auto"/>
        <w:ind w:firstLine="851"/>
        <w:jc w:val="both"/>
        <w:rPr>
          <w:rFonts w:eastAsiaTheme="minorEastAsia"/>
        </w:rPr>
      </w:pPr>
    </w:p>
    <w:p w14:paraId="5BF9499B" w14:textId="236ADCCC" w:rsidR="008354A9" w:rsidRDefault="00A62C2A" w:rsidP="003A6084">
      <w:pPr>
        <w:pStyle w:val="Legenda"/>
        <w:jc w:val="center"/>
        <w:rPr>
          <w:rFonts w:eastAsiaTheme="minorEastAsia"/>
          <w:b w:val="0"/>
        </w:rPr>
      </w:pPr>
      <w:bookmarkStart w:id="9" w:name="_Toc51772700"/>
      <w:r w:rsidRPr="003A6084">
        <w:rPr>
          <w:b w:val="0"/>
        </w:rPr>
        <w:t xml:space="preserve">Tabela </w:t>
      </w:r>
      <w:r w:rsidR="00285DE9" w:rsidRPr="003A6084">
        <w:rPr>
          <w:b w:val="0"/>
        </w:rPr>
        <w:fldChar w:fldCharType="begin"/>
      </w:r>
      <w:r w:rsidR="00285DE9" w:rsidRPr="003A6084">
        <w:rPr>
          <w:b w:val="0"/>
        </w:rPr>
        <w:instrText xml:space="preserve"> SEQ Tabela \* ARABIC </w:instrText>
      </w:r>
      <w:r w:rsidR="00285DE9" w:rsidRPr="003A6084">
        <w:rPr>
          <w:b w:val="0"/>
        </w:rPr>
        <w:fldChar w:fldCharType="separate"/>
      </w:r>
      <w:r w:rsidR="004B76AA">
        <w:rPr>
          <w:b w:val="0"/>
          <w:noProof/>
        </w:rPr>
        <w:t>1</w:t>
      </w:r>
      <w:r w:rsidR="00285DE9" w:rsidRPr="003A6084">
        <w:rPr>
          <w:b w:val="0"/>
          <w:noProof/>
        </w:rPr>
        <w:fldChar w:fldCharType="end"/>
      </w:r>
      <w:r w:rsidR="008354A9" w:rsidRPr="003A6084">
        <w:rPr>
          <w:rFonts w:eastAsiaTheme="minorEastAsia"/>
          <w:b w:val="0"/>
        </w:rPr>
        <w:t xml:space="preserve"> – </w:t>
      </w:r>
      <w:r w:rsidR="00E73394" w:rsidRPr="003A6084">
        <w:rPr>
          <w:rFonts w:eastAsiaTheme="minorEastAsia"/>
          <w:b w:val="0"/>
        </w:rPr>
        <w:t>Pesos</w:t>
      </w:r>
      <w:r w:rsidR="008354A9" w:rsidRPr="003A6084">
        <w:rPr>
          <w:rFonts w:eastAsiaTheme="minorEastAsia"/>
          <w:b w:val="0"/>
        </w:rPr>
        <w:t xml:space="preserve"> das variáveis na unidade sintética</w:t>
      </w:r>
      <w:bookmarkEnd w:id="9"/>
    </w:p>
    <w:p w14:paraId="7BC18127" w14:textId="77777777" w:rsidR="003A6084" w:rsidRPr="003A6084" w:rsidRDefault="003A6084" w:rsidP="003A6084">
      <w:pPr>
        <w:rPr>
          <w:rFonts w:eastAsiaTheme="minorEastAsi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53"/>
        <w:gridCol w:w="1126"/>
      </w:tblGrid>
      <w:tr w:rsidR="008354A9" w:rsidRPr="00081BB4" w14:paraId="2ACE9512" w14:textId="77777777" w:rsidTr="00FC589B">
        <w:trPr>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589957B" w14:textId="77777777" w:rsidR="00081BB4" w:rsidRPr="00081BB4" w:rsidRDefault="00081BB4" w:rsidP="00081BB4">
            <w:pPr>
              <w:contextualSpacing/>
              <w:rPr>
                <w:i/>
                <w:iCs/>
              </w:rPr>
            </w:pP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A383ED1" w14:textId="77777777" w:rsidR="00081BB4" w:rsidRPr="00081BB4" w:rsidRDefault="00081BB4" w:rsidP="00081BB4">
            <w:pPr>
              <w:contextualSpacing/>
              <w:jc w:val="center"/>
              <w:rPr>
                <w:i/>
                <w:iCs/>
              </w:rPr>
            </w:pPr>
            <w:proofErr w:type="spellStart"/>
            <w:r w:rsidRPr="00081BB4">
              <w:rPr>
                <w:i/>
                <w:iCs/>
              </w:rPr>
              <w:t>v.weights</w:t>
            </w:r>
            <w:proofErr w:type="spellEnd"/>
          </w:p>
        </w:tc>
      </w:tr>
      <w:tr w:rsidR="008354A9" w:rsidRPr="00081BB4" w14:paraId="0F7C5E4B" w14:textId="77777777" w:rsidTr="00FC589B">
        <w:trPr>
          <w:jc w:val="center"/>
        </w:trPr>
        <w:tc>
          <w:tcPr>
            <w:tcW w:w="0" w:type="auto"/>
            <w:tcMar>
              <w:top w:w="113" w:type="dxa"/>
              <w:left w:w="113" w:type="dxa"/>
              <w:bottom w:w="113" w:type="dxa"/>
              <w:right w:w="113" w:type="dxa"/>
            </w:tcMar>
            <w:hideMark/>
          </w:tcPr>
          <w:p w14:paraId="52398F68" w14:textId="77777777" w:rsidR="00081BB4" w:rsidRPr="00081BB4" w:rsidRDefault="00081BB4" w:rsidP="00081BB4">
            <w:pPr>
              <w:contextualSpacing/>
            </w:pPr>
            <w:r>
              <w:t>GDP per capita</w:t>
            </w:r>
          </w:p>
          <w:p w14:paraId="053F67A5" w14:textId="77777777" w:rsidR="00081BB4" w:rsidRPr="00081BB4" w:rsidRDefault="00081BB4" w:rsidP="00081BB4">
            <w:pPr>
              <w:contextualSpacing/>
            </w:pPr>
          </w:p>
        </w:tc>
        <w:tc>
          <w:tcPr>
            <w:tcW w:w="0" w:type="auto"/>
            <w:tcMar>
              <w:top w:w="113" w:type="dxa"/>
              <w:left w:w="113" w:type="dxa"/>
              <w:bottom w:w="113" w:type="dxa"/>
              <w:right w:w="113" w:type="dxa"/>
            </w:tcMar>
            <w:hideMark/>
          </w:tcPr>
          <w:p w14:paraId="6C77D6C4" w14:textId="77777777" w:rsidR="008354A9" w:rsidRPr="008354A9" w:rsidRDefault="008354A9" w:rsidP="008354A9">
            <w:pPr>
              <w:contextualSpacing/>
              <w:jc w:val="center"/>
            </w:pPr>
            <w:r w:rsidRPr="008354A9">
              <w:t xml:space="preserve">0.468 </w:t>
            </w:r>
          </w:p>
          <w:p w14:paraId="4C771563" w14:textId="77777777" w:rsidR="00081BB4" w:rsidRPr="00081BB4" w:rsidRDefault="00081BB4" w:rsidP="00081BB4">
            <w:pPr>
              <w:contextualSpacing/>
              <w:jc w:val="center"/>
            </w:pPr>
          </w:p>
        </w:tc>
      </w:tr>
      <w:tr w:rsidR="008354A9" w:rsidRPr="00081BB4" w14:paraId="20B516E1" w14:textId="77777777" w:rsidTr="00FC589B">
        <w:trPr>
          <w:jc w:val="center"/>
        </w:trPr>
        <w:tc>
          <w:tcPr>
            <w:tcW w:w="0" w:type="auto"/>
            <w:tcMar>
              <w:top w:w="113" w:type="dxa"/>
              <w:left w:w="113" w:type="dxa"/>
              <w:bottom w:w="113" w:type="dxa"/>
              <w:right w:w="113" w:type="dxa"/>
            </w:tcMar>
            <w:hideMark/>
          </w:tcPr>
          <w:p w14:paraId="313A293B" w14:textId="77777777" w:rsidR="00081BB4" w:rsidRPr="00081BB4" w:rsidRDefault="008354A9" w:rsidP="00081BB4">
            <w:pPr>
              <w:contextualSpacing/>
            </w:pPr>
            <w:proofErr w:type="spellStart"/>
            <w:r>
              <w:t>Annual</w:t>
            </w:r>
            <w:proofErr w:type="spellEnd"/>
            <w:r>
              <w:t xml:space="preserve"> </w:t>
            </w:r>
            <w:proofErr w:type="spellStart"/>
            <w:r>
              <w:t>Growth</w:t>
            </w:r>
            <w:proofErr w:type="spellEnd"/>
            <w:r>
              <w:t xml:space="preserve"> GDP (%)</w:t>
            </w:r>
            <w:r w:rsidR="00081BB4" w:rsidRPr="00081BB4">
              <w:t xml:space="preserve"> </w:t>
            </w:r>
          </w:p>
          <w:p w14:paraId="1F4C88F0" w14:textId="77777777" w:rsidR="00081BB4" w:rsidRPr="00081BB4" w:rsidRDefault="00081BB4" w:rsidP="00081BB4">
            <w:pPr>
              <w:contextualSpacing/>
            </w:pPr>
          </w:p>
        </w:tc>
        <w:tc>
          <w:tcPr>
            <w:tcW w:w="0" w:type="auto"/>
            <w:tcMar>
              <w:top w:w="113" w:type="dxa"/>
              <w:left w:w="113" w:type="dxa"/>
              <w:bottom w:w="113" w:type="dxa"/>
              <w:right w:w="113" w:type="dxa"/>
            </w:tcMar>
            <w:hideMark/>
          </w:tcPr>
          <w:p w14:paraId="562E241F" w14:textId="77777777" w:rsidR="008354A9" w:rsidRPr="008354A9" w:rsidRDefault="008354A9" w:rsidP="008354A9">
            <w:pPr>
              <w:contextualSpacing/>
              <w:jc w:val="center"/>
            </w:pPr>
            <w:r w:rsidRPr="008354A9">
              <w:t>0.062</w:t>
            </w:r>
          </w:p>
          <w:p w14:paraId="432C974C" w14:textId="77777777" w:rsidR="00081BB4" w:rsidRPr="00081BB4" w:rsidRDefault="00081BB4" w:rsidP="00081BB4">
            <w:pPr>
              <w:contextualSpacing/>
              <w:jc w:val="center"/>
            </w:pPr>
          </w:p>
        </w:tc>
      </w:tr>
      <w:tr w:rsidR="008354A9" w:rsidRPr="00081BB4" w14:paraId="03BE8E70" w14:textId="77777777" w:rsidTr="00FC589B">
        <w:trPr>
          <w:jc w:val="center"/>
        </w:trPr>
        <w:tc>
          <w:tcPr>
            <w:tcW w:w="0" w:type="auto"/>
            <w:tcMar>
              <w:top w:w="113" w:type="dxa"/>
              <w:left w:w="113" w:type="dxa"/>
              <w:bottom w:w="113" w:type="dxa"/>
              <w:right w:w="113" w:type="dxa"/>
            </w:tcMar>
            <w:hideMark/>
          </w:tcPr>
          <w:p w14:paraId="5E3B682A" w14:textId="77777777" w:rsidR="00081BB4" w:rsidRPr="00081BB4" w:rsidRDefault="008354A9" w:rsidP="00081BB4">
            <w:pPr>
              <w:contextualSpacing/>
            </w:pPr>
            <w:r>
              <w:t xml:space="preserve">FDI (% </w:t>
            </w:r>
            <w:proofErr w:type="spellStart"/>
            <w:r>
              <w:t>of</w:t>
            </w:r>
            <w:proofErr w:type="spellEnd"/>
            <w:r>
              <w:t xml:space="preserve"> GDP)</w:t>
            </w:r>
            <w:r w:rsidR="00081BB4" w:rsidRPr="00081BB4">
              <w:t xml:space="preserve"> </w:t>
            </w:r>
          </w:p>
          <w:p w14:paraId="2817F677" w14:textId="77777777" w:rsidR="00081BB4" w:rsidRPr="00081BB4" w:rsidRDefault="00081BB4" w:rsidP="00081BB4">
            <w:pPr>
              <w:contextualSpacing/>
            </w:pPr>
          </w:p>
        </w:tc>
        <w:tc>
          <w:tcPr>
            <w:tcW w:w="0" w:type="auto"/>
            <w:tcMar>
              <w:top w:w="113" w:type="dxa"/>
              <w:left w:w="113" w:type="dxa"/>
              <w:bottom w:w="113" w:type="dxa"/>
              <w:right w:w="113" w:type="dxa"/>
            </w:tcMar>
            <w:hideMark/>
          </w:tcPr>
          <w:p w14:paraId="3A56F997" w14:textId="77777777" w:rsidR="008354A9" w:rsidRPr="008354A9" w:rsidRDefault="008354A9" w:rsidP="008354A9">
            <w:pPr>
              <w:contextualSpacing/>
              <w:jc w:val="center"/>
            </w:pPr>
            <w:r w:rsidRPr="008354A9">
              <w:t xml:space="preserve">0.388 </w:t>
            </w:r>
          </w:p>
          <w:p w14:paraId="35B1DED6" w14:textId="77777777" w:rsidR="00081BB4" w:rsidRPr="00081BB4" w:rsidRDefault="00081BB4" w:rsidP="00081BB4">
            <w:pPr>
              <w:contextualSpacing/>
              <w:jc w:val="center"/>
            </w:pPr>
          </w:p>
        </w:tc>
      </w:tr>
      <w:tr w:rsidR="008354A9" w:rsidRPr="00081BB4" w14:paraId="2F312DE0" w14:textId="77777777" w:rsidTr="00FC589B">
        <w:trPr>
          <w:jc w:val="center"/>
        </w:trPr>
        <w:tc>
          <w:tcPr>
            <w:tcW w:w="0" w:type="auto"/>
            <w:tcMar>
              <w:top w:w="113" w:type="dxa"/>
              <w:left w:w="113" w:type="dxa"/>
              <w:bottom w:w="113" w:type="dxa"/>
              <w:right w:w="113" w:type="dxa"/>
            </w:tcMar>
            <w:hideMark/>
          </w:tcPr>
          <w:p w14:paraId="406B183C" w14:textId="77777777" w:rsidR="00081BB4" w:rsidRPr="00081BB4" w:rsidRDefault="00C71CD2" w:rsidP="00081BB4">
            <w:pPr>
              <w:contextualSpacing/>
            </w:pPr>
            <w:proofErr w:type="spellStart"/>
            <w:r>
              <w:t>C</w:t>
            </w:r>
            <w:r w:rsidR="008354A9">
              <w:t>onsumption</w:t>
            </w:r>
            <w:proofErr w:type="spellEnd"/>
            <w:r w:rsidR="008354A9">
              <w:t xml:space="preserve"> </w:t>
            </w:r>
            <w:proofErr w:type="spellStart"/>
            <w:r w:rsidR="00081BB4" w:rsidRPr="00081BB4">
              <w:t>expenditure</w:t>
            </w:r>
            <w:proofErr w:type="spellEnd"/>
            <w:r w:rsidR="008354A9">
              <w:t xml:space="preserve"> </w:t>
            </w:r>
            <w:proofErr w:type="spellStart"/>
            <w:r w:rsidR="008354A9">
              <w:t>growt</w:t>
            </w:r>
            <w:proofErr w:type="spellEnd"/>
            <w:r w:rsidR="008354A9">
              <w:t xml:space="preserve"> (%)</w:t>
            </w:r>
          </w:p>
          <w:p w14:paraId="678D7C74" w14:textId="77777777" w:rsidR="00081BB4" w:rsidRPr="00081BB4" w:rsidRDefault="00081BB4" w:rsidP="00081BB4">
            <w:pPr>
              <w:contextualSpacing/>
            </w:pPr>
          </w:p>
        </w:tc>
        <w:tc>
          <w:tcPr>
            <w:tcW w:w="0" w:type="auto"/>
            <w:tcMar>
              <w:top w:w="113" w:type="dxa"/>
              <w:left w:w="113" w:type="dxa"/>
              <w:bottom w:w="113" w:type="dxa"/>
              <w:right w:w="113" w:type="dxa"/>
            </w:tcMar>
            <w:hideMark/>
          </w:tcPr>
          <w:p w14:paraId="39EC52FF" w14:textId="77777777" w:rsidR="008354A9" w:rsidRPr="008354A9" w:rsidRDefault="008354A9" w:rsidP="008354A9">
            <w:pPr>
              <w:contextualSpacing/>
              <w:jc w:val="center"/>
            </w:pPr>
            <w:r w:rsidRPr="008354A9">
              <w:t xml:space="preserve">0.028 </w:t>
            </w:r>
          </w:p>
          <w:p w14:paraId="3A38C6D8" w14:textId="77777777" w:rsidR="00081BB4" w:rsidRPr="00081BB4" w:rsidRDefault="00081BB4" w:rsidP="00081BB4">
            <w:pPr>
              <w:contextualSpacing/>
              <w:jc w:val="center"/>
            </w:pPr>
          </w:p>
        </w:tc>
      </w:tr>
      <w:tr w:rsidR="008354A9" w:rsidRPr="00081BB4" w14:paraId="4F08D5B1" w14:textId="77777777" w:rsidTr="00FC589B">
        <w:trPr>
          <w:jc w:val="center"/>
        </w:trPr>
        <w:tc>
          <w:tcPr>
            <w:tcW w:w="0" w:type="auto"/>
            <w:tcMar>
              <w:top w:w="113" w:type="dxa"/>
              <w:left w:w="113" w:type="dxa"/>
              <w:bottom w:w="113" w:type="dxa"/>
              <w:right w:w="113" w:type="dxa"/>
            </w:tcMar>
            <w:hideMark/>
          </w:tcPr>
          <w:p w14:paraId="0CB9C950" w14:textId="77777777" w:rsidR="00081BB4" w:rsidRPr="00081BB4" w:rsidRDefault="008354A9" w:rsidP="00081BB4">
            <w:pPr>
              <w:contextualSpacing/>
            </w:pPr>
            <w:r>
              <w:t xml:space="preserve">Index </w:t>
            </w:r>
            <w:proofErr w:type="spellStart"/>
            <w:r>
              <w:t>of</w:t>
            </w:r>
            <w:proofErr w:type="spellEnd"/>
            <w:r>
              <w:t xml:space="preserve"> </w:t>
            </w:r>
            <w:proofErr w:type="spellStart"/>
            <w:r>
              <w:t>Economic</w:t>
            </w:r>
            <w:proofErr w:type="spellEnd"/>
            <w:r>
              <w:t xml:space="preserve"> </w:t>
            </w:r>
            <w:proofErr w:type="spellStart"/>
            <w:r>
              <w:t>Freedom</w:t>
            </w:r>
            <w:proofErr w:type="spellEnd"/>
          </w:p>
          <w:p w14:paraId="4E6CBADC" w14:textId="77777777" w:rsidR="00081BB4" w:rsidRPr="00081BB4" w:rsidRDefault="00081BB4" w:rsidP="00081BB4">
            <w:pPr>
              <w:contextualSpacing/>
            </w:pPr>
          </w:p>
        </w:tc>
        <w:tc>
          <w:tcPr>
            <w:tcW w:w="0" w:type="auto"/>
            <w:tcMar>
              <w:top w:w="113" w:type="dxa"/>
              <w:left w:w="113" w:type="dxa"/>
              <w:bottom w:w="113" w:type="dxa"/>
              <w:right w:w="113" w:type="dxa"/>
            </w:tcMar>
            <w:hideMark/>
          </w:tcPr>
          <w:p w14:paraId="3C4957A0" w14:textId="77777777" w:rsidR="008354A9" w:rsidRPr="008354A9" w:rsidRDefault="008354A9" w:rsidP="008354A9">
            <w:pPr>
              <w:contextualSpacing/>
              <w:jc w:val="center"/>
            </w:pPr>
            <w:r w:rsidRPr="008354A9">
              <w:t>0.054</w:t>
            </w:r>
          </w:p>
          <w:p w14:paraId="64B35676" w14:textId="77777777" w:rsidR="00081BB4" w:rsidRPr="00081BB4" w:rsidRDefault="00081BB4" w:rsidP="00081BB4">
            <w:pPr>
              <w:contextualSpacing/>
              <w:jc w:val="center"/>
            </w:pPr>
          </w:p>
        </w:tc>
      </w:tr>
      <w:tr w:rsidR="008354A9" w:rsidRPr="00081BB4" w14:paraId="13642DB1" w14:textId="77777777" w:rsidTr="008354A9">
        <w:trPr>
          <w:trHeight w:val="16"/>
          <w:jc w:val="center"/>
        </w:trPr>
        <w:tc>
          <w:tcPr>
            <w:tcW w:w="0" w:type="auto"/>
            <w:tcBorders>
              <w:bottom w:val="double" w:sz="6" w:space="0" w:color="auto"/>
            </w:tcBorders>
            <w:tcMar>
              <w:top w:w="113" w:type="dxa"/>
              <w:left w:w="113" w:type="dxa"/>
              <w:bottom w:w="113" w:type="dxa"/>
              <w:right w:w="113" w:type="dxa"/>
            </w:tcMar>
          </w:tcPr>
          <w:p w14:paraId="20FAC590" w14:textId="77777777" w:rsidR="00081BB4" w:rsidRPr="00081BB4" w:rsidRDefault="00081BB4" w:rsidP="00081BB4">
            <w:pPr>
              <w:contextualSpacing/>
            </w:pPr>
          </w:p>
        </w:tc>
        <w:tc>
          <w:tcPr>
            <w:tcW w:w="0" w:type="auto"/>
            <w:tcBorders>
              <w:bottom w:val="double" w:sz="6" w:space="0" w:color="auto"/>
            </w:tcBorders>
            <w:tcMar>
              <w:top w:w="113" w:type="dxa"/>
              <w:left w:w="113" w:type="dxa"/>
              <w:bottom w:w="113" w:type="dxa"/>
              <w:right w:w="113" w:type="dxa"/>
            </w:tcMar>
          </w:tcPr>
          <w:p w14:paraId="4F79EC1E" w14:textId="77777777" w:rsidR="00081BB4" w:rsidRPr="00081BB4" w:rsidRDefault="00081BB4" w:rsidP="00081BB4">
            <w:pPr>
              <w:contextualSpacing/>
              <w:jc w:val="center"/>
            </w:pPr>
          </w:p>
        </w:tc>
      </w:tr>
    </w:tbl>
    <w:p w14:paraId="05399D45" w14:textId="3CAF2DE8" w:rsidR="004A0C7C" w:rsidRDefault="00A171F6" w:rsidP="00A171F6">
      <w:pPr>
        <w:spacing w:line="360" w:lineRule="auto"/>
        <w:ind w:firstLine="851"/>
        <w:rPr>
          <w:rFonts w:eastAsiaTheme="minorEastAsia"/>
        </w:rPr>
      </w:pPr>
      <w:r>
        <w:rPr>
          <w:rFonts w:eastAsiaTheme="minorEastAsia"/>
          <w:sz w:val="20"/>
          <w:szCs w:val="20"/>
        </w:rPr>
        <w:t xml:space="preserve">                   </w:t>
      </w:r>
      <w:r w:rsidRPr="00A171F6">
        <w:rPr>
          <w:rFonts w:eastAsiaTheme="minorEastAsia"/>
          <w:sz w:val="20"/>
          <w:szCs w:val="20"/>
        </w:rPr>
        <w:t>Fonte: Elaboração Própria</w:t>
      </w:r>
    </w:p>
    <w:p w14:paraId="0E531BDD" w14:textId="77777777" w:rsidR="00FE1C76" w:rsidRPr="003A6084" w:rsidRDefault="00FE1C76" w:rsidP="00A62C2A">
      <w:pPr>
        <w:spacing w:line="360" w:lineRule="auto"/>
        <w:jc w:val="center"/>
      </w:pPr>
    </w:p>
    <w:p w14:paraId="25609ED1" w14:textId="267EC0C8" w:rsidR="00F92C29" w:rsidRPr="003A6084" w:rsidRDefault="00A62C2A" w:rsidP="00A62C2A">
      <w:pPr>
        <w:pStyle w:val="Legenda"/>
        <w:jc w:val="center"/>
        <w:rPr>
          <w:rFonts w:eastAsiaTheme="minorEastAsia"/>
          <w:b w:val="0"/>
        </w:rPr>
      </w:pPr>
      <w:bookmarkStart w:id="10" w:name="_Toc51772701"/>
      <w:r w:rsidRPr="003A6084">
        <w:rPr>
          <w:b w:val="0"/>
        </w:rPr>
        <w:t xml:space="preserve">Tabela </w:t>
      </w:r>
      <w:r w:rsidR="00285DE9" w:rsidRPr="003A6084">
        <w:rPr>
          <w:b w:val="0"/>
        </w:rPr>
        <w:fldChar w:fldCharType="begin"/>
      </w:r>
      <w:r w:rsidR="00285DE9" w:rsidRPr="003A6084">
        <w:rPr>
          <w:b w:val="0"/>
        </w:rPr>
        <w:instrText xml:space="preserve"> SEQ Tabela \* ARABIC </w:instrText>
      </w:r>
      <w:r w:rsidR="00285DE9" w:rsidRPr="003A6084">
        <w:rPr>
          <w:b w:val="0"/>
        </w:rPr>
        <w:fldChar w:fldCharType="separate"/>
      </w:r>
      <w:r w:rsidR="004B76AA">
        <w:rPr>
          <w:b w:val="0"/>
          <w:noProof/>
        </w:rPr>
        <w:t>2</w:t>
      </w:r>
      <w:r w:rsidR="00285DE9" w:rsidRPr="003A6084">
        <w:rPr>
          <w:b w:val="0"/>
          <w:noProof/>
        </w:rPr>
        <w:fldChar w:fldCharType="end"/>
      </w:r>
      <w:r w:rsidR="003D68D4" w:rsidRPr="003A6084">
        <w:rPr>
          <w:rFonts w:eastAsiaTheme="minorEastAsia"/>
          <w:b w:val="0"/>
        </w:rPr>
        <w:t xml:space="preserve"> - Peso de cada país </w:t>
      </w:r>
      <w:r w:rsidR="006172B1" w:rsidRPr="003A6084">
        <w:rPr>
          <w:rFonts w:eastAsiaTheme="minorEastAsia"/>
          <w:b w:val="0"/>
        </w:rPr>
        <w:t>na unidade sintética</w:t>
      </w:r>
      <w:bookmarkEnd w:id="10"/>
    </w:p>
    <w:tbl>
      <w:tblPr>
        <w:tblW w:w="0" w:type="auto"/>
        <w:jc w:val="center"/>
        <w:tblCellMar>
          <w:top w:w="15" w:type="dxa"/>
          <w:left w:w="15" w:type="dxa"/>
          <w:bottom w:w="15" w:type="dxa"/>
          <w:right w:w="15" w:type="dxa"/>
        </w:tblCellMar>
        <w:tblLook w:val="04A0" w:firstRow="1" w:lastRow="0" w:firstColumn="1" w:lastColumn="0" w:noHBand="0" w:noVBand="1"/>
      </w:tblPr>
      <w:tblGrid>
        <w:gridCol w:w="1180"/>
        <w:gridCol w:w="2073"/>
      </w:tblGrid>
      <w:tr w:rsidR="00081BB4" w:rsidRPr="00081BB4" w14:paraId="5DA19223" w14:textId="77777777" w:rsidTr="00081BB4">
        <w:trPr>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6B96DE1" w14:textId="77777777" w:rsidR="00081BB4" w:rsidRPr="00081BB4" w:rsidRDefault="00081BB4" w:rsidP="00081BB4">
            <w:pPr>
              <w:rPr>
                <w:i/>
                <w:iCs/>
              </w:rPr>
            </w:pPr>
            <w:proofErr w:type="spellStart"/>
            <w:proofErr w:type="gramStart"/>
            <w:r w:rsidRPr="00081BB4">
              <w:rPr>
                <w:i/>
                <w:iCs/>
              </w:rPr>
              <w:t>w.</w:t>
            </w:r>
            <w:proofErr w:type="gramEnd"/>
            <w:r w:rsidRPr="00081BB4">
              <w:rPr>
                <w:i/>
                <w:iCs/>
              </w:rPr>
              <w:t>weights</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2B8FBD3" w14:textId="77777777" w:rsidR="00081BB4" w:rsidRPr="00081BB4" w:rsidRDefault="00081BB4" w:rsidP="00081BB4">
            <w:pPr>
              <w:jc w:val="center"/>
              <w:rPr>
                <w:i/>
                <w:iCs/>
              </w:rPr>
            </w:pPr>
            <w:r w:rsidRPr="00081BB4">
              <w:rPr>
                <w:i/>
                <w:iCs/>
              </w:rPr>
              <w:t xml:space="preserve">Unit </w:t>
            </w:r>
            <w:proofErr w:type="spellStart"/>
            <w:r w:rsidRPr="00081BB4">
              <w:rPr>
                <w:i/>
                <w:iCs/>
              </w:rPr>
              <w:t>Names</w:t>
            </w:r>
            <w:proofErr w:type="spellEnd"/>
          </w:p>
        </w:tc>
      </w:tr>
      <w:tr w:rsidR="00081BB4" w:rsidRPr="00081BB4" w14:paraId="3E14A746" w14:textId="77777777" w:rsidTr="00081BB4">
        <w:trPr>
          <w:jc w:val="center"/>
        </w:trPr>
        <w:tc>
          <w:tcPr>
            <w:tcW w:w="0" w:type="auto"/>
            <w:tcMar>
              <w:top w:w="113" w:type="dxa"/>
              <w:left w:w="113" w:type="dxa"/>
              <w:bottom w:w="113" w:type="dxa"/>
              <w:right w:w="113" w:type="dxa"/>
            </w:tcMar>
            <w:hideMark/>
          </w:tcPr>
          <w:p w14:paraId="1A70234E" w14:textId="77777777" w:rsidR="00081BB4" w:rsidRPr="00081BB4" w:rsidRDefault="00081BB4" w:rsidP="00081BB4">
            <w:r w:rsidRPr="00081BB4">
              <w:t>0.35</w:t>
            </w:r>
          </w:p>
        </w:tc>
        <w:tc>
          <w:tcPr>
            <w:tcW w:w="0" w:type="auto"/>
            <w:tcMar>
              <w:top w:w="113" w:type="dxa"/>
              <w:left w:w="113" w:type="dxa"/>
              <w:bottom w:w="113" w:type="dxa"/>
              <w:right w:w="113" w:type="dxa"/>
            </w:tcMar>
            <w:hideMark/>
          </w:tcPr>
          <w:p w14:paraId="5B0731F7" w14:textId="77777777" w:rsidR="00081BB4" w:rsidRPr="00081BB4" w:rsidRDefault="00081BB4" w:rsidP="00081BB4">
            <w:pPr>
              <w:jc w:val="center"/>
            </w:pPr>
            <w:r w:rsidRPr="00081BB4">
              <w:t>Argentina</w:t>
            </w:r>
          </w:p>
        </w:tc>
      </w:tr>
      <w:tr w:rsidR="00081BB4" w:rsidRPr="00081BB4" w14:paraId="0F0ED789" w14:textId="77777777" w:rsidTr="00081BB4">
        <w:trPr>
          <w:jc w:val="center"/>
        </w:trPr>
        <w:tc>
          <w:tcPr>
            <w:tcW w:w="0" w:type="auto"/>
            <w:tcMar>
              <w:top w:w="113" w:type="dxa"/>
              <w:left w:w="113" w:type="dxa"/>
              <w:bottom w:w="113" w:type="dxa"/>
              <w:right w:w="113" w:type="dxa"/>
            </w:tcMar>
            <w:hideMark/>
          </w:tcPr>
          <w:p w14:paraId="3961FA67" w14:textId="77777777" w:rsidR="00081BB4" w:rsidRPr="00081BB4" w:rsidRDefault="00081BB4" w:rsidP="00081BB4">
            <w:r w:rsidRPr="00081BB4">
              <w:t>0.28</w:t>
            </w:r>
          </w:p>
        </w:tc>
        <w:tc>
          <w:tcPr>
            <w:tcW w:w="0" w:type="auto"/>
            <w:tcMar>
              <w:top w:w="113" w:type="dxa"/>
              <w:left w:w="113" w:type="dxa"/>
              <w:bottom w:w="113" w:type="dxa"/>
              <w:right w:w="113" w:type="dxa"/>
            </w:tcMar>
            <w:hideMark/>
          </w:tcPr>
          <w:p w14:paraId="7ED01050" w14:textId="77777777" w:rsidR="00081BB4" w:rsidRPr="00081BB4" w:rsidRDefault="00081BB4" w:rsidP="00081BB4">
            <w:pPr>
              <w:jc w:val="center"/>
            </w:pPr>
            <w:proofErr w:type="spellStart"/>
            <w:r w:rsidRPr="00081BB4">
              <w:t>Mexico</w:t>
            </w:r>
            <w:proofErr w:type="spellEnd"/>
          </w:p>
        </w:tc>
      </w:tr>
      <w:tr w:rsidR="00081BB4" w:rsidRPr="00081BB4" w14:paraId="54B749B5" w14:textId="77777777" w:rsidTr="00081BB4">
        <w:trPr>
          <w:jc w:val="center"/>
        </w:trPr>
        <w:tc>
          <w:tcPr>
            <w:tcW w:w="0" w:type="auto"/>
            <w:tcMar>
              <w:top w:w="113" w:type="dxa"/>
              <w:left w:w="113" w:type="dxa"/>
              <w:bottom w:w="113" w:type="dxa"/>
              <w:right w:w="113" w:type="dxa"/>
            </w:tcMar>
            <w:hideMark/>
          </w:tcPr>
          <w:p w14:paraId="476F49A8" w14:textId="77777777" w:rsidR="00081BB4" w:rsidRPr="00081BB4" w:rsidRDefault="00081BB4" w:rsidP="00081BB4">
            <w:r w:rsidRPr="00081BB4">
              <w:t>0.25</w:t>
            </w:r>
          </w:p>
        </w:tc>
        <w:tc>
          <w:tcPr>
            <w:tcW w:w="0" w:type="auto"/>
            <w:tcMar>
              <w:top w:w="113" w:type="dxa"/>
              <w:left w:w="113" w:type="dxa"/>
              <w:bottom w:w="113" w:type="dxa"/>
              <w:right w:w="113" w:type="dxa"/>
            </w:tcMar>
            <w:hideMark/>
          </w:tcPr>
          <w:p w14:paraId="1369964A" w14:textId="77777777" w:rsidR="00081BB4" w:rsidRPr="00081BB4" w:rsidRDefault="00081BB4" w:rsidP="00081BB4">
            <w:pPr>
              <w:jc w:val="center"/>
            </w:pPr>
            <w:proofErr w:type="spellStart"/>
            <w:r w:rsidRPr="00081BB4">
              <w:t>Russian</w:t>
            </w:r>
            <w:proofErr w:type="spellEnd"/>
            <w:r w:rsidRPr="00081BB4">
              <w:t xml:space="preserve"> </w:t>
            </w:r>
            <w:proofErr w:type="spellStart"/>
            <w:r w:rsidRPr="00081BB4">
              <w:t>Federation</w:t>
            </w:r>
            <w:proofErr w:type="spellEnd"/>
          </w:p>
        </w:tc>
      </w:tr>
      <w:tr w:rsidR="00081BB4" w:rsidRPr="00081BB4" w14:paraId="5D7B290C" w14:textId="77777777" w:rsidTr="00081BB4">
        <w:trPr>
          <w:jc w:val="center"/>
        </w:trPr>
        <w:tc>
          <w:tcPr>
            <w:tcW w:w="0" w:type="auto"/>
            <w:tcMar>
              <w:top w:w="113" w:type="dxa"/>
              <w:left w:w="113" w:type="dxa"/>
              <w:bottom w:w="113" w:type="dxa"/>
              <w:right w:w="113" w:type="dxa"/>
            </w:tcMar>
            <w:hideMark/>
          </w:tcPr>
          <w:p w14:paraId="169380C5" w14:textId="77777777" w:rsidR="00081BB4" w:rsidRPr="00081BB4" w:rsidRDefault="00081BB4" w:rsidP="00081BB4">
            <w:r w:rsidRPr="00081BB4">
              <w:t>0.11</w:t>
            </w:r>
          </w:p>
        </w:tc>
        <w:tc>
          <w:tcPr>
            <w:tcW w:w="0" w:type="auto"/>
            <w:tcMar>
              <w:top w:w="113" w:type="dxa"/>
              <w:left w:w="113" w:type="dxa"/>
              <w:bottom w:w="113" w:type="dxa"/>
              <w:right w:w="113" w:type="dxa"/>
            </w:tcMar>
            <w:hideMark/>
          </w:tcPr>
          <w:p w14:paraId="33BFBB24" w14:textId="77777777" w:rsidR="00081BB4" w:rsidRPr="00081BB4" w:rsidRDefault="00081BB4" w:rsidP="00081BB4">
            <w:pPr>
              <w:jc w:val="center"/>
            </w:pPr>
            <w:r w:rsidRPr="00081BB4">
              <w:t>Chile</w:t>
            </w:r>
          </w:p>
        </w:tc>
      </w:tr>
      <w:tr w:rsidR="00081BB4" w:rsidRPr="00081BB4" w14:paraId="6BC55C02" w14:textId="77777777" w:rsidTr="00081BB4">
        <w:trPr>
          <w:jc w:val="center"/>
        </w:trPr>
        <w:tc>
          <w:tcPr>
            <w:tcW w:w="0" w:type="auto"/>
            <w:tcMar>
              <w:top w:w="113" w:type="dxa"/>
              <w:left w:w="113" w:type="dxa"/>
              <w:bottom w:w="113" w:type="dxa"/>
              <w:right w:w="113" w:type="dxa"/>
            </w:tcMar>
            <w:hideMark/>
          </w:tcPr>
          <w:p w14:paraId="58E28A73" w14:textId="77777777" w:rsidR="00081BB4" w:rsidRPr="00081BB4" w:rsidRDefault="00081BB4" w:rsidP="00081BB4">
            <w:r w:rsidRPr="00081BB4">
              <w:t>0.00</w:t>
            </w:r>
          </w:p>
        </w:tc>
        <w:tc>
          <w:tcPr>
            <w:tcW w:w="0" w:type="auto"/>
            <w:tcMar>
              <w:top w:w="113" w:type="dxa"/>
              <w:left w:w="113" w:type="dxa"/>
              <w:bottom w:w="113" w:type="dxa"/>
              <w:right w:w="113" w:type="dxa"/>
            </w:tcMar>
            <w:hideMark/>
          </w:tcPr>
          <w:p w14:paraId="05E6367F" w14:textId="77777777" w:rsidR="00081BB4" w:rsidRPr="00081BB4" w:rsidRDefault="00081BB4" w:rsidP="00081BB4">
            <w:pPr>
              <w:jc w:val="center"/>
            </w:pPr>
            <w:proofErr w:type="spellStart"/>
            <w:r w:rsidRPr="00081BB4">
              <w:t>Uruguay</w:t>
            </w:r>
            <w:proofErr w:type="spellEnd"/>
          </w:p>
        </w:tc>
      </w:tr>
      <w:tr w:rsidR="00081BB4" w:rsidRPr="00081BB4" w14:paraId="410169E6" w14:textId="77777777" w:rsidTr="00081BB4">
        <w:trPr>
          <w:jc w:val="center"/>
        </w:trPr>
        <w:tc>
          <w:tcPr>
            <w:tcW w:w="0" w:type="auto"/>
            <w:tcMar>
              <w:top w:w="113" w:type="dxa"/>
              <w:left w:w="113" w:type="dxa"/>
              <w:bottom w:w="113" w:type="dxa"/>
              <w:right w:w="113" w:type="dxa"/>
            </w:tcMar>
            <w:hideMark/>
          </w:tcPr>
          <w:p w14:paraId="0D67A992" w14:textId="77777777" w:rsidR="00081BB4" w:rsidRPr="00081BB4" w:rsidRDefault="00081BB4" w:rsidP="00081BB4">
            <w:r w:rsidRPr="00081BB4">
              <w:t>0.00</w:t>
            </w:r>
          </w:p>
        </w:tc>
        <w:tc>
          <w:tcPr>
            <w:tcW w:w="0" w:type="auto"/>
            <w:tcMar>
              <w:top w:w="113" w:type="dxa"/>
              <w:left w:w="113" w:type="dxa"/>
              <w:bottom w:w="113" w:type="dxa"/>
              <w:right w:w="113" w:type="dxa"/>
            </w:tcMar>
            <w:hideMark/>
          </w:tcPr>
          <w:p w14:paraId="5CE10ECB" w14:textId="77777777" w:rsidR="00081BB4" w:rsidRPr="00081BB4" w:rsidRDefault="00081BB4" w:rsidP="00081BB4">
            <w:pPr>
              <w:jc w:val="center"/>
            </w:pPr>
            <w:r w:rsidRPr="00081BB4">
              <w:t xml:space="preserve">South </w:t>
            </w:r>
            <w:proofErr w:type="spellStart"/>
            <w:r w:rsidRPr="00081BB4">
              <w:t>Africa</w:t>
            </w:r>
            <w:proofErr w:type="spellEnd"/>
          </w:p>
        </w:tc>
      </w:tr>
      <w:tr w:rsidR="00081BB4" w:rsidRPr="00081BB4" w14:paraId="25530C43" w14:textId="77777777" w:rsidTr="00081BB4">
        <w:trPr>
          <w:jc w:val="center"/>
        </w:trPr>
        <w:tc>
          <w:tcPr>
            <w:tcW w:w="0" w:type="auto"/>
            <w:tcMar>
              <w:top w:w="113" w:type="dxa"/>
              <w:left w:w="113" w:type="dxa"/>
              <w:bottom w:w="113" w:type="dxa"/>
              <w:right w:w="113" w:type="dxa"/>
            </w:tcMar>
            <w:hideMark/>
          </w:tcPr>
          <w:p w14:paraId="6E486276" w14:textId="77777777" w:rsidR="00081BB4" w:rsidRPr="00081BB4" w:rsidRDefault="00081BB4" w:rsidP="00081BB4">
            <w:r w:rsidRPr="00081BB4">
              <w:t>0.00</w:t>
            </w:r>
          </w:p>
        </w:tc>
        <w:tc>
          <w:tcPr>
            <w:tcW w:w="0" w:type="auto"/>
            <w:tcMar>
              <w:top w:w="113" w:type="dxa"/>
              <w:left w:w="113" w:type="dxa"/>
              <w:bottom w:w="113" w:type="dxa"/>
              <w:right w:w="113" w:type="dxa"/>
            </w:tcMar>
            <w:hideMark/>
          </w:tcPr>
          <w:p w14:paraId="69F634C3" w14:textId="77777777" w:rsidR="00081BB4" w:rsidRPr="00081BB4" w:rsidRDefault="00081BB4" w:rsidP="00081BB4">
            <w:pPr>
              <w:jc w:val="center"/>
            </w:pPr>
            <w:r w:rsidRPr="00081BB4">
              <w:t>China</w:t>
            </w:r>
          </w:p>
        </w:tc>
      </w:tr>
      <w:tr w:rsidR="00081BB4" w:rsidRPr="00081BB4" w14:paraId="10C83779" w14:textId="77777777" w:rsidTr="00081BB4">
        <w:trPr>
          <w:jc w:val="center"/>
        </w:trPr>
        <w:tc>
          <w:tcPr>
            <w:tcW w:w="0" w:type="auto"/>
            <w:tcMar>
              <w:top w:w="113" w:type="dxa"/>
              <w:left w:w="113" w:type="dxa"/>
              <w:bottom w:w="113" w:type="dxa"/>
              <w:right w:w="113" w:type="dxa"/>
            </w:tcMar>
            <w:hideMark/>
          </w:tcPr>
          <w:p w14:paraId="7E0A1DA2" w14:textId="77777777" w:rsidR="00081BB4" w:rsidRPr="00081BB4" w:rsidRDefault="00081BB4" w:rsidP="00081BB4">
            <w:r w:rsidRPr="00081BB4">
              <w:t>0.00</w:t>
            </w:r>
          </w:p>
        </w:tc>
        <w:tc>
          <w:tcPr>
            <w:tcW w:w="0" w:type="auto"/>
            <w:tcMar>
              <w:top w:w="113" w:type="dxa"/>
              <w:left w:w="113" w:type="dxa"/>
              <w:bottom w:w="113" w:type="dxa"/>
              <w:right w:w="113" w:type="dxa"/>
            </w:tcMar>
            <w:hideMark/>
          </w:tcPr>
          <w:p w14:paraId="651FD200" w14:textId="77777777" w:rsidR="00081BB4" w:rsidRPr="00081BB4" w:rsidRDefault="00081BB4" w:rsidP="00081BB4">
            <w:pPr>
              <w:jc w:val="center"/>
            </w:pPr>
            <w:proofErr w:type="spellStart"/>
            <w:r w:rsidRPr="00081BB4">
              <w:t>Colombia</w:t>
            </w:r>
            <w:proofErr w:type="spellEnd"/>
          </w:p>
        </w:tc>
      </w:tr>
      <w:tr w:rsidR="00081BB4" w:rsidRPr="00081BB4" w14:paraId="0464FC01" w14:textId="77777777" w:rsidTr="00081BB4">
        <w:trPr>
          <w:jc w:val="center"/>
        </w:trPr>
        <w:tc>
          <w:tcPr>
            <w:tcW w:w="0" w:type="auto"/>
            <w:tcMar>
              <w:top w:w="113" w:type="dxa"/>
              <w:left w:w="113" w:type="dxa"/>
              <w:bottom w:w="113" w:type="dxa"/>
              <w:right w:w="113" w:type="dxa"/>
            </w:tcMar>
            <w:hideMark/>
          </w:tcPr>
          <w:p w14:paraId="6C04DEE4" w14:textId="77777777" w:rsidR="00081BB4" w:rsidRPr="00081BB4" w:rsidRDefault="00081BB4" w:rsidP="00081BB4">
            <w:r w:rsidRPr="00081BB4">
              <w:t>0.00</w:t>
            </w:r>
          </w:p>
        </w:tc>
        <w:tc>
          <w:tcPr>
            <w:tcW w:w="0" w:type="auto"/>
            <w:tcMar>
              <w:top w:w="113" w:type="dxa"/>
              <w:left w:w="113" w:type="dxa"/>
              <w:bottom w:w="113" w:type="dxa"/>
              <w:right w:w="113" w:type="dxa"/>
            </w:tcMar>
            <w:hideMark/>
          </w:tcPr>
          <w:p w14:paraId="11E7CB0A" w14:textId="77777777" w:rsidR="00081BB4" w:rsidRPr="00081BB4" w:rsidRDefault="00081BB4" w:rsidP="00081BB4">
            <w:pPr>
              <w:jc w:val="center"/>
            </w:pPr>
            <w:r w:rsidRPr="00081BB4">
              <w:t>Peru</w:t>
            </w:r>
          </w:p>
        </w:tc>
      </w:tr>
      <w:tr w:rsidR="00081BB4" w:rsidRPr="00081BB4" w14:paraId="59B930E9" w14:textId="77777777" w:rsidTr="00081BB4">
        <w:trPr>
          <w:jc w:val="center"/>
        </w:trPr>
        <w:tc>
          <w:tcPr>
            <w:tcW w:w="0" w:type="auto"/>
            <w:tcMar>
              <w:top w:w="113" w:type="dxa"/>
              <w:left w:w="113" w:type="dxa"/>
              <w:bottom w:w="113" w:type="dxa"/>
              <w:right w:w="113" w:type="dxa"/>
            </w:tcMar>
            <w:hideMark/>
          </w:tcPr>
          <w:p w14:paraId="31245CC6" w14:textId="77777777" w:rsidR="00081BB4" w:rsidRPr="00081BB4" w:rsidRDefault="00081BB4" w:rsidP="00081BB4">
            <w:r w:rsidRPr="00081BB4">
              <w:t>0.00</w:t>
            </w:r>
          </w:p>
        </w:tc>
        <w:tc>
          <w:tcPr>
            <w:tcW w:w="0" w:type="auto"/>
            <w:tcMar>
              <w:top w:w="113" w:type="dxa"/>
              <w:left w:w="113" w:type="dxa"/>
              <w:bottom w:w="113" w:type="dxa"/>
              <w:right w:w="113" w:type="dxa"/>
            </w:tcMar>
            <w:hideMark/>
          </w:tcPr>
          <w:p w14:paraId="5B07EA6D" w14:textId="77777777" w:rsidR="00081BB4" w:rsidRPr="00081BB4" w:rsidRDefault="00081BB4" w:rsidP="00081BB4">
            <w:pPr>
              <w:jc w:val="center"/>
            </w:pPr>
            <w:proofErr w:type="spellStart"/>
            <w:r w:rsidRPr="00081BB4">
              <w:t>Bolivia</w:t>
            </w:r>
            <w:proofErr w:type="spellEnd"/>
          </w:p>
        </w:tc>
      </w:tr>
      <w:tr w:rsidR="00081BB4" w:rsidRPr="00081BB4" w14:paraId="2DA4815F" w14:textId="77777777" w:rsidTr="00081BB4">
        <w:trPr>
          <w:jc w:val="center"/>
        </w:trPr>
        <w:tc>
          <w:tcPr>
            <w:tcW w:w="0" w:type="auto"/>
            <w:tcBorders>
              <w:bottom w:val="double" w:sz="6" w:space="0" w:color="auto"/>
            </w:tcBorders>
            <w:tcMar>
              <w:top w:w="113" w:type="dxa"/>
              <w:left w:w="113" w:type="dxa"/>
              <w:bottom w:w="113" w:type="dxa"/>
              <w:right w:w="113" w:type="dxa"/>
            </w:tcMar>
            <w:hideMark/>
          </w:tcPr>
          <w:p w14:paraId="30964844" w14:textId="77777777" w:rsidR="00081BB4" w:rsidRPr="00081BB4" w:rsidRDefault="00081BB4" w:rsidP="00081BB4">
            <w:r w:rsidRPr="00081BB4">
              <w:lastRenderedPageBreak/>
              <w:t>0.00</w:t>
            </w:r>
          </w:p>
        </w:tc>
        <w:tc>
          <w:tcPr>
            <w:tcW w:w="0" w:type="auto"/>
            <w:tcBorders>
              <w:bottom w:val="double" w:sz="6" w:space="0" w:color="auto"/>
            </w:tcBorders>
            <w:tcMar>
              <w:top w:w="113" w:type="dxa"/>
              <w:left w:w="113" w:type="dxa"/>
              <w:bottom w:w="113" w:type="dxa"/>
              <w:right w:w="113" w:type="dxa"/>
            </w:tcMar>
            <w:hideMark/>
          </w:tcPr>
          <w:p w14:paraId="105F2894" w14:textId="77777777" w:rsidR="00081BB4" w:rsidRPr="00081BB4" w:rsidRDefault="00081BB4" w:rsidP="00081BB4">
            <w:pPr>
              <w:jc w:val="center"/>
            </w:pPr>
            <w:proofErr w:type="spellStart"/>
            <w:r w:rsidRPr="00081BB4">
              <w:t>Paraguay</w:t>
            </w:r>
            <w:proofErr w:type="spellEnd"/>
          </w:p>
        </w:tc>
      </w:tr>
    </w:tbl>
    <w:p w14:paraId="1B03D78E" w14:textId="10649332" w:rsidR="00FE1C76" w:rsidRPr="000C0613" w:rsidRDefault="00A171F6" w:rsidP="00F92C29">
      <w:pPr>
        <w:spacing w:line="360" w:lineRule="auto"/>
        <w:jc w:val="both"/>
      </w:pPr>
      <w:r>
        <w:rPr>
          <w:rFonts w:eastAsiaTheme="minorEastAsia"/>
          <w:sz w:val="20"/>
          <w:szCs w:val="20"/>
        </w:rPr>
        <w:t xml:space="preserve">                                                     </w:t>
      </w:r>
      <w:r w:rsidRPr="00A171F6">
        <w:rPr>
          <w:rFonts w:eastAsiaTheme="minorEastAsia"/>
          <w:sz w:val="20"/>
          <w:szCs w:val="20"/>
        </w:rPr>
        <w:t>Fonte: Elaboração Própria</w:t>
      </w:r>
    </w:p>
    <w:p w14:paraId="555367CA" w14:textId="77777777" w:rsidR="003A6084" w:rsidRPr="000C0613" w:rsidRDefault="003A6084" w:rsidP="006172B1">
      <w:pPr>
        <w:spacing w:line="360" w:lineRule="auto"/>
        <w:ind w:firstLine="851"/>
        <w:rPr>
          <w:rFonts w:eastAsiaTheme="minorEastAsia"/>
        </w:rPr>
      </w:pPr>
    </w:p>
    <w:p w14:paraId="78B29B19" w14:textId="30AB76B8" w:rsidR="008354A9" w:rsidRPr="003A6084" w:rsidRDefault="00A62C2A" w:rsidP="00A62C2A">
      <w:pPr>
        <w:pStyle w:val="Legenda"/>
        <w:jc w:val="center"/>
        <w:rPr>
          <w:rFonts w:eastAsiaTheme="minorEastAsia"/>
          <w:b w:val="0"/>
        </w:rPr>
      </w:pPr>
      <w:bookmarkStart w:id="11" w:name="_Toc51772702"/>
      <w:r w:rsidRPr="003A6084">
        <w:rPr>
          <w:b w:val="0"/>
        </w:rPr>
        <w:t xml:space="preserve">Tabela </w:t>
      </w:r>
      <w:r w:rsidR="00285DE9" w:rsidRPr="003A6084">
        <w:rPr>
          <w:b w:val="0"/>
        </w:rPr>
        <w:fldChar w:fldCharType="begin"/>
      </w:r>
      <w:r w:rsidR="00285DE9" w:rsidRPr="003A6084">
        <w:rPr>
          <w:b w:val="0"/>
        </w:rPr>
        <w:instrText xml:space="preserve"> SEQ Tabela \* ARABIC </w:instrText>
      </w:r>
      <w:r w:rsidR="00285DE9" w:rsidRPr="003A6084">
        <w:rPr>
          <w:b w:val="0"/>
        </w:rPr>
        <w:fldChar w:fldCharType="separate"/>
      </w:r>
      <w:r w:rsidR="004B76AA">
        <w:rPr>
          <w:b w:val="0"/>
          <w:noProof/>
        </w:rPr>
        <w:t>3</w:t>
      </w:r>
      <w:r w:rsidR="00285DE9" w:rsidRPr="003A6084">
        <w:rPr>
          <w:b w:val="0"/>
          <w:noProof/>
        </w:rPr>
        <w:fldChar w:fldCharType="end"/>
      </w:r>
      <w:r w:rsidR="006172B1" w:rsidRPr="003A6084">
        <w:rPr>
          <w:rFonts w:eastAsiaTheme="minorEastAsia"/>
          <w:b w:val="0"/>
        </w:rPr>
        <w:t xml:space="preserve"> – Médias das variáveis </w:t>
      </w:r>
      <w:proofErr w:type="spellStart"/>
      <w:r w:rsidR="006172B1" w:rsidRPr="003A6084">
        <w:rPr>
          <w:rFonts w:eastAsiaTheme="minorEastAsia"/>
          <w:b w:val="0"/>
        </w:rPr>
        <w:t>pré</w:t>
      </w:r>
      <w:proofErr w:type="spellEnd"/>
      <w:r w:rsidR="006172B1" w:rsidRPr="003A6084">
        <w:rPr>
          <w:rFonts w:eastAsiaTheme="minorEastAsia"/>
          <w:b w:val="0"/>
        </w:rPr>
        <w:t>-intervenção</w:t>
      </w:r>
      <w:bookmarkEnd w:id="11"/>
    </w:p>
    <w:p w14:paraId="76F51147" w14:textId="77777777" w:rsidR="00C71CD2" w:rsidRPr="000C0613" w:rsidRDefault="00C71CD2" w:rsidP="00C71CD2">
      <w:pPr>
        <w:rPr>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02"/>
        <w:gridCol w:w="793"/>
        <w:gridCol w:w="967"/>
        <w:gridCol w:w="1402"/>
      </w:tblGrid>
      <w:tr w:rsidR="00C71CD2" w:rsidRPr="00C71CD2" w14:paraId="784314C2" w14:textId="77777777" w:rsidTr="00C71CD2">
        <w:trPr>
          <w:tblCellSpacing w:w="15" w:type="dxa"/>
          <w:jc w:val="center"/>
        </w:trPr>
        <w:tc>
          <w:tcPr>
            <w:tcW w:w="0" w:type="auto"/>
            <w:gridSpan w:val="4"/>
            <w:tcBorders>
              <w:bottom w:val="single" w:sz="6" w:space="0" w:color="000000"/>
            </w:tcBorders>
            <w:vAlign w:val="center"/>
            <w:hideMark/>
          </w:tcPr>
          <w:p w14:paraId="32A4D318" w14:textId="77777777" w:rsidR="00C71CD2" w:rsidRPr="00C71CD2" w:rsidRDefault="00C71CD2" w:rsidP="00C71CD2">
            <w:pPr>
              <w:jc w:val="center"/>
            </w:pPr>
          </w:p>
        </w:tc>
      </w:tr>
      <w:tr w:rsidR="00C71CD2" w:rsidRPr="00C71CD2" w14:paraId="157988CA" w14:textId="77777777" w:rsidTr="00C71CD2">
        <w:trPr>
          <w:tblCellSpacing w:w="15" w:type="dxa"/>
          <w:jc w:val="center"/>
        </w:trPr>
        <w:tc>
          <w:tcPr>
            <w:tcW w:w="0" w:type="auto"/>
            <w:vAlign w:val="center"/>
            <w:hideMark/>
          </w:tcPr>
          <w:p w14:paraId="40805CE6" w14:textId="77777777" w:rsidR="00C71CD2" w:rsidRPr="00C71CD2" w:rsidRDefault="00C71CD2" w:rsidP="00C71CD2"/>
        </w:tc>
        <w:tc>
          <w:tcPr>
            <w:tcW w:w="0" w:type="auto"/>
            <w:vAlign w:val="center"/>
            <w:hideMark/>
          </w:tcPr>
          <w:p w14:paraId="1778B84D" w14:textId="77777777" w:rsidR="00C71CD2" w:rsidRPr="00C71CD2" w:rsidRDefault="00C71CD2" w:rsidP="00C71CD2">
            <w:pPr>
              <w:jc w:val="center"/>
            </w:pPr>
            <w:proofErr w:type="spellStart"/>
            <w:r w:rsidRPr="00C71CD2">
              <w:t>Treated</w:t>
            </w:r>
            <w:proofErr w:type="spellEnd"/>
          </w:p>
        </w:tc>
        <w:tc>
          <w:tcPr>
            <w:tcW w:w="0" w:type="auto"/>
            <w:vAlign w:val="center"/>
            <w:hideMark/>
          </w:tcPr>
          <w:p w14:paraId="0D432629" w14:textId="77777777" w:rsidR="00C71CD2" w:rsidRPr="00C71CD2" w:rsidRDefault="00C71CD2" w:rsidP="00C71CD2">
            <w:pPr>
              <w:jc w:val="center"/>
            </w:pPr>
            <w:proofErr w:type="spellStart"/>
            <w:r w:rsidRPr="00C71CD2">
              <w:t>Synthetic</w:t>
            </w:r>
            <w:proofErr w:type="spellEnd"/>
          </w:p>
        </w:tc>
        <w:tc>
          <w:tcPr>
            <w:tcW w:w="0" w:type="auto"/>
            <w:vAlign w:val="center"/>
            <w:hideMark/>
          </w:tcPr>
          <w:p w14:paraId="641BB19C" w14:textId="77777777" w:rsidR="00C71CD2" w:rsidRPr="00C71CD2" w:rsidRDefault="00C71CD2" w:rsidP="00C71CD2">
            <w:pPr>
              <w:jc w:val="center"/>
            </w:pPr>
            <w:proofErr w:type="spellStart"/>
            <w:r w:rsidRPr="00C71CD2">
              <w:t>Sample</w:t>
            </w:r>
            <w:proofErr w:type="spellEnd"/>
            <w:r w:rsidRPr="00C71CD2">
              <w:t xml:space="preserve"> </w:t>
            </w:r>
            <w:proofErr w:type="spellStart"/>
            <w:r w:rsidRPr="00C71CD2">
              <w:t>Mean</w:t>
            </w:r>
            <w:proofErr w:type="spellEnd"/>
          </w:p>
        </w:tc>
      </w:tr>
      <w:tr w:rsidR="00C71CD2" w:rsidRPr="00C71CD2" w14:paraId="67B5B1DE" w14:textId="77777777" w:rsidTr="00C71CD2">
        <w:trPr>
          <w:tblCellSpacing w:w="15" w:type="dxa"/>
          <w:jc w:val="center"/>
        </w:trPr>
        <w:tc>
          <w:tcPr>
            <w:tcW w:w="0" w:type="auto"/>
            <w:gridSpan w:val="4"/>
            <w:tcBorders>
              <w:bottom w:val="single" w:sz="6" w:space="0" w:color="000000"/>
            </w:tcBorders>
            <w:vAlign w:val="center"/>
            <w:hideMark/>
          </w:tcPr>
          <w:p w14:paraId="72815C0F" w14:textId="77777777" w:rsidR="00C71CD2" w:rsidRPr="00C71CD2" w:rsidRDefault="00C71CD2" w:rsidP="00C71CD2">
            <w:pPr>
              <w:jc w:val="center"/>
            </w:pPr>
          </w:p>
        </w:tc>
      </w:tr>
      <w:tr w:rsidR="00C71CD2" w:rsidRPr="00C71CD2" w14:paraId="6388C274" w14:textId="77777777" w:rsidTr="00C71CD2">
        <w:trPr>
          <w:tblCellSpacing w:w="15" w:type="dxa"/>
          <w:jc w:val="center"/>
        </w:trPr>
        <w:tc>
          <w:tcPr>
            <w:tcW w:w="0" w:type="auto"/>
            <w:vAlign w:val="center"/>
            <w:hideMark/>
          </w:tcPr>
          <w:p w14:paraId="40758CC2" w14:textId="1CF1F831" w:rsidR="00C71CD2" w:rsidRPr="00C71CD2" w:rsidRDefault="00C71CD2" w:rsidP="00C71CD2">
            <w:r w:rsidRPr="00C71CD2">
              <w:t>GDP per capita</w:t>
            </w:r>
            <w:r w:rsidR="003A6084">
              <w:t xml:space="preserve"> (Log)</w:t>
            </w:r>
          </w:p>
        </w:tc>
        <w:tc>
          <w:tcPr>
            <w:tcW w:w="0" w:type="auto"/>
            <w:vAlign w:val="center"/>
            <w:hideMark/>
          </w:tcPr>
          <w:p w14:paraId="78A5B2A8" w14:textId="77777777" w:rsidR="00C71CD2" w:rsidRPr="00C71CD2" w:rsidRDefault="00C71CD2" w:rsidP="00C71CD2">
            <w:pPr>
              <w:jc w:val="center"/>
            </w:pPr>
            <w:r w:rsidRPr="00C71CD2">
              <w:t>9.180</w:t>
            </w:r>
          </w:p>
        </w:tc>
        <w:tc>
          <w:tcPr>
            <w:tcW w:w="0" w:type="auto"/>
            <w:vAlign w:val="center"/>
            <w:hideMark/>
          </w:tcPr>
          <w:p w14:paraId="07C3E27A" w14:textId="77777777" w:rsidR="00C71CD2" w:rsidRPr="00C71CD2" w:rsidRDefault="00C71CD2" w:rsidP="00C71CD2">
            <w:pPr>
              <w:jc w:val="center"/>
            </w:pPr>
            <w:r w:rsidRPr="00C71CD2">
              <w:t>9.114</w:t>
            </w:r>
          </w:p>
        </w:tc>
        <w:tc>
          <w:tcPr>
            <w:tcW w:w="0" w:type="auto"/>
            <w:vAlign w:val="center"/>
            <w:hideMark/>
          </w:tcPr>
          <w:p w14:paraId="00D41726" w14:textId="77777777" w:rsidR="00C71CD2" w:rsidRPr="00C71CD2" w:rsidRDefault="00C71CD2" w:rsidP="00C71CD2">
            <w:pPr>
              <w:jc w:val="center"/>
            </w:pPr>
            <w:r w:rsidRPr="00C71CD2">
              <w:t>8.640</w:t>
            </w:r>
          </w:p>
        </w:tc>
      </w:tr>
      <w:tr w:rsidR="00C71CD2" w:rsidRPr="00C71CD2" w14:paraId="154C5AF9" w14:textId="77777777" w:rsidTr="00C71CD2">
        <w:trPr>
          <w:tblCellSpacing w:w="15" w:type="dxa"/>
          <w:jc w:val="center"/>
        </w:trPr>
        <w:tc>
          <w:tcPr>
            <w:tcW w:w="0" w:type="auto"/>
            <w:vAlign w:val="center"/>
            <w:hideMark/>
          </w:tcPr>
          <w:p w14:paraId="1098B815" w14:textId="77777777" w:rsidR="00C71CD2" w:rsidRPr="00C71CD2" w:rsidRDefault="00C71CD2" w:rsidP="00C71CD2">
            <w:proofErr w:type="spellStart"/>
            <w:r>
              <w:t>Annual</w:t>
            </w:r>
            <w:proofErr w:type="spellEnd"/>
            <w:r>
              <w:t xml:space="preserve"> </w:t>
            </w:r>
            <w:proofErr w:type="spellStart"/>
            <w:r>
              <w:t>Growth</w:t>
            </w:r>
            <w:proofErr w:type="spellEnd"/>
            <w:r>
              <w:t xml:space="preserve"> GDP (%)</w:t>
            </w:r>
          </w:p>
        </w:tc>
        <w:tc>
          <w:tcPr>
            <w:tcW w:w="0" w:type="auto"/>
            <w:vAlign w:val="center"/>
            <w:hideMark/>
          </w:tcPr>
          <w:p w14:paraId="4DDAB7B3" w14:textId="77777777" w:rsidR="00C71CD2" w:rsidRPr="00C71CD2" w:rsidRDefault="00C71CD2" w:rsidP="00C71CD2">
            <w:pPr>
              <w:jc w:val="center"/>
            </w:pPr>
            <w:r w:rsidRPr="00C71CD2">
              <w:t>3.769</w:t>
            </w:r>
          </w:p>
        </w:tc>
        <w:tc>
          <w:tcPr>
            <w:tcW w:w="0" w:type="auto"/>
            <w:vAlign w:val="center"/>
            <w:hideMark/>
          </w:tcPr>
          <w:p w14:paraId="5AC61F19" w14:textId="77777777" w:rsidR="00C71CD2" w:rsidRPr="00C71CD2" w:rsidRDefault="00C71CD2" w:rsidP="00C71CD2">
            <w:pPr>
              <w:jc w:val="center"/>
            </w:pPr>
            <w:r w:rsidRPr="00C71CD2">
              <w:t>3.507</w:t>
            </w:r>
          </w:p>
        </w:tc>
        <w:tc>
          <w:tcPr>
            <w:tcW w:w="0" w:type="auto"/>
            <w:vAlign w:val="center"/>
            <w:hideMark/>
          </w:tcPr>
          <w:p w14:paraId="7DA3F073" w14:textId="77777777" w:rsidR="00C71CD2" w:rsidRPr="00C71CD2" w:rsidRDefault="00C71CD2" w:rsidP="00C71CD2">
            <w:pPr>
              <w:jc w:val="center"/>
            </w:pPr>
            <w:r w:rsidRPr="00C71CD2">
              <w:t>4.330</w:t>
            </w:r>
          </w:p>
        </w:tc>
      </w:tr>
      <w:tr w:rsidR="00C71CD2" w:rsidRPr="00C71CD2" w14:paraId="2154EC9E" w14:textId="77777777" w:rsidTr="00C71CD2">
        <w:trPr>
          <w:tblCellSpacing w:w="15" w:type="dxa"/>
          <w:jc w:val="center"/>
        </w:trPr>
        <w:tc>
          <w:tcPr>
            <w:tcW w:w="0" w:type="auto"/>
            <w:vAlign w:val="center"/>
            <w:hideMark/>
          </w:tcPr>
          <w:p w14:paraId="2D4ACB37" w14:textId="77777777" w:rsidR="00C71CD2" w:rsidRPr="00C71CD2" w:rsidRDefault="00C71CD2" w:rsidP="00C71CD2">
            <w:r>
              <w:t xml:space="preserve">FDI (% </w:t>
            </w:r>
            <w:proofErr w:type="spellStart"/>
            <w:r>
              <w:t>of</w:t>
            </w:r>
            <w:proofErr w:type="spellEnd"/>
            <w:r>
              <w:t xml:space="preserve"> GDP)</w:t>
            </w:r>
            <w:r w:rsidRPr="00081BB4">
              <w:t xml:space="preserve"> </w:t>
            </w:r>
          </w:p>
        </w:tc>
        <w:tc>
          <w:tcPr>
            <w:tcW w:w="0" w:type="auto"/>
            <w:vAlign w:val="center"/>
            <w:hideMark/>
          </w:tcPr>
          <w:p w14:paraId="2962BEC5" w14:textId="77777777" w:rsidR="00C71CD2" w:rsidRPr="00C71CD2" w:rsidRDefault="00C71CD2" w:rsidP="00C71CD2">
            <w:pPr>
              <w:jc w:val="center"/>
            </w:pPr>
            <w:r w:rsidRPr="00C71CD2">
              <w:t>2.933</w:t>
            </w:r>
          </w:p>
        </w:tc>
        <w:tc>
          <w:tcPr>
            <w:tcW w:w="0" w:type="auto"/>
            <w:vAlign w:val="center"/>
            <w:hideMark/>
          </w:tcPr>
          <w:p w14:paraId="4C3D5179" w14:textId="77777777" w:rsidR="00C71CD2" w:rsidRPr="00C71CD2" w:rsidRDefault="00C71CD2" w:rsidP="00C71CD2">
            <w:pPr>
              <w:jc w:val="center"/>
            </w:pPr>
            <w:r w:rsidRPr="00C71CD2">
              <w:t>2.949</w:t>
            </w:r>
          </w:p>
        </w:tc>
        <w:tc>
          <w:tcPr>
            <w:tcW w:w="0" w:type="auto"/>
            <w:vAlign w:val="center"/>
            <w:hideMark/>
          </w:tcPr>
          <w:p w14:paraId="676B7ADA" w14:textId="77777777" w:rsidR="00C71CD2" w:rsidRPr="00C71CD2" w:rsidRDefault="00C71CD2" w:rsidP="00C71CD2">
            <w:pPr>
              <w:jc w:val="center"/>
            </w:pPr>
            <w:r w:rsidRPr="00C71CD2">
              <w:t>3.241</w:t>
            </w:r>
          </w:p>
        </w:tc>
      </w:tr>
      <w:tr w:rsidR="00C71CD2" w:rsidRPr="00C71CD2" w14:paraId="6AFAE964" w14:textId="77777777" w:rsidTr="00C71CD2">
        <w:trPr>
          <w:tblCellSpacing w:w="15" w:type="dxa"/>
          <w:jc w:val="center"/>
        </w:trPr>
        <w:tc>
          <w:tcPr>
            <w:tcW w:w="0" w:type="auto"/>
            <w:vAlign w:val="center"/>
            <w:hideMark/>
          </w:tcPr>
          <w:p w14:paraId="520620B2" w14:textId="77777777" w:rsidR="00C71CD2" w:rsidRPr="00C71CD2" w:rsidRDefault="00C71CD2" w:rsidP="00C71CD2">
            <w:proofErr w:type="spellStart"/>
            <w:r>
              <w:t>Consumption</w:t>
            </w:r>
            <w:proofErr w:type="spellEnd"/>
            <w:r>
              <w:t xml:space="preserve"> </w:t>
            </w:r>
            <w:proofErr w:type="spellStart"/>
            <w:r w:rsidRPr="00081BB4">
              <w:t>expenditure</w:t>
            </w:r>
            <w:proofErr w:type="spellEnd"/>
            <w:r>
              <w:t xml:space="preserve"> </w:t>
            </w:r>
            <w:proofErr w:type="spellStart"/>
            <w:r>
              <w:t>growt</w:t>
            </w:r>
            <w:proofErr w:type="spellEnd"/>
            <w:r>
              <w:t xml:space="preserve"> (%)</w:t>
            </w:r>
          </w:p>
        </w:tc>
        <w:tc>
          <w:tcPr>
            <w:tcW w:w="0" w:type="auto"/>
            <w:vAlign w:val="center"/>
            <w:hideMark/>
          </w:tcPr>
          <w:p w14:paraId="50212873" w14:textId="77777777" w:rsidR="00C71CD2" w:rsidRPr="00C71CD2" w:rsidRDefault="00C71CD2" w:rsidP="00C71CD2">
            <w:pPr>
              <w:jc w:val="center"/>
            </w:pPr>
            <w:r w:rsidRPr="00C71CD2">
              <w:t>3.615</w:t>
            </w:r>
          </w:p>
        </w:tc>
        <w:tc>
          <w:tcPr>
            <w:tcW w:w="0" w:type="auto"/>
            <w:vAlign w:val="center"/>
            <w:hideMark/>
          </w:tcPr>
          <w:p w14:paraId="2319B12D" w14:textId="77777777" w:rsidR="00C71CD2" w:rsidRPr="00C71CD2" w:rsidRDefault="00C71CD2" w:rsidP="00C71CD2">
            <w:pPr>
              <w:jc w:val="center"/>
            </w:pPr>
            <w:r w:rsidRPr="00C71CD2">
              <w:t>4.022</w:t>
            </w:r>
          </w:p>
        </w:tc>
        <w:tc>
          <w:tcPr>
            <w:tcW w:w="0" w:type="auto"/>
            <w:vAlign w:val="center"/>
            <w:hideMark/>
          </w:tcPr>
          <w:p w14:paraId="2BAEC651" w14:textId="77777777" w:rsidR="00C71CD2" w:rsidRPr="00C71CD2" w:rsidRDefault="00C71CD2" w:rsidP="00C71CD2">
            <w:pPr>
              <w:jc w:val="center"/>
            </w:pPr>
            <w:r w:rsidRPr="00C71CD2">
              <w:t>4.318</w:t>
            </w:r>
          </w:p>
        </w:tc>
      </w:tr>
      <w:tr w:rsidR="00C71CD2" w:rsidRPr="00C71CD2" w14:paraId="49F57A80" w14:textId="77777777" w:rsidTr="00C71CD2">
        <w:trPr>
          <w:tblCellSpacing w:w="15" w:type="dxa"/>
          <w:jc w:val="center"/>
        </w:trPr>
        <w:tc>
          <w:tcPr>
            <w:tcW w:w="0" w:type="auto"/>
            <w:vAlign w:val="center"/>
            <w:hideMark/>
          </w:tcPr>
          <w:p w14:paraId="36D8849C" w14:textId="77777777" w:rsidR="00C71CD2" w:rsidRPr="00C71CD2" w:rsidRDefault="00C71CD2" w:rsidP="00C71CD2">
            <w:r>
              <w:t xml:space="preserve">Index </w:t>
            </w:r>
            <w:proofErr w:type="spellStart"/>
            <w:r>
              <w:t>of</w:t>
            </w:r>
            <w:proofErr w:type="spellEnd"/>
            <w:r>
              <w:t xml:space="preserve"> </w:t>
            </w:r>
            <w:proofErr w:type="spellStart"/>
            <w:r>
              <w:t>Economic</w:t>
            </w:r>
            <w:proofErr w:type="spellEnd"/>
            <w:r>
              <w:t xml:space="preserve"> </w:t>
            </w:r>
            <w:proofErr w:type="spellStart"/>
            <w:r>
              <w:t>Freedom</w:t>
            </w:r>
            <w:proofErr w:type="spellEnd"/>
          </w:p>
        </w:tc>
        <w:tc>
          <w:tcPr>
            <w:tcW w:w="0" w:type="auto"/>
            <w:vAlign w:val="center"/>
            <w:hideMark/>
          </w:tcPr>
          <w:p w14:paraId="2B642213" w14:textId="77777777" w:rsidR="00C71CD2" w:rsidRPr="00C71CD2" w:rsidRDefault="00C71CD2" w:rsidP="00C71CD2">
            <w:pPr>
              <w:jc w:val="center"/>
            </w:pPr>
            <w:r w:rsidRPr="00C71CD2">
              <w:t>59.745</w:t>
            </w:r>
          </w:p>
        </w:tc>
        <w:tc>
          <w:tcPr>
            <w:tcW w:w="0" w:type="auto"/>
            <w:vAlign w:val="center"/>
            <w:hideMark/>
          </w:tcPr>
          <w:p w14:paraId="3B7BFEBB" w14:textId="77777777" w:rsidR="00C71CD2" w:rsidRPr="00C71CD2" w:rsidRDefault="00C71CD2" w:rsidP="00C71CD2">
            <w:pPr>
              <w:jc w:val="center"/>
            </w:pPr>
            <w:r w:rsidRPr="00C71CD2">
              <w:t>60.071</w:t>
            </w:r>
          </w:p>
        </w:tc>
        <w:tc>
          <w:tcPr>
            <w:tcW w:w="0" w:type="auto"/>
            <w:vAlign w:val="center"/>
            <w:hideMark/>
          </w:tcPr>
          <w:p w14:paraId="1EE81EE2" w14:textId="77777777" w:rsidR="00C71CD2" w:rsidRPr="00C71CD2" w:rsidRDefault="00C71CD2" w:rsidP="00C71CD2">
            <w:pPr>
              <w:jc w:val="center"/>
            </w:pPr>
            <w:r w:rsidRPr="00C71CD2">
              <w:t>61.940</w:t>
            </w:r>
          </w:p>
        </w:tc>
      </w:tr>
      <w:tr w:rsidR="00C71CD2" w:rsidRPr="00C71CD2" w14:paraId="08FDD5D1" w14:textId="77777777" w:rsidTr="00C71CD2">
        <w:trPr>
          <w:tblCellSpacing w:w="15" w:type="dxa"/>
          <w:jc w:val="center"/>
        </w:trPr>
        <w:tc>
          <w:tcPr>
            <w:tcW w:w="0" w:type="auto"/>
            <w:gridSpan w:val="4"/>
            <w:tcBorders>
              <w:bottom w:val="single" w:sz="6" w:space="0" w:color="000000"/>
            </w:tcBorders>
            <w:vAlign w:val="center"/>
            <w:hideMark/>
          </w:tcPr>
          <w:p w14:paraId="69695564" w14:textId="77777777" w:rsidR="00C71CD2" w:rsidRPr="00C71CD2" w:rsidRDefault="00C71CD2" w:rsidP="00C71CD2">
            <w:pPr>
              <w:jc w:val="center"/>
            </w:pPr>
          </w:p>
        </w:tc>
      </w:tr>
    </w:tbl>
    <w:p w14:paraId="0D006967" w14:textId="268F8E66" w:rsidR="008354A9" w:rsidRDefault="00E52F4A" w:rsidP="00E52F4A">
      <w:pPr>
        <w:spacing w:line="360" w:lineRule="auto"/>
        <w:rPr>
          <w:rFonts w:eastAsiaTheme="minorEastAsia"/>
          <w:sz w:val="20"/>
          <w:szCs w:val="20"/>
        </w:rPr>
      </w:pPr>
      <w:r>
        <w:rPr>
          <w:rFonts w:eastAsiaTheme="minorEastAsia"/>
          <w:sz w:val="20"/>
          <w:szCs w:val="20"/>
        </w:rPr>
        <w:t xml:space="preserve">                 </w:t>
      </w:r>
      <w:r w:rsidRPr="00A171F6">
        <w:rPr>
          <w:rFonts w:eastAsiaTheme="minorEastAsia"/>
          <w:sz w:val="20"/>
          <w:szCs w:val="20"/>
        </w:rPr>
        <w:t>Fonte: Elaboração Própria</w:t>
      </w:r>
    </w:p>
    <w:p w14:paraId="2291229C" w14:textId="77777777" w:rsidR="008A3056" w:rsidRPr="000C0613" w:rsidRDefault="008A3056" w:rsidP="00E52F4A">
      <w:pPr>
        <w:spacing w:line="360" w:lineRule="auto"/>
      </w:pPr>
    </w:p>
    <w:p w14:paraId="63D849EA" w14:textId="7BDE23F9" w:rsidR="00DE2235" w:rsidRDefault="000873CB" w:rsidP="008F02B2">
      <w:pPr>
        <w:spacing w:line="360" w:lineRule="auto"/>
        <w:ind w:firstLine="851"/>
        <w:jc w:val="both"/>
        <w:rPr>
          <w:rFonts w:eastAsiaTheme="minorEastAsia"/>
        </w:rPr>
      </w:pPr>
      <w:r>
        <w:rPr>
          <w:rFonts w:eastAsiaTheme="minorEastAsia"/>
        </w:rPr>
        <w:t>Diante disso</w:t>
      </w:r>
      <w:r w:rsidR="008F02B2" w:rsidRPr="000C0613">
        <w:rPr>
          <w:rFonts w:eastAsiaTheme="minorEastAsia"/>
        </w:rPr>
        <w:t>,</w:t>
      </w:r>
      <w:r w:rsidR="001D22D7">
        <w:rPr>
          <w:rFonts w:eastAsiaTheme="minorEastAsia"/>
        </w:rPr>
        <w:t xml:space="preserve"> o</w:t>
      </w:r>
      <w:r w:rsidR="00DE2235">
        <w:rPr>
          <w:rFonts w:eastAsiaTheme="minorEastAsia"/>
        </w:rPr>
        <w:t xml:space="preserve"> resultado principal do método de controle sintético é mostrar a diferença entre a unidade tratada e a unidade sintética. Assim,</w:t>
      </w:r>
      <w:r>
        <w:rPr>
          <w:rFonts w:eastAsiaTheme="minorEastAsia"/>
        </w:rPr>
        <w:t xml:space="preserve"> é possível verificar </w:t>
      </w:r>
      <w:r w:rsidR="008F02B2" w:rsidRPr="000C0613">
        <w:rPr>
          <w:rFonts w:eastAsiaTheme="minorEastAsia"/>
        </w:rPr>
        <w:t xml:space="preserve">os resultados da comparação entre o Brasil </w:t>
      </w:r>
      <w:r w:rsidR="00EA575C">
        <w:rPr>
          <w:rFonts w:eastAsiaTheme="minorEastAsia"/>
        </w:rPr>
        <w:t>sintético</w:t>
      </w:r>
      <w:r w:rsidR="008F02B2" w:rsidRPr="000C0613">
        <w:rPr>
          <w:rFonts w:eastAsiaTheme="minorEastAsia"/>
        </w:rPr>
        <w:t xml:space="preserve"> e o os dados reais das fusões e aquisições</w:t>
      </w:r>
      <w:r w:rsidR="00CA6464">
        <w:rPr>
          <w:rFonts w:eastAsiaTheme="minorEastAsia"/>
        </w:rPr>
        <w:t xml:space="preserve"> internacionais</w:t>
      </w:r>
      <w:r w:rsidR="001D22D7">
        <w:rPr>
          <w:rFonts w:eastAsiaTheme="minorEastAsia"/>
        </w:rPr>
        <w:t xml:space="preserve"> no Gráfico 1</w:t>
      </w:r>
      <w:r w:rsidR="00CA6464">
        <w:rPr>
          <w:rFonts w:eastAsiaTheme="minorEastAsia"/>
        </w:rPr>
        <w:t xml:space="preserve">: o eixo Y representa o número de fusões e aquisições internacional no Brasil; o eixo X representa a variável temporal, nos anos de 2000 a 2018; a linha contínua </w:t>
      </w:r>
      <w:r w:rsidR="00EA575C">
        <w:rPr>
          <w:rFonts w:eastAsiaTheme="minorEastAsia"/>
        </w:rPr>
        <w:t xml:space="preserve">indica </w:t>
      </w:r>
      <w:r w:rsidR="00CA6464">
        <w:rPr>
          <w:rFonts w:eastAsiaTheme="minorEastAsia"/>
        </w:rPr>
        <w:t>os dados reais brasileiros e a linhas com traços</w:t>
      </w:r>
      <w:r w:rsidR="00EA575C">
        <w:rPr>
          <w:rFonts w:eastAsiaTheme="minorEastAsia"/>
        </w:rPr>
        <w:t>, a</w:t>
      </w:r>
      <w:r w:rsidR="00CA6464">
        <w:rPr>
          <w:rFonts w:eastAsiaTheme="minorEastAsia"/>
        </w:rPr>
        <w:t xml:space="preserve"> unidade sintética e</w:t>
      </w:r>
      <w:r w:rsidR="00EA575C">
        <w:rPr>
          <w:rFonts w:eastAsiaTheme="minorEastAsia"/>
        </w:rPr>
        <w:t>,</w:t>
      </w:r>
      <w:r w:rsidR="00CA6464">
        <w:rPr>
          <w:rFonts w:eastAsiaTheme="minorEastAsia"/>
        </w:rPr>
        <w:t xml:space="preserve"> por fim, a linha vertical representa o </w:t>
      </w:r>
      <w:r w:rsidR="00EA575C">
        <w:rPr>
          <w:rFonts w:eastAsiaTheme="minorEastAsia"/>
        </w:rPr>
        <w:t xml:space="preserve">momento </w:t>
      </w:r>
      <w:r w:rsidR="00CA6464">
        <w:rPr>
          <w:rFonts w:eastAsiaTheme="minorEastAsia"/>
        </w:rPr>
        <w:t>em que houve as mudanças dos critérios de análise dos atos de concentração.</w:t>
      </w:r>
    </w:p>
    <w:p w14:paraId="7B988A5E" w14:textId="1416FCF3" w:rsidR="008F02B2" w:rsidRDefault="00CA6464" w:rsidP="008F02B2">
      <w:pPr>
        <w:spacing w:line="360" w:lineRule="auto"/>
        <w:ind w:firstLine="851"/>
        <w:jc w:val="both"/>
        <w:rPr>
          <w:rFonts w:eastAsiaTheme="minorEastAsia"/>
        </w:rPr>
      </w:pPr>
      <w:r>
        <w:rPr>
          <w:rFonts w:eastAsiaTheme="minorEastAsia"/>
        </w:rPr>
        <w:t>Nesse sentido, p</w:t>
      </w:r>
      <w:r w:rsidR="00E01ADF">
        <w:rPr>
          <w:rFonts w:eastAsiaTheme="minorEastAsia"/>
        </w:rPr>
        <w:t xml:space="preserve">ercebe-se que há </w:t>
      </w:r>
      <w:r w:rsidR="00DE2235">
        <w:rPr>
          <w:rFonts w:eastAsiaTheme="minorEastAsia"/>
        </w:rPr>
        <w:t>um ajustamento</w:t>
      </w:r>
      <w:r w:rsidR="00E01ADF">
        <w:rPr>
          <w:rFonts w:eastAsiaTheme="minorEastAsia"/>
        </w:rPr>
        <w:t xml:space="preserve"> </w:t>
      </w:r>
      <w:r w:rsidR="00DE2235">
        <w:rPr>
          <w:rFonts w:eastAsiaTheme="minorEastAsia"/>
        </w:rPr>
        <w:t>no período pré-tratamento entre</w:t>
      </w:r>
      <w:r w:rsidR="00E01ADF">
        <w:rPr>
          <w:rFonts w:eastAsiaTheme="minorEastAsia"/>
        </w:rPr>
        <w:t xml:space="preserve"> na unidade d</w:t>
      </w:r>
      <w:r w:rsidR="00DE2235">
        <w:rPr>
          <w:rFonts w:eastAsiaTheme="minorEastAsia"/>
        </w:rPr>
        <w:t>e tratamento e unidade sintética</w:t>
      </w:r>
      <w:r w:rsidR="00E01ADF">
        <w:rPr>
          <w:rFonts w:eastAsiaTheme="minorEastAsia"/>
        </w:rPr>
        <w:t>,</w:t>
      </w:r>
      <w:r w:rsidR="00DE2235">
        <w:rPr>
          <w:rFonts w:eastAsiaTheme="minorEastAsia"/>
        </w:rPr>
        <w:t xml:space="preserve"> embora não seja um ajustamento perfeito. I</w:t>
      </w:r>
      <w:r w:rsidR="00E01ADF">
        <w:rPr>
          <w:rFonts w:eastAsiaTheme="minorEastAsia"/>
        </w:rPr>
        <w:t xml:space="preserve">sso se deve, de fato, a dois motivos: a volatilidade dessa variável de interesse e </w:t>
      </w:r>
      <w:r w:rsidR="00E55137">
        <w:rPr>
          <w:rFonts w:eastAsiaTheme="minorEastAsia"/>
        </w:rPr>
        <w:t xml:space="preserve">o espaço temporal da amostra deixa essa volatilidade mais nítida. No entanto é </w:t>
      </w:r>
      <w:r w:rsidR="00DE2235">
        <w:rPr>
          <w:rFonts w:eastAsiaTheme="minorEastAsia"/>
        </w:rPr>
        <w:t xml:space="preserve">possível </w:t>
      </w:r>
      <w:r w:rsidR="002F0180">
        <w:rPr>
          <w:rFonts w:eastAsiaTheme="minorEastAsia"/>
        </w:rPr>
        <w:t xml:space="preserve">identificar </w:t>
      </w:r>
      <w:r w:rsidR="00DE2235">
        <w:rPr>
          <w:rFonts w:eastAsiaTheme="minorEastAsia"/>
        </w:rPr>
        <w:t>um ajustamento pré-</w:t>
      </w:r>
      <w:r w:rsidR="00E55137">
        <w:rPr>
          <w:rFonts w:eastAsiaTheme="minorEastAsia"/>
        </w:rPr>
        <w:t xml:space="preserve">tratamento e uma diferença razoável </w:t>
      </w:r>
      <w:r w:rsidR="00DE2235">
        <w:rPr>
          <w:rFonts w:eastAsiaTheme="minorEastAsia"/>
        </w:rPr>
        <w:t>após a delimitação temporal da intervenção</w:t>
      </w:r>
      <w:r>
        <w:rPr>
          <w:rFonts w:eastAsiaTheme="minorEastAsia"/>
        </w:rPr>
        <w:t>.</w:t>
      </w:r>
    </w:p>
    <w:p w14:paraId="3E1600AC" w14:textId="6742D4D6" w:rsidR="005C38AD" w:rsidRDefault="00E43176" w:rsidP="00E43176">
      <w:pPr>
        <w:spacing w:line="360" w:lineRule="auto"/>
        <w:ind w:firstLine="851"/>
        <w:jc w:val="both"/>
        <w:rPr>
          <w:rFonts w:eastAsiaTheme="minorEastAsia"/>
        </w:rPr>
      </w:pPr>
      <w:r>
        <w:rPr>
          <w:rFonts w:eastAsiaTheme="minorEastAsia"/>
        </w:rPr>
        <w:t xml:space="preserve">Outra forma de </w:t>
      </w:r>
      <w:r w:rsidR="002F0180">
        <w:rPr>
          <w:rFonts w:eastAsiaTheme="minorEastAsia"/>
        </w:rPr>
        <w:t xml:space="preserve">perceber </w:t>
      </w:r>
      <w:r>
        <w:rPr>
          <w:rFonts w:eastAsiaTheme="minorEastAsia"/>
        </w:rPr>
        <w:t xml:space="preserve">o efeito da intervenção é </w:t>
      </w:r>
      <w:r w:rsidR="002F0180">
        <w:rPr>
          <w:rFonts w:eastAsiaTheme="minorEastAsia"/>
        </w:rPr>
        <w:t xml:space="preserve">atentar para </w:t>
      </w:r>
      <w:r w:rsidR="003548C9">
        <w:rPr>
          <w:rFonts w:eastAsiaTheme="minorEastAsia"/>
        </w:rPr>
        <w:t>a diferença entre o nú</w:t>
      </w:r>
      <w:r>
        <w:rPr>
          <w:rFonts w:eastAsiaTheme="minorEastAsia"/>
        </w:rPr>
        <w:t xml:space="preserve">mero de fusões e aquisições internacionais no Brasil no período </w:t>
      </w:r>
      <w:proofErr w:type="spellStart"/>
      <w:r>
        <w:rPr>
          <w:rFonts w:eastAsiaTheme="minorEastAsia"/>
        </w:rPr>
        <w:t>pré</w:t>
      </w:r>
      <w:proofErr w:type="spellEnd"/>
      <w:r>
        <w:rPr>
          <w:rFonts w:eastAsiaTheme="minorEastAsia"/>
        </w:rPr>
        <w:t xml:space="preserve"> e pós-tratamento. O </w:t>
      </w:r>
      <w:r w:rsidR="001D22D7">
        <w:rPr>
          <w:rFonts w:eastAsiaTheme="minorEastAsia"/>
        </w:rPr>
        <w:t>Gráfico 2</w:t>
      </w:r>
      <w:r>
        <w:rPr>
          <w:rFonts w:eastAsiaTheme="minorEastAsia"/>
        </w:rPr>
        <w:t xml:space="preserve"> evidencia essas informações. O eixo Y neste gráfico </w:t>
      </w:r>
      <w:r w:rsidR="002F0180">
        <w:rPr>
          <w:rFonts w:eastAsiaTheme="minorEastAsia"/>
        </w:rPr>
        <w:t xml:space="preserve">indica </w:t>
      </w:r>
      <w:r>
        <w:rPr>
          <w:rFonts w:eastAsiaTheme="minorEastAsia"/>
        </w:rPr>
        <w:t xml:space="preserve">o resultado da diferença entre número das fusões e aquisições internacionais, e o eixo x continua sendo a unidade temporal.  Neste caso é possível </w:t>
      </w:r>
      <w:r w:rsidR="00C45409">
        <w:rPr>
          <w:rFonts w:eastAsiaTheme="minorEastAsia"/>
        </w:rPr>
        <w:t>visualizar que a diferença</w:t>
      </w:r>
      <w:r>
        <w:rPr>
          <w:rFonts w:eastAsiaTheme="minorEastAsia"/>
        </w:rPr>
        <w:t xml:space="preserve"> se acentua durante o período </w:t>
      </w:r>
      <w:r w:rsidR="00C45409">
        <w:rPr>
          <w:rFonts w:eastAsiaTheme="minorEastAsia"/>
        </w:rPr>
        <w:t>pós-tratamento</w:t>
      </w:r>
      <w:r>
        <w:rPr>
          <w:rFonts w:eastAsiaTheme="minorEastAsia"/>
        </w:rPr>
        <w:t>.</w:t>
      </w:r>
      <w:r w:rsidR="00041A54">
        <w:rPr>
          <w:rFonts w:eastAsiaTheme="minorEastAsia"/>
        </w:rPr>
        <w:t xml:space="preserve"> Assim, a diferença estimada do número de </w:t>
      </w:r>
      <w:r w:rsidR="00041A54">
        <w:rPr>
          <w:rFonts w:eastAsiaTheme="minorEastAsia"/>
        </w:rPr>
        <w:lastRenderedPageBreak/>
        <w:t>fusões e aquisições internacionais no Brasil, em relação ao Brasil sintético é de 742, considerando os anos de 2012 a 2018.</w:t>
      </w:r>
    </w:p>
    <w:p w14:paraId="185D008D" w14:textId="77777777" w:rsidR="00CA6464" w:rsidRPr="00E43176" w:rsidRDefault="00CA6464" w:rsidP="00E43176">
      <w:pPr>
        <w:spacing w:line="360" w:lineRule="auto"/>
        <w:ind w:firstLine="851"/>
        <w:jc w:val="both"/>
        <w:rPr>
          <w:rFonts w:eastAsiaTheme="minorEastAsia"/>
        </w:rPr>
      </w:pPr>
    </w:p>
    <w:p w14:paraId="51AD6CD9" w14:textId="64641CC7" w:rsidR="002364FE" w:rsidRDefault="00751403" w:rsidP="002364FE">
      <w:pPr>
        <w:pStyle w:val="Legenda"/>
        <w:spacing w:after="0"/>
        <w:jc w:val="center"/>
        <w:rPr>
          <w:sz w:val="20"/>
          <w:szCs w:val="20"/>
        </w:rPr>
      </w:pPr>
      <w:bookmarkStart w:id="12" w:name="_Toc51772713"/>
      <w:r>
        <w:t xml:space="preserve">Gráfico </w:t>
      </w:r>
      <w:r w:rsidR="006B1E3D">
        <w:fldChar w:fldCharType="begin"/>
      </w:r>
      <w:r w:rsidR="006B1E3D">
        <w:instrText xml:space="preserve"> SEQ Gráfico \* ARABIC </w:instrText>
      </w:r>
      <w:r w:rsidR="006B1E3D">
        <w:fldChar w:fldCharType="separate"/>
      </w:r>
      <w:r w:rsidR="004B76AA">
        <w:rPr>
          <w:noProof/>
        </w:rPr>
        <w:t>1</w:t>
      </w:r>
      <w:r w:rsidR="006B1E3D">
        <w:rPr>
          <w:noProof/>
        </w:rPr>
        <w:fldChar w:fldCharType="end"/>
      </w:r>
      <w:r w:rsidR="00170CF5">
        <w:t xml:space="preserve"> -</w:t>
      </w:r>
      <w:r w:rsidR="00D16F43">
        <w:t xml:space="preserve"> </w:t>
      </w:r>
      <w:r w:rsidR="00170CF5">
        <w:t>Comparação</w:t>
      </w:r>
      <w:r w:rsidR="006172B1">
        <w:t xml:space="preserve"> número de fusões e aquisições do</w:t>
      </w:r>
      <w:r w:rsidR="00170CF5">
        <w:t xml:space="preserve"> B</w:t>
      </w:r>
      <w:r w:rsidR="006172B1">
        <w:t>rasil sintético com sua unidade sintética</w:t>
      </w:r>
      <w:bookmarkEnd w:id="12"/>
      <w:r w:rsidR="002364FE">
        <w:rPr>
          <w:noProof/>
          <w:color w:val="000000"/>
          <w:w w:val="0"/>
          <w:u w:color="000000"/>
          <w:bdr w:val="none" w:sz="0" w:space="0" w:color="000000"/>
          <w:shd w:val="clear" w:color="000000" w:fill="000000"/>
        </w:rPr>
        <w:t xml:space="preserve">  </w:t>
      </w:r>
      <w:r w:rsidR="007B0C88">
        <w:rPr>
          <w:noProof/>
          <w:color w:val="000000"/>
          <w:w w:val="0"/>
          <w:u w:color="000000"/>
          <w:bdr w:val="none" w:sz="0" w:space="0" w:color="000000"/>
          <w:shd w:val="clear" w:color="000000" w:fill="000000"/>
        </w:rPr>
        <w:drawing>
          <wp:inline distT="0" distB="0" distL="0" distR="0" wp14:anchorId="59B93902" wp14:editId="31CCE096">
            <wp:extent cx="5400040" cy="3133871"/>
            <wp:effectExtent l="0" t="0" r="0" b="9525"/>
            <wp:docPr id="11" name="Imagem 11" descr="C:\Users\Samsung\Downloads\0000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ownloads\000005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33871"/>
                    </a:xfrm>
                    <a:prstGeom prst="rect">
                      <a:avLst/>
                    </a:prstGeom>
                    <a:noFill/>
                    <a:ln>
                      <a:noFill/>
                    </a:ln>
                  </pic:spPr>
                </pic:pic>
              </a:graphicData>
            </a:graphic>
          </wp:inline>
        </w:drawing>
      </w:r>
      <w:r w:rsidR="002364FE" w:rsidRPr="002364FE">
        <w:rPr>
          <w:sz w:val="20"/>
          <w:szCs w:val="20"/>
        </w:rPr>
        <w:t xml:space="preserve"> </w:t>
      </w:r>
      <w:r w:rsidR="002364FE">
        <w:rPr>
          <w:sz w:val="20"/>
          <w:szCs w:val="20"/>
        </w:rPr>
        <w:t xml:space="preserve">                                                                                                                                                                                  </w:t>
      </w:r>
    </w:p>
    <w:p w14:paraId="46D1BE7B" w14:textId="4D276454" w:rsidR="00A92130" w:rsidRPr="000C0613" w:rsidRDefault="002364FE" w:rsidP="002364FE">
      <w:r>
        <w:rPr>
          <w:sz w:val="20"/>
          <w:szCs w:val="20"/>
        </w:rPr>
        <w:t xml:space="preserve">                   </w:t>
      </w:r>
      <w:r w:rsidRPr="006C580A">
        <w:rPr>
          <w:sz w:val="20"/>
          <w:szCs w:val="20"/>
        </w:rPr>
        <w:t>Fonte: Elaboração própria</w:t>
      </w:r>
      <w:r w:rsidRPr="000C0613">
        <w:rPr>
          <w:noProof/>
        </w:rPr>
        <w:t xml:space="preserve"> </w:t>
      </w:r>
      <w:r w:rsidR="00FE1C76" w:rsidRPr="000C0613">
        <w:rPr>
          <w:snapToGrid w:val="0"/>
          <w:color w:val="000000"/>
          <w:w w:val="0"/>
          <w:u w:color="000000"/>
          <w:bdr w:val="none" w:sz="0" w:space="0" w:color="000000"/>
          <w:shd w:val="clear" w:color="000000" w:fill="000000"/>
          <w:lang w:val="x-none" w:eastAsia="x-none" w:bidi="x-none"/>
        </w:rPr>
        <w:t xml:space="preserve"> </w:t>
      </w:r>
    </w:p>
    <w:p w14:paraId="0EF091CC" w14:textId="59F51845" w:rsidR="005C38AD" w:rsidRDefault="00FE1C76" w:rsidP="00F92C29">
      <w:pPr>
        <w:spacing w:line="360" w:lineRule="auto"/>
        <w:jc w:val="both"/>
      </w:pPr>
      <w:r w:rsidRPr="000C0613">
        <w:t xml:space="preserve">                    </w:t>
      </w:r>
    </w:p>
    <w:p w14:paraId="778561C7" w14:textId="0572DCD6" w:rsidR="00615ED9" w:rsidRDefault="00FE1C76" w:rsidP="00E67BCD">
      <w:pPr>
        <w:pStyle w:val="Legenda"/>
      </w:pPr>
      <w:r w:rsidRPr="000C0613">
        <w:t xml:space="preserve">   </w:t>
      </w:r>
      <w:bookmarkStart w:id="13" w:name="_Toc51772714"/>
      <w:r w:rsidR="00E67BCD">
        <w:t xml:space="preserve">Gráfico </w:t>
      </w:r>
      <w:r w:rsidR="006B1E3D">
        <w:fldChar w:fldCharType="begin"/>
      </w:r>
      <w:r w:rsidR="006B1E3D">
        <w:instrText xml:space="preserve"> SEQ Gráfico \* ARABIC </w:instrText>
      </w:r>
      <w:r w:rsidR="006B1E3D">
        <w:fldChar w:fldCharType="separate"/>
      </w:r>
      <w:r w:rsidR="004B76AA">
        <w:rPr>
          <w:noProof/>
        </w:rPr>
        <w:t>2</w:t>
      </w:r>
      <w:r w:rsidR="006B1E3D">
        <w:rPr>
          <w:noProof/>
        </w:rPr>
        <w:fldChar w:fldCharType="end"/>
      </w:r>
      <w:r w:rsidR="00615ED9">
        <w:t xml:space="preserve"> – </w:t>
      </w:r>
      <w:r w:rsidR="00D16F43">
        <w:t>Diferença entre o número de fusões e aquisições entre o Brasil e sua unidade sintética</w:t>
      </w:r>
      <w:bookmarkEnd w:id="13"/>
    </w:p>
    <w:p w14:paraId="5304FB1D" w14:textId="77777777" w:rsidR="00615ED9" w:rsidRDefault="00615ED9" w:rsidP="00F92C29">
      <w:pPr>
        <w:spacing w:line="360" w:lineRule="auto"/>
        <w:jc w:val="both"/>
      </w:pPr>
    </w:p>
    <w:p w14:paraId="01227010" w14:textId="77777777" w:rsidR="00615ED9" w:rsidRDefault="007B0C88" w:rsidP="002364FE">
      <w:pPr>
        <w:jc w:val="center"/>
      </w:pPr>
      <w:r>
        <w:rPr>
          <w:noProof/>
        </w:rPr>
        <w:drawing>
          <wp:inline distT="0" distB="0" distL="0" distR="0" wp14:anchorId="7C32CB04" wp14:editId="61838FBF">
            <wp:extent cx="5100451" cy="3026771"/>
            <wp:effectExtent l="0" t="0" r="5080" b="2540"/>
            <wp:docPr id="12" name="Imagem 12" descr="C:\Users\Samsung\Downloads\00000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ownloads\000005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007" cy="3028288"/>
                    </a:xfrm>
                    <a:prstGeom prst="rect">
                      <a:avLst/>
                    </a:prstGeom>
                    <a:noFill/>
                    <a:ln>
                      <a:noFill/>
                    </a:ln>
                  </pic:spPr>
                </pic:pic>
              </a:graphicData>
            </a:graphic>
          </wp:inline>
        </w:drawing>
      </w:r>
    </w:p>
    <w:p w14:paraId="2C185F52" w14:textId="2A543BF8" w:rsidR="002364FE" w:rsidRDefault="00FE1C76" w:rsidP="002364FE">
      <w:pPr>
        <w:ind w:firstLine="851"/>
        <w:jc w:val="both"/>
        <w:rPr>
          <w:sz w:val="20"/>
          <w:szCs w:val="20"/>
        </w:rPr>
      </w:pPr>
      <w:r w:rsidRPr="000C0613">
        <w:t xml:space="preserve"> </w:t>
      </w:r>
      <w:r w:rsidR="002364FE" w:rsidRPr="006C580A">
        <w:rPr>
          <w:sz w:val="20"/>
          <w:szCs w:val="20"/>
        </w:rPr>
        <w:t>Fonte: Elaboração própria</w:t>
      </w:r>
    </w:p>
    <w:p w14:paraId="7C8D4FCA" w14:textId="77777777" w:rsidR="002364FE" w:rsidRDefault="002364FE" w:rsidP="00906B80">
      <w:pPr>
        <w:spacing w:line="360" w:lineRule="auto"/>
        <w:ind w:firstLine="851"/>
        <w:jc w:val="both"/>
      </w:pPr>
    </w:p>
    <w:p w14:paraId="2131D834" w14:textId="3E0D9685" w:rsidR="00170CF5" w:rsidRDefault="003D22E7" w:rsidP="00906B80">
      <w:pPr>
        <w:spacing w:line="360" w:lineRule="auto"/>
        <w:ind w:firstLine="851"/>
        <w:jc w:val="both"/>
        <w:rPr>
          <w:rFonts w:eastAsiaTheme="minorEastAsia"/>
        </w:rPr>
      </w:pPr>
      <w:r>
        <w:rPr>
          <w:rFonts w:eastAsiaTheme="minorEastAsia"/>
        </w:rPr>
        <w:lastRenderedPageBreak/>
        <w:t>O</w:t>
      </w:r>
      <w:r w:rsidR="00EA17C4">
        <w:rPr>
          <w:rFonts w:eastAsiaTheme="minorEastAsia"/>
        </w:rPr>
        <w:t xml:space="preserve"> </w:t>
      </w:r>
      <w:r w:rsidR="00170CF5" w:rsidRPr="00906B80">
        <w:rPr>
          <w:rFonts w:eastAsiaTheme="minorEastAsia"/>
        </w:rPr>
        <w:t xml:space="preserve">teste de permutação </w:t>
      </w:r>
      <w:r>
        <w:rPr>
          <w:rFonts w:eastAsiaTheme="minorEastAsia"/>
        </w:rPr>
        <w:t xml:space="preserve">é utilizado para inferências no método de controle sintético </w:t>
      </w:r>
      <w:r w:rsidR="00170CF5" w:rsidRPr="00906B80">
        <w:rPr>
          <w:rFonts w:eastAsiaTheme="minorEastAsia"/>
        </w:rPr>
        <w:fldChar w:fldCharType="begin" w:fldLock="1"/>
      </w:r>
      <w:r w:rsidR="005402EF">
        <w:rPr>
          <w:rFonts w:eastAsiaTheme="minorEastAsia"/>
        </w:rPr>
        <w:instrText>ADDIN CSL_CITATION {"citationItems":[{"id":"ITEM-1","itemData":{"DOI":"10.1257/000282803321455188","ISSN":"00028282","abstract":"This article investigates the economic effects of conflict, using the terrorist conflict in the Basque Country as a case study. We find that, after the outbreak of terrorism in the late 1960's, per capita GDP in the Basque Country declined about 10 percentage points relative to a synthetic control region without terrorism. In addition, we use the 1998-1999 truce as a natural experiment. We find that stocks of firms with a significant part of their business in the Basque Country showed a positive relative performance when truce became credible, and a negative relative performance at the end of the cease-fire.","author":[{"dropping-particle":"","family":"Abadie","given":"Alberto","non-dropping-particle":"","parse-names":false,"suffix":""},{"dropping-particle":"","family":"Gardeazabal","given":"Javier","non-dropping-particle":"","parse-names":false,"suffix":""}],"container-title":"American Economic Review","id":"ITEM-1","issue":"1","issued":{"date-parts":[["2003"]]},"page":"113-132","title":"The economic costs of conflict: A case study of the Basque country","type":"article-journal","volume":"93"},"uris":["http://www.mendeley.com/documents/?uuid=dde319c1-7ef6-46c7-8610-96ee645d11cb"]}],"mendeley":{"formattedCitation":"(ABADIE; GARDEAZABAL, 2003)","plainTextFormattedCitation":"(ABADIE; GARDEAZABAL, 2003)","previouslyFormattedCitation":"(ABADIE; GARDEAZABAL, 2003)"},"properties":{"noteIndex":0},"schema":"https://github.com/citation-style-language/schema/raw/master/csl-citation.json"}</w:instrText>
      </w:r>
      <w:r w:rsidR="00170CF5" w:rsidRPr="00906B80">
        <w:rPr>
          <w:rFonts w:eastAsiaTheme="minorEastAsia"/>
        </w:rPr>
        <w:fldChar w:fldCharType="separate"/>
      </w:r>
      <w:r w:rsidR="00170CF5" w:rsidRPr="00906B80">
        <w:rPr>
          <w:rFonts w:eastAsiaTheme="minorEastAsia"/>
          <w:noProof/>
        </w:rPr>
        <w:t>(ABADIE; GARDEAZABAL, 2003)</w:t>
      </w:r>
      <w:r w:rsidR="00170CF5" w:rsidRPr="00906B80">
        <w:rPr>
          <w:rFonts w:eastAsiaTheme="minorEastAsia"/>
        </w:rPr>
        <w:fldChar w:fldCharType="end"/>
      </w:r>
      <w:r w:rsidR="00170CF5" w:rsidRPr="00906B80">
        <w:rPr>
          <w:rFonts w:eastAsiaTheme="minorEastAsia"/>
        </w:rPr>
        <w:t xml:space="preserve">. </w:t>
      </w:r>
      <w:r>
        <w:rPr>
          <w:rFonts w:eastAsiaTheme="minorEastAsia"/>
        </w:rPr>
        <w:t>Isto é</w:t>
      </w:r>
      <w:r w:rsidR="00170CF5" w:rsidRPr="00906B80">
        <w:rPr>
          <w:rFonts w:eastAsiaTheme="minorEastAsia"/>
        </w:rPr>
        <w:t xml:space="preserve">, aplica-se o método a todas as unidades de controle da amostra e </w:t>
      </w:r>
      <w:r>
        <w:rPr>
          <w:rFonts w:eastAsiaTheme="minorEastAsia"/>
        </w:rPr>
        <w:t xml:space="preserve">se </w:t>
      </w:r>
      <w:r w:rsidR="00170CF5" w:rsidRPr="00906B80">
        <w:rPr>
          <w:rFonts w:eastAsiaTheme="minorEastAsia"/>
        </w:rPr>
        <w:t>coleta as informações entre a diferen</w:t>
      </w:r>
      <w:r w:rsidR="00906B80" w:rsidRPr="00906B80">
        <w:rPr>
          <w:rFonts w:eastAsiaTheme="minorEastAsia"/>
        </w:rPr>
        <w:t xml:space="preserve">ça na variável de interesse para cada iteração. Em outras palavras, o modelo é produzido em todos aos países como se tratamento fosse, compara-se, a partir disso, cada resultado dos </w:t>
      </w:r>
      <w:r w:rsidR="00906B80" w:rsidRPr="006808BA">
        <w:rPr>
          <w:rFonts w:eastAsiaTheme="minorEastAsia"/>
          <w:i/>
        </w:rPr>
        <w:t>gaps</w:t>
      </w:r>
      <w:r w:rsidR="00906B80" w:rsidRPr="00906B80">
        <w:rPr>
          <w:rFonts w:eastAsiaTheme="minorEastAsia"/>
        </w:rPr>
        <w:t xml:space="preserve"> das fusões e aquisições internacionais e compara-se com a do Brasil. Procura-se saber, portanto, se algum outro país apresenta uma resposta maior que o Brasil em relação ao número de fusões e aquisições internacionais.</w:t>
      </w:r>
    </w:p>
    <w:p w14:paraId="103FF3D3" w14:textId="56253236" w:rsidR="00EF2C27" w:rsidRDefault="001D22D7" w:rsidP="00906B80">
      <w:pPr>
        <w:spacing w:line="360" w:lineRule="auto"/>
        <w:ind w:firstLine="851"/>
        <w:jc w:val="both"/>
      </w:pPr>
      <w:r>
        <w:rPr>
          <w:rFonts w:eastAsiaTheme="minorEastAsia"/>
        </w:rPr>
        <w:t>O Gráfico 3</w:t>
      </w:r>
      <w:r w:rsidR="00EF2C27">
        <w:rPr>
          <w:rFonts w:eastAsiaTheme="minorEastAsia"/>
        </w:rPr>
        <w:t xml:space="preserve"> apresenta visualmente este resultado. A estrutura é semelhante do gráfico anterior, a diferença é que as linhas ofuscadas representam a aplicação do método em todos os países selecionado como se fosse a unidade de tratamento. Percebe-se que o Brasil apresenta ainda a maior </w:t>
      </w:r>
      <w:r w:rsidR="00EF2C27" w:rsidRPr="006808BA">
        <w:rPr>
          <w:rFonts w:eastAsiaTheme="minorEastAsia"/>
          <w:i/>
        </w:rPr>
        <w:t>gap</w:t>
      </w:r>
      <w:r w:rsidR="00EF2C27">
        <w:rPr>
          <w:rFonts w:eastAsiaTheme="minorEastAsia"/>
        </w:rPr>
        <w:t xml:space="preserve"> entre a sua variável sintética e sua variável real no pós-intervenção.</w:t>
      </w:r>
    </w:p>
    <w:p w14:paraId="007995B9" w14:textId="77777777" w:rsidR="00170CF5" w:rsidRDefault="00170CF5" w:rsidP="00F92C29">
      <w:pPr>
        <w:spacing w:line="360" w:lineRule="auto"/>
        <w:jc w:val="both"/>
      </w:pPr>
    </w:p>
    <w:p w14:paraId="0A331103" w14:textId="77777777" w:rsidR="004A2475" w:rsidRDefault="004A2475" w:rsidP="004A2475">
      <w:pPr>
        <w:pStyle w:val="Legenda"/>
        <w:jc w:val="center"/>
      </w:pPr>
      <w:bookmarkStart w:id="14" w:name="_Toc51772715"/>
    </w:p>
    <w:p w14:paraId="53718E8B" w14:textId="0E775EEF" w:rsidR="00A92130" w:rsidRPr="000C0613" w:rsidRDefault="00E67BCD" w:rsidP="004A2475">
      <w:pPr>
        <w:pStyle w:val="Legenda"/>
        <w:jc w:val="center"/>
      </w:pPr>
      <w:r>
        <w:t xml:space="preserve">Gráfico </w:t>
      </w:r>
      <w:r w:rsidR="006B1E3D">
        <w:fldChar w:fldCharType="begin"/>
      </w:r>
      <w:r w:rsidR="006B1E3D">
        <w:instrText xml:space="preserve"> SEQ Gráfico \* ARABIC </w:instrText>
      </w:r>
      <w:r w:rsidR="006B1E3D">
        <w:fldChar w:fldCharType="separate"/>
      </w:r>
      <w:r w:rsidR="004B76AA">
        <w:rPr>
          <w:noProof/>
        </w:rPr>
        <w:t>3</w:t>
      </w:r>
      <w:r w:rsidR="006B1E3D">
        <w:rPr>
          <w:noProof/>
        </w:rPr>
        <w:fldChar w:fldCharType="end"/>
      </w:r>
      <w:r w:rsidR="00FE1C76" w:rsidRPr="000C0613">
        <w:t xml:space="preserve"> </w:t>
      </w:r>
      <w:r w:rsidR="00FE2D67">
        <w:t>–</w:t>
      </w:r>
      <w:r w:rsidR="00E07742" w:rsidRPr="000C0613">
        <w:t xml:space="preserve"> </w:t>
      </w:r>
      <w:r w:rsidR="00FE2D67">
        <w:t>Teste de placebo entre o Brasil e suas unidades de controle</w:t>
      </w:r>
      <w:bookmarkEnd w:id="14"/>
    </w:p>
    <w:p w14:paraId="467652C3" w14:textId="77777777" w:rsidR="00A92130" w:rsidRPr="000C0613" w:rsidRDefault="007B0C88" w:rsidP="002364FE">
      <w:pPr>
        <w:keepNext/>
        <w:keepLines/>
        <w:jc w:val="center"/>
      </w:pPr>
      <w:r>
        <w:rPr>
          <w:noProof/>
        </w:rPr>
        <w:drawing>
          <wp:inline distT="0" distB="0" distL="0" distR="0" wp14:anchorId="6993391F" wp14:editId="5003537F">
            <wp:extent cx="5098415" cy="3415030"/>
            <wp:effectExtent l="0" t="0" r="6985" b="0"/>
            <wp:docPr id="13" name="Imagem 13" descr="C:\Users\Samsung\Downloa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ownloads\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8415" cy="3415030"/>
                    </a:xfrm>
                    <a:prstGeom prst="rect">
                      <a:avLst/>
                    </a:prstGeom>
                    <a:noFill/>
                    <a:ln>
                      <a:noFill/>
                    </a:ln>
                  </pic:spPr>
                </pic:pic>
              </a:graphicData>
            </a:graphic>
          </wp:inline>
        </w:drawing>
      </w:r>
    </w:p>
    <w:p w14:paraId="4451CB85" w14:textId="01A435FD" w:rsidR="00EB001D" w:rsidRPr="006C580A" w:rsidRDefault="006C580A" w:rsidP="002364FE">
      <w:pPr>
        <w:rPr>
          <w:sz w:val="20"/>
          <w:szCs w:val="20"/>
        </w:rPr>
      </w:pPr>
      <w:r>
        <w:rPr>
          <w:sz w:val="20"/>
          <w:szCs w:val="20"/>
        </w:rPr>
        <w:t xml:space="preserve">                      </w:t>
      </w:r>
      <w:r w:rsidRPr="006C580A">
        <w:rPr>
          <w:sz w:val="20"/>
          <w:szCs w:val="20"/>
        </w:rPr>
        <w:t>Fonte: Elaboração própria</w:t>
      </w:r>
    </w:p>
    <w:p w14:paraId="10F98E80" w14:textId="77777777" w:rsidR="00EB001D" w:rsidRPr="000C0613" w:rsidRDefault="00EB001D" w:rsidP="00F92C29">
      <w:pPr>
        <w:spacing w:line="360" w:lineRule="auto"/>
        <w:jc w:val="both"/>
      </w:pPr>
    </w:p>
    <w:p w14:paraId="50DC8E87" w14:textId="7B5A09EA" w:rsidR="00EB001D" w:rsidRPr="005402EF" w:rsidRDefault="00AF4840" w:rsidP="005402EF">
      <w:pPr>
        <w:spacing w:line="360" w:lineRule="auto"/>
        <w:ind w:firstLine="851"/>
        <w:jc w:val="both"/>
        <w:rPr>
          <w:rFonts w:eastAsiaTheme="minorEastAsia"/>
        </w:rPr>
      </w:pPr>
      <w:r w:rsidRPr="005402EF">
        <w:rPr>
          <w:rFonts w:eastAsiaTheme="minorEastAsia"/>
        </w:rPr>
        <w:t xml:space="preserve">Uma alternativa para apresentação do teste de permutação é Razão MSPE. </w:t>
      </w:r>
      <w:r w:rsidR="00492FEE" w:rsidRPr="005402EF">
        <w:rPr>
          <w:rFonts w:eastAsiaTheme="minorEastAsia"/>
        </w:rPr>
        <w:t>Este indicador</w:t>
      </w:r>
      <w:r w:rsidRPr="005402EF">
        <w:rPr>
          <w:rFonts w:eastAsiaTheme="minorEastAsia"/>
        </w:rPr>
        <w:t xml:space="preserve"> </w:t>
      </w:r>
      <w:r w:rsidR="00C81CF8" w:rsidRPr="005402EF">
        <w:rPr>
          <w:rFonts w:eastAsiaTheme="minorEastAsia"/>
        </w:rPr>
        <w:t xml:space="preserve">mede a magnitude da diferença na variável de interesse entre cada país e sua contraparte sintética. Um </w:t>
      </w:r>
      <w:r w:rsidR="003D22E7">
        <w:rPr>
          <w:rFonts w:eastAsiaTheme="minorEastAsia"/>
        </w:rPr>
        <w:t>valor elevado de</w:t>
      </w:r>
      <w:r w:rsidR="007D19F1">
        <w:rPr>
          <w:rFonts w:eastAsiaTheme="minorEastAsia"/>
        </w:rPr>
        <w:t xml:space="preserve"> </w:t>
      </w:r>
      <w:r w:rsidR="00C81CF8" w:rsidRPr="005402EF">
        <w:rPr>
          <w:rFonts w:eastAsiaTheme="minorEastAsia"/>
        </w:rPr>
        <w:t xml:space="preserve">MSPE pós-intervenção não é indicativo de </w:t>
      </w:r>
      <w:r w:rsidR="00C81CF8" w:rsidRPr="005402EF">
        <w:rPr>
          <w:rFonts w:eastAsiaTheme="minorEastAsia"/>
        </w:rPr>
        <w:lastRenderedPageBreak/>
        <w:t xml:space="preserve">um grande efeito da intervenção se o controle sintético não </w:t>
      </w:r>
      <w:r w:rsidRPr="005402EF">
        <w:rPr>
          <w:rFonts w:eastAsiaTheme="minorEastAsia"/>
        </w:rPr>
        <w:t xml:space="preserve">apresentar um </w:t>
      </w:r>
      <w:r w:rsidR="00492FEE" w:rsidRPr="005402EF">
        <w:rPr>
          <w:rFonts w:eastAsiaTheme="minorEastAsia"/>
        </w:rPr>
        <w:t>ajustamento</w:t>
      </w:r>
      <w:r w:rsidRPr="005402EF">
        <w:rPr>
          <w:rFonts w:eastAsiaTheme="minorEastAsia"/>
        </w:rPr>
        <w:t xml:space="preserve"> </w:t>
      </w:r>
      <w:proofErr w:type="spellStart"/>
      <w:r w:rsidR="00492FEE" w:rsidRPr="005402EF">
        <w:rPr>
          <w:rFonts w:eastAsiaTheme="minorEastAsia"/>
        </w:rPr>
        <w:t>pré</w:t>
      </w:r>
      <w:proofErr w:type="spellEnd"/>
      <w:r w:rsidR="00492FEE" w:rsidRPr="005402EF">
        <w:rPr>
          <w:rFonts w:eastAsiaTheme="minorEastAsia"/>
        </w:rPr>
        <w:t>-intervenção</w:t>
      </w:r>
      <w:r w:rsidR="003A6084">
        <w:rPr>
          <w:rFonts w:eastAsiaTheme="minorEastAsia"/>
        </w:rPr>
        <w:t>.</w:t>
      </w:r>
      <w:r w:rsidR="00C81CF8" w:rsidRPr="005402EF">
        <w:rPr>
          <w:rFonts w:eastAsiaTheme="minorEastAsia"/>
        </w:rPr>
        <w:t xml:space="preserve"> </w:t>
      </w:r>
      <w:r w:rsidRPr="005402EF">
        <w:rPr>
          <w:rFonts w:eastAsiaTheme="minorEastAsia"/>
        </w:rPr>
        <w:t>Dessa forma, p</w:t>
      </w:r>
      <w:r w:rsidR="001E0C06">
        <w:rPr>
          <w:rFonts w:eastAsiaTheme="minorEastAsia"/>
        </w:rPr>
        <w:t xml:space="preserve">ara cada país, dividimos o </w:t>
      </w:r>
      <w:r w:rsidR="00C81CF8" w:rsidRPr="005402EF">
        <w:rPr>
          <w:rFonts w:eastAsiaTheme="minorEastAsia"/>
        </w:rPr>
        <w:t xml:space="preserve">MSPE </w:t>
      </w:r>
      <w:r w:rsidRPr="005402EF">
        <w:rPr>
          <w:rFonts w:eastAsiaTheme="minorEastAsia"/>
        </w:rPr>
        <w:t>pós-</w:t>
      </w:r>
      <w:r w:rsidR="003A6084">
        <w:rPr>
          <w:rFonts w:eastAsiaTheme="minorEastAsia"/>
        </w:rPr>
        <w:t xml:space="preserve">intervenção pelo seu </w:t>
      </w:r>
      <w:r w:rsidR="001E0C06">
        <w:rPr>
          <w:rFonts w:eastAsiaTheme="minorEastAsia"/>
        </w:rPr>
        <w:t xml:space="preserve">MSPE </w:t>
      </w:r>
      <w:proofErr w:type="spellStart"/>
      <w:r w:rsidR="001E0C06">
        <w:rPr>
          <w:rFonts w:eastAsiaTheme="minorEastAsia"/>
        </w:rPr>
        <w:t>pré</w:t>
      </w:r>
      <w:proofErr w:type="spellEnd"/>
      <w:r w:rsidR="001E0C06">
        <w:rPr>
          <w:rFonts w:eastAsiaTheme="minorEastAsia"/>
        </w:rPr>
        <w:t>-intervenção</w:t>
      </w:r>
      <w:r w:rsidR="00C81CF8" w:rsidRPr="005402EF">
        <w:rPr>
          <w:rFonts w:eastAsiaTheme="minorEastAsia"/>
        </w:rPr>
        <w:t>.</w:t>
      </w:r>
    </w:p>
    <w:p w14:paraId="3854BC91" w14:textId="77777777" w:rsidR="003B0253" w:rsidRDefault="00F81F6B" w:rsidP="005402EF">
      <w:pPr>
        <w:spacing w:line="360" w:lineRule="auto"/>
        <w:ind w:firstLine="851"/>
        <w:jc w:val="both"/>
        <w:rPr>
          <w:rFonts w:eastAsiaTheme="minorEastAsia"/>
        </w:rPr>
      </w:pPr>
      <w:r w:rsidRPr="005402EF">
        <w:rPr>
          <w:rFonts w:eastAsiaTheme="minorEastAsia"/>
        </w:rPr>
        <w:t>Esta medida, portanto, demostra a diferença entre o resultado observado de uma unidade de tratamento e seu controle sintético, antes e após o tratamento.</w:t>
      </w:r>
      <w:r w:rsidR="00E14440" w:rsidRPr="005402EF">
        <w:rPr>
          <w:rFonts w:eastAsiaTheme="minorEastAsia"/>
        </w:rPr>
        <w:t xml:space="preserve"> Esse cálculo é feito em todas as unidades de controle, calculando-se uma medida dessa razão para cada uma. </w:t>
      </w:r>
      <w:r w:rsidRPr="005402EF">
        <w:rPr>
          <w:rFonts w:eastAsiaTheme="minorEastAsia"/>
        </w:rPr>
        <w:t xml:space="preserve"> Uma proporção mais alta significa um pequeno erro de previsão de tratamento prévio (um bom controle sintético) e um alto MSPE pós-tratamento, significa uma grande diferença entre a unidade e seu controle sintético após a intervenção. </w:t>
      </w:r>
      <w:r w:rsidR="005402EF">
        <w:rPr>
          <w:rFonts w:eastAsiaTheme="minorEastAsia"/>
        </w:rPr>
        <w:t xml:space="preserve">Assim, de forma direta, a unidade com maior proporção foi a que mais teve efeito a intervenção. </w:t>
      </w:r>
    </w:p>
    <w:p w14:paraId="25D2D341" w14:textId="3923612F" w:rsidR="005402EF" w:rsidRDefault="00052606" w:rsidP="005402EF">
      <w:pPr>
        <w:spacing w:line="360" w:lineRule="auto"/>
        <w:ind w:firstLine="851"/>
        <w:jc w:val="both"/>
        <w:rPr>
          <w:rFonts w:eastAsiaTheme="minorEastAsia"/>
        </w:rPr>
      </w:pPr>
      <w:r>
        <w:rPr>
          <w:rFonts w:eastAsiaTheme="minorEastAsia"/>
        </w:rPr>
        <w:t xml:space="preserve">O gráfico 4 </w:t>
      </w:r>
      <w:r w:rsidR="005402EF">
        <w:rPr>
          <w:rFonts w:eastAsiaTheme="minorEastAsia"/>
        </w:rPr>
        <w:t>mostra o resultado desse teste</w:t>
      </w:r>
      <w:r w:rsidR="0034596F">
        <w:rPr>
          <w:rFonts w:eastAsiaTheme="minorEastAsia"/>
        </w:rPr>
        <w:t>. Com</w:t>
      </w:r>
      <w:r w:rsidR="005402EF">
        <w:rPr>
          <w:rFonts w:eastAsiaTheme="minorEastAsia"/>
        </w:rPr>
        <w:t>o se percebe o Brasil</w:t>
      </w:r>
      <w:r w:rsidR="00DA5470">
        <w:rPr>
          <w:rFonts w:eastAsiaTheme="minorEastAsia"/>
        </w:rPr>
        <w:t xml:space="preserve"> apresentou u</w:t>
      </w:r>
      <w:r w:rsidR="005402EF">
        <w:rPr>
          <w:rFonts w:eastAsiaTheme="minorEastAsia"/>
        </w:rPr>
        <w:t>ma proporção maior da RMSPE</w:t>
      </w:r>
      <w:r w:rsidR="003D22E7">
        <w:rPr>
          <w:rFonts w:eastAsiaTheme="minorEastAsia"/>
        </w:rPr>
        <w:t xml:space="preserve">. Isso vai </w:t>
      </w:r>
      <w:r w:rsidR="005402EF">
        <w:rPr>
          <w:rFonts w:eastAsiaTheme="minorEastAsia"/>
        </w:rPr>
        <w:t>ao encontro da hipótese de que a mudança nos critérios de análise e julgamento de atos de concentração afetou o número de fusões e aquisições internacionais no Brasil.</w:t>
      </w:r>
      <w:r w:rsidR="00DA5470">
        <w:rPr>
          <w:rFonts w:eastAsiaTheme="minorEastAsia"/>
        </w:rPr>
        <w:t xml:space="preserve"> Cabe ressaltar, que a África do Sul também apresenta </w:t>
      </w:r>
      <w:r w:rsidR="0034596F">
        <w:rPr>
          <w:rFonts w:eastAsiaTheme="minorEastAsia"/>
        </w:rPr>
        <w:t>uma proporção grande</w:t>
      </w:r>
      <w:r w:rsidR="00DA5470">
        <w:rPr>
          <w:rFonts w:eastAsiaTheme="minorEastAsia"/>
        </w:rPr>
        <w:t>, mas como não houve nenhum fato que justifique</w:t>
      </w:r>
      <w:r w:rsidR="003F0923">
        <w:rPr>
          <w:rFonts w:eastAsiaTheme="minorEastAsia"/>
        </w:rPr>
        <w:t xml:space="preserve"> </w:t>
      </w:r>
      <w:r w:rsidR="00DA5470">
        <w:rPr>
          <w:rFonts w:eastAsiaTheme="minorEastAsia"/>
        </w:rPr>
        <w:t>um</w:t>
      </w:r>
      <w:r w:rsidR="00933C4C">
        <w:rPr>
          <w:rFonts w:eastAsiaTheme="minorEastAsia"/>
        </w:rPr>
        <w:t>a</w:t>
      </w:r>
      <w:r w:rsidR="00DA5470">
        <w:rPr>
          <w:rFonts w:eastAsiaTheme="minorEastAsia"/>
        </w:rPr>
        <w:t xml:space="preserve"> mudança regulatória em relação </w:t>
      </w:r>
      <w:r w:rsidR="0034596F">
        <w:rPr>
          <w:rFonts w:eastAsiaTheme="minorEastAsia"/>
        </w:rPr>
        <w:t>à</w:t>
      </w:r>
      <w:r w:rsidR="00DA5470">
        <w:rPr>
          <w:rFonts w:eastAsiaTheme="minorEastAsia"/>
        </w:rPr>
        <w:t xml:space="preserve"> defesa da concorrência – com foi identificado no caso da Índia</w:t>
      </w:r>
      <w:r w:rsidR="0034596F">
        <w:rPr>
          <w:rFonts w:eastAsiaTheme="minorEastAsia"/>
        </w:rPr>
        <w:t xml:space="preserve"> – optou-se por deixar esse país na lista da unidade de controle.</w:t>
      </w:r>
    </w:p>
    <w:p w14:paraId="539BB193" w14:textId="56998D70" w:rsidR="003A6084" w:rsidRDefault="005402EF">
      <w:pPr>
        <w:spacing w:line="360" w:lineRule="auto"/>
        <w:ind w:firstLine="851"/>
        <w:jc w:val="both"/>
        <w:rPr>
          <w:rFonts w:eastAsiaTheme="minorEastAsia"/>
        </w:rPr>
      </w:pPr>
      <w:r>
        <w:rPr>
          <w:rFonts w:eastAsiaTheme="minorEastAsia"/>
        </w:rPr>
        <w:t>Em complemento a este indicador, Ab</w:t>
      </w:r>
      <w:r w:rsidR="00DE2FD6">
        <w:rPr>
          <w:rFonts w:eastAsiaTheme="minorEastAsia"/>
        </w:rPr>
        <w:t>a</w:t>
      </w:r>
      <w:r>
        <w:rPr>
          <w:rFonts w:eastAsiaTheme="minorEastAsia"/>
        </w:rPr>
        <w:t xml:space="preserve">die </w:t>
      </w:r>
      <w:r>
        <w:rPr>
          <w:rFonts w:eastAsiaTheme="minorEastAsia"/>
        </w:rPr>
        <w:fldChar w:fldCharType="begin" w:fldLock="1"/>
      </w:r>
      <w:r w:rsidR="003B0253">
        <w:rPr>
          <w:rFonts w:eastAsiaTheme="minorEastAsia"/>
        </w:rPr>
        <w:instrText>ADDIN CSL_CITATION {"citationItems":[{"id":"ITEM-1","itemData":{"DOI":"10.1111/ajps.12116","ISSN":"15405907","abstract":"In recent years, a widespread consensus has emerged about the necessity of establishing bridges between quantitative and qualitative approaches to empirical research in political science. In this article, we discuss the use of the synthetic control method as a way to bridge the quantitative/qualitative divide in comparative politics. The synthetic control method provides a systematic way to choose comparison units in comparative case studies. This systematization opens the door to precise quantitative inference in small-sample comparative studies, without precluding the application of qualitative approaches. Borrowing the expression from Sidney Tarrow, the synthetic control method allows researchers to put \"qualitative flesh on quantitative bones.\" We illustrate the main ideas behind the synthetic control method by estimating the economic impact of the 1990 German reunification on West Germany.","author":[{"dropping-particle":"","family":"Abadie","given":"Alberto","non-dropping-particle":"","parse-names":false,"suffix":""},{"dropping-particle":"","family":"Diamond","given":"Alexis","non-dropping-particle":"","parse-names":false,"suffix":""},{"dropping-particle":"","family":"Hainmueller","given":"Jens","non-dropping-particle":"","parse-names":false,"suffix":""}],"container-title":"American Journal of Political Science","id":"ITEM-1","issue":"2","issued":{"date-parts":[["2015"]]},"page":"495-510","title":"Comparative Politics and the Synthetic Control Method","type":"article-journal","volume":"59"},"label":"chapter","suppress-author":1,"uris":["http://www.mendeley.com/documents/?uuid=7acb4008-94c1-46b6-ada7-c5683ce3ec42"]}],"mendeley":{"formattedCitation":"(2015)","plainTextFormattedCitation":"(2015)","previouslyFormattedCitation":"(2015)"},"properties":{"noteIndex":0},"schema":"https://github.com/citation-style-language/schema/raw/master/csl-citation.json"}</w:instrText>
      </w:r>
      <w:r>
        <w:rPr>
          <w:rFonts w:eastAsiaTheme="minorEastAsia"/>
        </w:rPr>
        <w:fldChar w:fldCharType="separate"/>
      </w:r>
      <w:r w:rsidRPr="005402EF">
        <w:rPr>
          <w:rFonts w:eastAsiaTheme="minorEastAsia"/>
          <w:noProof/>
        </w:rPr>
        <w:t>(2015)</w:t>
      </w:r>
      <w:r>
        <w:rPr>
          <w:rFonts w:eastAsiaTheme="minorEastAsia"/>
        </w:rPr>
        <w:fldChar w:fldCharType="end"/>
      </w:r>
      <w:r>
        <w:rPr>
          <w:rFonts w:eastAsiaTheme="minorEastAsia"/>
        </w:rPr>
        <w:t xml:space="preserve"> propõe uma espécie de p</w:t>
      </w:r>
      <w:r w:rsidR="00DE2FD6">
        <w:rPr>
          <w:rFonts w:eastAsiaTheme="minorEastAsia"/>
        </w:rPr>
        <w:t>-</w:t>
      </w:r>
      <w:r>
        <w:rPr>
          <w:rFonts w:eastAsiaTheme="minorEastAsia"/>
        </w:rPr>
        <w:t xml:space="preserve">valor, </w:t>
      </w:r>
      <w:r w:rsidR="00FB4DE1">
        <w:rPr>
          <w:rFonts w:eastAsiaTheme="minorEastAsia"/>
        </w:rPr>
        <w:t>como desenvolvido na sessão 2.2, este p-valor é</w:t>
      </w:r>
      <w:r w:rsidRPr="005402EF">
        <w:rPr>
          <w:rFonts w:eastAsiaTheme="minorEastAsia"/>
        </w:rPr>
        <w:t xml:space="preserve"> a proporção de unidades (placebos e tratadas) que têm uma proporção igual ou superior à da unidade tratada</w:t>
      </w:r>
      <w:r w:rsidR="00FB4DE1">
        <w:rPr>
          <w:rFonts w:eastAsiaTheme="minorEastAsia"/>
        </w:rPr>
        <w:t xml:space="preserve">, neste caso, o valor obtido é de </w:t>
      </w:r>
      <w:r w:rsidR="00FB4DE1" w:rsidRPr="00FB4DE1">
        <w:rPr>
          <w:rFonts w:eastAsiaTheme="minorEastAsia"/>
        </w:rPr>
        <w:t>0.083</w:t>
      </w:r>
      <w:r w:rsidR="00FB4DE1">
        <w:rPr>
          <w:rFonts w:eastAsiaTheme="minorEastAsia"/>
        </w:rPr>
        <w:t>.</w:t>
      </w:r>
      <w:bookmarkStart w:id="15" w:name="_Toc51772716"/>
    </w:p>
    <w:p w14:paraId="65FDF81F" w14:textId="77777777" w:rsidR="00F50C9A" w:rsidRDefault="00F50C9A">
      <w:pPr>
        <w:spacing w:line="360" w:lineRule="auto"/>
        <w:ind w:firstLine="851"/>
        <w:jc w:val="both"/>
        <w:rPr>
          <w:rFonts w:eastAsiaTheme="minorEastAsia"/>
        </w:rPr>
      </w:pPr>
    </w:p>
    <w:p w14:paraId="59AC6F25" w14:textId="53C35FB4" w:rsidR="00EB001D" w:rsidRPr="000C0613" w:rsidRDefault="00E67BCD" w:rsidP="004701A5">
      <w:pPr>
        <w:pStyle w:val="Legenda"/>
        <w:keepNext/>
        <w:keepLines/>
      </w:pPr>
      <w:r>
        <w:lastRenderedPageBreak/>
        <w:t xml:space="preserve">Gráfico </w:t>
      </w:r>
      <w:r w:rsidR="006B1E3D">
        <w:fldChar w:fldCharType="begin"/>
      </w:r>
      <w:r w:rsidR="006B1E3D">
        <w:instrText xml:space="preserve"> SEQ Gráfico \* ARABIC </w:instrText>
      </w:r>
      <w:r w:rsidR="006B1E3D">
        <w:fldChar w:fldCharType="separate"/>
      </w:r>
      <w:r w:rsidR="004B76AA">
        <w:rPr>
          <w:noProof/>
        </w:rPr>
        <w:t>4</w:t>
      </w:r>
      <w:r w:rsidR="006B1E3D">
        <w:rPr>
          <w:noProof/>
        </w:rPr>
        <w:fldChar w:fldCharType="end"/>
      </w:r>
      <w:r w:rsidR="00020E3B">
        <w:t xml:space="preserve"> - RMPE pós/</w:t>
      </w:r>
      <w:proofErr w:type="spellStart"/>
      <w:r w:rsidR="00020E3B">
        <w:t>pré</w:t>
      </w:r>
      <w:proofErr w:type="spellEnd"/>
      <w:r w:rsidR="00020E3B">
        <w:t>-</w:t>
      </w:r>
      <w:r w:rsidR="00EB001D" w:rsidRPr="000C0613">
        <w:t>intervenção</w:t>
      </w:r>
      <w:bookmarkEnd w:id="15"/>
    </w:p>
    <w:p w14:paraId="4730C624" w14:textId="77777777" w:rsidR="00B2718C" w:rsidRDefault="00B2718C" w:rsidP="004701A5">
      <w:pPr>
        <w:keepNext/>
        <w:keepLines/>
        <w:jc w:val="center"/>
      </w:pPr>
    </w:p>
    <w:p w14:paraId="352E3BE7" w14:textId="2EB7B291" w:rsidR="00B2718C" w:rsidRDefault="00EC3BDF">
      <w:pPr>
        <w:keepNext/>
        <w:keepLines/>
        <w:ind w:left="-426"/>
        <w:jc w:val="center"/>
      </w:pPr>
      <w:r>
        <w:rPr>
          <w:noProof/>
        </w:rPr>
        <w:drawing>
          <wp:inline distT="0" distB="0" distL="0" distR="0" wp14:anchorId="6D7923D3" wp14:editId="16C826F8">
            <wp:extent cx="5398019" cy="3599695"/>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e.png"/>
                    <pic:cNvPicPr/>
                  </pic:nvPicPr>
                  <pic:blipFill>
                    <a:blip r:embed="rId14">
                      <a:extLst>
                        <a:ext uri="{28A0092B-C50C-407E-A947-70E740481C1C}">
                          <a14:useLocalDpi xmlns:a14="http://schemas.microsoft.com/office/drawing/2010/main" val="0"/>
                        </a:ext>
                      </a:extLst>
                    </a:blip>
                    <a:stretch>
                      <a:fillRect/>
                    </a:stretch>
                  </pic:blipFill>
                  <pic:spPr>
                    <a:xfrm>
                      <a:off x="0" y="0"/>
                      <a:ext cx="5398019" cy="3599695"/>
                    </a:xfrm>
                    <a:prstGeom prst="rect">
                      <a:avLst/>
                    </a:prstGeom>
                  </pic:spPr>
                </pic:pic>
              </a:graphicData>
            </a:graphic>
          </wp:inline>
        </w:drawing>
      </w:r>
    </w:p>
    <w:p w14:paraId="49BCEB2D" w14:textId="0B3CDEB9" w:rsidR="00B2718C" w:rsidRPr="002364FE" w:rsidRDefault="002364FE" w:rsidP="004701A5">
      <w:pPr>
        <w:keepNext/>
        <w:keepLines/>
        <w:rPr>
          <w:sz w:val="20"/>
          <w:szCs w:val="20"/>
        </w:rPr>
      </w:pPr>
      <w:r>
        <w:rPr>
          <w:noProof/>
          <w:sz w:val="20"/>
          <w:szCs w:val="20"/>
        </w:rPr>
        <w:t xml:space="preserve">                         </w:t>
      </w:r>
      <w:r w:rsidRPr="002364FE">
        <w:rPr>
          <w:noProof/>
          <w:sz w:val="20"/>
          <w:szCs w:val="20"/>
        </w:rPr>
        <w:t>Fonte: Elaboração Própria</w:t>
      </w:r>
    </w:p>
    <w:p w14:paraId="6F970A84" w14:textId="77777777" w:rsidR="00B2718C" w:rsidRDefault="00B2718C" w:rsidP="00EB001D">
      <w:pPr>
        <w:spacing w:line="360" w:lineRule="auto"/>
        <w:jc w:val="center"/>
      </w:pPr>
    </w:p>
    <w:p w14:paraId="723AF812" w14:textId="6E3B326D" w:rsidR="00F50C9A" w:rsidRDefault="00BF673B" w:rsidP="00F9070F">
      <w:pPr>
        <w:spacing w:line="360" w:lineRule="auto"/>
        <w:ind w:firstLine="851"/>
        <w:jc w:val="both"/>
        <w:rPr>
          <w:rFonts w:eastAsiaTheme="minorEastAsia"/>
        </w:rPr>
      </w:pPr>
      <w:r>
        <w:rPr>
          <w:rFonts w:eastAsiaTheme="minorEastAsia"/>
        </w:rPr>
        <w:t>C</w:t>
      </w:r>
      <w:r w:rsidR="007C4519">
        <w:rPr>
          <w:rFonts w:eastAsiaTheme="minorEastAsia"/>
        </w:rPr>
        <w:t xml:space="preserve">onforme </w:t>
      </w:r>
      <w:r>
        <w:rPr>
          <w:rFonts w:eastAsiaTheme="minorEastAsia"/>
        </w:rPr>
        <w:t>consta</w:t>
      </w:r>
      <w:r w:rsidR="007C4519">
        <w:rPr>
          <w:rFonts w:eastAsiaTheme="minorEastAsia"/>
        </w:rPr>
        <w:t xml:space="preserve"> nos apêndices deste trabalho, </w:t>
      </w:r>
      <w:r w:rsidR="007E76DF">
        <w:rPr>
          <w:rFonts w:eastAsiaTheme="minorEastAsia"/>
        </w:rPr>
        <w:t xml:space="preserve">forem feitos </w:t>
      </w:r>
      <w:r w:rsidR="007C4519">
        <w:rPr>
          <w:rFonts w:eastAsiaTheme="minorEastAsia"/>
        </w:rPr>
        <w:t>teste</w:t>
      </w:r>
      <w:r>
        <w:rPr>
          <w:rFonts w:eastAsiaTheme="minorEastAsia"/>
        </w:rPr>
        <w:t>s adicionais com a finalidade de</w:t>
      </w:r>
      <w:r w:rsidR="007C4519">
        <w:rPr>
          <w:rFonts w:eastAsiaTheme="minorEastAsia"/>
        </w:rPr>
        <w:t xml:space="preserve"> </w:t>
      </w:r>
      <w:r w:rsidR="007E76DF">
        <w:rPr>
          <w:rFonts w:eastAsiaTheme="minorEastAsia"/>
        </w:rPr>
        <w:t>avaliar a robustez dos resultados</w:t>
      </w:r>
      <w:r w:rsidR="00F50C9A">
        <w:rPr>
          <w:rFonts w:eastAsiaTheme="minorEastAsia"/>
        </w:rPr>
        <w:t xml:space="preserve">. </w:t>
      </w:r>
      <w:r w:rsidR="007C4519">
        <w:rPr>
          <w:rFonts w:eastAsiaTheme="minorEastAsia"/>
        </w:rPr>
        <w:t>O</w:t>
      </w:r>
      <w:r w:rsidR="00F50C9A">
        <w:rPr>
          <w:rFonts w:eastAsiaTheme="minorEastAsia"/>
        </w:rPr>
        <w:t xml:space="preserve"> Apêndice A</w:t>
      </w:r>
      <w:r w:rsidR="007C4519">
        <w:rPr>
          <w:rFonts w:eastAsiaTheme="minorEastAsia"/>
        </w:rPr>
        <w:t xml:space="preserve">, </w:t>
      </w:r>
      <w:r w:rsidR="00FC3F3A">
        <w:rPr>
          <w:rFonts w:eastAsiaTheme="minorEastAsia"/>
        </w:rPr>
        <w:t>foram</w:t>
      </w:r>
      <w:r w:rsidR="007C4519">
        <w:rPr>
          <w:rFonts w:eastAsiaTheme="minorEastAsia"/>
        </w:rPr>
        <w:t xml:space="preserve"> realizado os mesmos procedimentos acima com as mesmas unidades de comparação, porém </w:t>
      </w:r>
      <w:r w:rsidR="006004B0">
        <w:rPr>
          <w:rFonts w:eastAsiaTheme="minorEastAsia"/>
        </w:rPr>
        <w:t xml:space="preserve">retirou-se a argentina do </w:t>
      </w:r>
      <w:proofErr w:type="spellStart"/>
      <w:r w:rsidR="006004B0" w:rsidRPr="006004B0">
        <w:rPr>
          <w:rFonts w:eastAsiaTheme="minorEastAsia"/>
          <w:i/>
        </w:rPr>
        <w:t>donor</w:t>
      </w:r>
      <w:proofErr w:type="spellEnd"/>
      <w:r w:rsidR="006004B0" w:rsidRPr="006004B0">
        <w:rPr>
          <w:rFonts w:eastAsiaTheme="minorEastAsia"/>
          <w:i/>
        </w:rPr>
        <w:t xml:space="preserve"> pool</w:t>
      </w:r>
      <w:r w:rsidR="006004B0">
        <w:rPr>
          <w:rFonts w:eastAsiaTheme="minorEastAsia"/>
          <w:i/>
        </w:rPr>
        <w:t xml:space="preserve"> </w:t>
      </w:r>
      <w:r w:rsidR="006004B0" w:rsidRPr="006004B0">
        <w:rPr>
          <w:rFonts w:eastAsiaTheme="minorEastAsia"/>
        </w:rPr>
        <w:t>original</w:t>
      </w:r>
      <w:r w:rsidR="00F50C9A">
        <w:rPr>
          <w:rFonts w:eastAsiaTheme="minorEastAsia"/>
        </w:rPr>
        <w:t>. Apêndice B apresenta uma variação temporal, com as data de intervenção datada para o ano de 2012</w:t>
      </w:r>
      <w:r w:rsidR="007C4519">
        <w:rPr>
          <w:rFonts w:eastAsiaTheme="minorEastAsia"/>
        </w:rPr>
        <w:t>, mantendo-se as unidades</w:t>
      </w:r>
      <w:r>
        <w:rPr>
          <w:rFonts w:eastAsiaTheme="minorEastAsia"/>
        </w:rPr>
        <w:t xml:space="preserve"> de comparações originais</w:t>
      </w:r>
      <w:r w:rsidR="00F50C9A">
        <w:rPr>
          <w:rFonts w:eastAsiaTheme="minorEastAsia"/>
        </w:rPr>
        <w:t>. Verifica-se, tanto no Apêndice A como no Apêndice B, que o efeito é similar ao que foi apresentado ao longo deste trabalho.</w:t>
      </w:r>
    </w:p>
    <w:p w14:paraId="1C73C5E2" w14:textId="0277B178" w:rsidR="007C4519" w:rsidRDefault="007C4519" w:rsidP="00F9070F">
      <w:pPr>
        <w:spacing w:line="360" w:lineRule="auto"/>
        <w:ind w:firstLine="851"/>
        <w:jc w:val="both"/>
        <w:rPr>
          <w:rFonts w:eastAsiaTheme="minorEastAsia"/>
        </w:rPr>
      </w:pPr>
      <w:r>
        <w:rPr>
          <w:rFonts w:eastAsiaTheme="minorEastAsia"/>
        </w:rPr>
        <w:t xml:space="preserve">Em relação ao Apêndice C </w:t>
      </w:r>
      <w:r w:rsidR="00274BB0">
        <w:rPr>
          <w:rFonts w:eastAsiaTheme="minorEastAsia"/>
        </w:rPr>
        <w:t>também foi modificado o</w:t>
      </w:r>
      <w:r w:rsidR="004306B9">
        <w:rPr>
          <w:rFonts w:eastAsiaTheme="minorEastAsia"/>
        </w:rPr>
        <w:t xml:space="preserve"> </w:t>
      </w:r>
      <w:proofErr w:type="spellStart"/>
      <w:r w:rsidRPr="00F9070F">
        <w:rPr>
          <w:rFonts w:eastAsiaTheme="minorEastAsia"/>
          <w:i/>
        </w:rPr>
        <w:t>donor</w:t>
      </w:r>
      <w:proofErr w:type="spellEnd"/>
      <w:r w:rsidRPr="00F9070F">
        <w:rPr>
          <w:rFonts w:eastAsiaTheme="minorEastAsia"/>
          <w:i/>
        </w:rPr>
        <w:t xml:space="preserve"> pool</w:t>
      </w:r>
      <w:r w:rsidR="00274BB0">
        <w:rPr>
          <w:rFonts w:eastAsiaTheme="minorEastAsia"/>
        </w:rPr>
        <w:t xml:space="preserve"> original do modelo apresentado</w:t>
      </w:r>
      <w:r>
        <w:rPr>
          <w:rFonts w:eastAsiaTheme="minorEastAsia"/>
        </w:rPr>
        <w:t xml:space="preserve">. No Apêndice C, </w:t>
      </w:r>
      <w:r w:rsidR="00BF673B">
        <w:rPr>
          <w:rFonts w:eastAsiaTheme="minorEastAsia"/>
        </w:rPr>
        <w:t>foi</w:t>
      </w:r>
      <w:r>
        <w:rPr>
          <w:rFonts w:eastAsiaTheme="minorEastAsia"/>
        </w:rPr>
        <w:t xml:space="preserve"> </w:t>
      </w:r>
      <w:r w:rsidR="00BF673B">
        <w:rPr>
          <w:rFonts w:eastAsiaTheme="minorEastAsia"/>
        </w:rPr>
        <w:t>inserido o rol de</w:t>
      </w:r>
      <w:r>
        <w:rPr>
          <w:rFonts w:eastAsiaTheme="minorEastAsia"/>
        </w:rPr>
        <w:t xml:space="preserve"> pa</w:t>
      </w:r>
      <w:r w:rsidR="00BF673B">
        <w:rPr>
          <w:rFonts w:eastAsiaTheme="minorEastAsia"/>
        </w:rPr>
        <w:t xml:space="preserve">íses </w:t>
      </w:r>
      <w:r>
        <w:rPr>
          <w:rFonts w:eastAsiaTheme="minorEastAsia"/>
        </w:rPr>
        <w:t>emergentes</w:t>
      </w:r>
      <w:r w:rsidR="00B84AE4">
        <w:rPr>
          <w:rFonts w:eastAsiaTheme="minorEastAsia"/>
        </w:rPr>
        <w:t>. Neste novo desenho, embora ainda</w:t>
      </w:r>
      <w:r w:rsidR="00BF673B">
        <w:rPr>
          <w:rFonts w:eastAsiaTheme="minorEastAsia"/>
        </w:rPr>
        <w:t xml:space="preserve"> se</w:t>
      </w:r>
      <w:r w:rsidR="00B84AE4">
        <w:rPr>
          <w:rFonts w:eastAsiaTheme="minorEastAsia"/>
        </w:rPr>
        <w:t xml:space="preserve"> tenha um </w:t>
      </w:r>
      <w:r w:rsidR="00B84AE4" w:rsidRPr="003548C9">
        <w:rPr>
          <w:rFonts w:eastAsiaTheme="minorEastAsia"/>
          <w:i/>
        </w:rPr>
        <w:t>Gap</w:t>
      </w:r>
      <w:r w:rsidR="00B84AE4">
        <w:rPr>
          <w:rFonts w:eastAsiaTheme="minorEastAsia"/>
        </w:rPr>
        <w:t xml:space="preserve"> após a intervenção, o RSMPE parece ser inconclusivo, na medi</w:t>
      </w:r>
      <w:r w:rsidR="00274BB0">
        <w:rPr>
          <w:rFonts w:eastAsiaTheme="minorEastAsia"/>
        </w:rPr>
        <w:t xml:space="preserve">da em que o Brasil apresenta uma medida </w:t>
      </w:r>
      <w:r w:rsidR="00B84AE4">
        <w:rPr>
          <w:rFonts w:eastAsiaTheme="minorEastAsia"/>
        </w:rPr>
        <w:t xml:space="preserve">menor que outros dois países. </w:t>
      </w:r>
    </w:p>
    <w:p w14:paraId="052C5285" w14:textId="77777777" w:rsidR="00F50C9A" w:rsidRDefault="00F50C9A" w:rsidP="00EB001D">
      <w:pPr>
        <w:spacing w:line="360" w:lineRule="auto"/>
        <w:jc w:val="center"/>
      </w:pPr>
    </w:p>
    <w:p w14:paraId="1A45527B" w14:textId="77777777" w:rsidR="00A171F6" w:rsidRDefault="00A171F6" w:rsidP="00EB001D">
      <w:pPr>
        <w:spacing w:line="360" w:lineRule="auto"/>
        <w:jc w:val="center"/>
      </w:pPr>
    </w:p>
    <w:p w14:paraId="707A0376" w14:textId="77777777" w:rsidR="00A171F6" w:rsidRDefault="00A171F6" w:rsidP="00EB001D">
      <w:pPr>
        <w:spacing w:line="360" w:lineRule="auto"/>
        <w:jc w:val="center"/>
      </w:pPr>
    </w:p>
    <w:p w14:paraId="13E3AA59" w14:textId="77777777" w:rsidR="00A171F6" w:rsidRDefault="00A171F6" w:rsidP="00EB001D">
      <w:pPr>
        <w:spacing w:line="360" w:lineRule="auto"/>
        <w:jc w:val="center"/>
      </w:pPr>
    </w:p>
    <w:p w14:paraId="200AE224" w14:textId="77777777" w:rsidR="00A171F6" w:rsidRPr="000C0613" w:rsidRDefault="00A171F6" w:rsidP="00EB001D">
      <w:pPr>
        <w:spacing w:line="360" w:lineRule="auto"/>
        <w:jc w:val="center"/>
      </w:pPr>
    </w:p>
    <w:p w14:paraId="107B5CBF" w14:textId="77777777" w:rsidR="00A92130" w:rsidRPr="000C0613" w:rsidRDefault="00EB001D" w:rsidP="00290949">
      <w:pPr>
        <w:pStyle w:val="PargrafodaLista"/>
        <w:numPr>
          <w:ilvl w:val="1"/>
          <w:numId w:val="12"/>
        </w:numPr>
        <w:spacing w:line="360" w:lineRule="auto"/>
        <w:jc w:val="both"/>
        <w:outlineLvl w:val="1"/>
        <w:rPr>
          <w:rFonts w:ascii="Times New Roman" w:hAnsi="Times New Roman" w:cs="Times New Roman"/>
          <w:b/>
          <w:smallCaps/>
          <w:sz w:val="24"/>
          <w:szCs w:val="24"/>
        </w:rPr>
      </w:pPr>
      <w:r w:rsidRPr="000C0613">
        <w:rPr>
          <w:rFonts w:ascii="Times New Roman" w:hAnsi="Times New Roman" w:cs="Times New Roman"/>
          <w:b/>
          <w:smallCaps/>
          <w:sz w:val="24"/>
          <w:szCs w:val="24"/>
        </w:rPr>
        <w:lastRenderedPageBreak/>
        <w:t xml:space="preserve"> </w:t>
      </w:r>
      <w:bookmarkStart w:id="16" w:name="_Toc51774600"/>
      <w:r w:rsidRPr="000C0613">
        <w:rPr>
          <w:rFonts w:ascii="Times New Roman" w:hAnsi="Times New Roman" w:cs="Times New Roman"/>
          <w:b/>
          <w:smallCaps/>
          <w:sz w:val="24"/>
          <w:szCs w:val="24"/>
        </w:rPr>
        <w:t>Diferenças em diferenças</w:t>
      </w:r>
      <w:bookmarkEnd w:id="16"/>
    </w:p>
    <w:p w14:paraId="67A1C95A" w14:textId="3CFE0A27" w:rsidR="00F57CA4" w:rsidRDefault="003C2E88" w:rsidP="003C2E88">
      <w:pPr>
        <w:spacing w:line="360" w:lineRule="auto"/>
        <w:ind w:firstLine="851"/>
        <w:jc w:val="both"/>
        <w:rPr>
          <w:rFonts w:eastAsiaTheme="minorEastAsia"/>
        </w:rPr>
      </w:pPr>
      <w:r>
        <w:rPr>
          <w:rFonts w:eastAsiaTheme="minorEastAsia"/>
        </w:rPr>
        <w:t>A</w:t>
      </w:r>
      <w:r w:rsidR="000873CB" w:rsidRPr="000C0613">
        <w:rPr>
          <w:rFonts w:eastAsiaTheme="minorEastAsia"/>
        </w:rPr>
        <w:t xml:space="preserve"> fim de fazer uma checagem de robustez,</w:t>
      </w:r>
      <w:r w:rsidR="009D7A4D">
        <w:rPr>
          <w:rFonts w:eastAsiaTheme="minorEastAsia"/>
        </w:rPr>
        <w:t xml:space="preserve"> efetuou-se uma regressão de </w:t>
      </w:r>
      <w:r w:rsidR="000873CB" w:rsidRPr="000C0613">
        <w:rPr>
          <w:rFonts w:eastAsiaTheme="minorEastAsia"/>
        </w:rPr>
        <w:t>diferenças em diferença</w:t>
      </w:r>
      <w:r>
        <w:rPr>
          <w:rFonts w:eastAsiaTheme="minorEastAsia"/>
        </w:rPr>
        <w:t xml:space="preserve">, utilizando-se dos mesmos países e das mesmas variáveis do modelo de controle sintético. A primeira regressão </w:t>
      </w:r>
      <w:r w:rsidR="009D7A4D">
        <w:rPr>
          <w:rFonts w:eastAsiaTheme="minorEastAsia"/>
        </w:rPr>
        <w:t>foi realizada</w:t>
      </w:r>
      <w:r>
        <w:rPr>
          <w:rFonts w:eastAsiaTheme="minorEastAsia"/>
        </w:rPr>
        <w:t xml:space="preserve"> sem nenhuma das variáveis de controle</w:t>
      </w:r>
      <w:r w:rsidR="003D22E7">
        <w:rPr>
          <w:rFonts w:eastAsiaTheme="minorEastAsia"/>
        </w:rPr>
        <w:t xml:space="preserve">; </w:t>
      </w:r>
      <w:r>
        <w:rPr>
          <w:rFonts w:eastAsiaTheme="minorEastAsia"/>
        </w:rPr>
        <w:t>a segunda já com as variáveis como controle</w:t>
      </w:r>
      <w:r w:rsidR="000873CB" w:rsidRPr="000C0613">
        <w:rPr>
          <w:rFonts w:eastAsiaTheme="minorEastAsia"/>
        </w:rPr>
        <w:t>.</w:t>
      </w:r>
      <w:r>
        <w:rPr>
          <w:rFonts w:eastAsiaTheme="minorEastAsia"/>
        </w:rPr>
        <w:t xml:space="preserve"> </w:t>
      </w:r>
      <w:r w:rsidR="000873CB" w:rsidRPr="000C0613">
        <w:rPr>
          <w:rFonts w:eastAsiaTheme="minorEastAsia"/>
        </w:rPr>
        <w:t xml:space="preserve"> Por fim</w:t>
      </w:r>
      <w:r w:rsidR="003D22E7">
        <w:rPr>
          <w:rFonts w:eastAsiaTheme="minorEastAsia"/>
        </w:rPr>
        <w:t>,</w:t>
      </w:r>
      <w:r w:rsidR="000873CB" w:rsidRPr="000C0613">
        <w:rPr>
          <w:rFonts w:eastAsiaTheme="minorEastAsia"/>
        </w:rPr>
        <w:t xml:space="preserve"> será feita uma discussão sobre os resultados e limitações possíveis</w:t>
      </w:r>
      <w:r w:rsidR="00FC589B">
        <w:rPr>
          <w:rFonts w:eastAsiaTheme="minorEastAsia"/>
        </w:rPr>
        <w:t xml:space="preserve">. </w:t>
      </w:r>
      <w:r w:rsidR="003D1F2C">
        <w:rPr>
          <w:rFonts w:eastAsiaTheme="minorEastAsia"/>
        </w:rPr>
        <w:t>As regressões são</w:t>
      </w:r>
      <w:r w:rsidR="002452A5">
        <w:rPr>
          <w:rFonts w:eastAsiaTheme="minorEastAsia"/>
        </w:rPr>
        <w:t xml:space="preserve"> descritas das seguintes formas</w:t>
      </w:r>
      <w:r w:rsidR="00FC589B">
        <w:rPr>
          <w:rFonts w:eastAsiaTheme="minorEastAsia"/>
        </w:rPr>
        <w:t>.</w:t>
      </w:r>
    </w:p>
    <w:p w14:paraId="44B663DA" w14:textId="77777777" w:rsidR="002452A5" w:rsidRPr="002452A5" w:rsidRDefault="006B1E3D" w:rsidP="002452A5">
      <w:pPr>
        <w:pStyle w:val="PargrafodaLista"/>
        <w:numPr>
          <w:ilvl w:val="0"/>
          <w:numId w:val="11"/>
        </w:numPr>
        <w:spacing w:line="360" w:lineRule="auto"/>
        <w:jc w:val="both"/>
        <w:rPr>
          <w:rFonts w:ascii="Times New Roman" w:hAnsi="Times New Roman" w:cs="Times New Roman"/>
          <w:smallCaps/>
          <w:sz w:val="24"/>
          <w:szCs w:val="24"/>
        </w:rPr>
      </w:pPr>
      <m:oMath>
        <m:sSub>
          <m:sSubPr>
            <m:ctrlPr>
              <w:rPr>
                <w:rFonts w:ascii="Cambria Math" w:hAnsi="Cambria Math" w:cs="Times New Roman"/>
                <w:i/>
                <w:smallCaps/>
                <w:sz w:val="24"/>
                <w:szCs w:val="24"/>
              </w:rPr>
            </m:ctrlPr>
          </m:sSubPr>
          <m:e>
            <m:r>
              <w:rPr>
                <w:rFonts w:ascii="Cambria Math" w:hAnsi="Cambria Math" w:cs="Times New Roman"/>
                <w:smallCaps/>
                <w:sz w:val="24"/>
                <w:szCs w:val="24"/>
              </w:rPr>
              <m:t>y</m:t>
            </m:r>
          </m:e>
          <m:sub>
            <m:r>
              <w:rPr>
                <w:rFonts w:ascii="Cambria Math" w:hAnsi="Cambria Math" w:cs="Times New Roman"/>
                <w:smallCaps/>
                <w:sz w:val="24"/>
                <w:szCs w:val="24"/>
              </w:rPr>
              <m:t>it</m:t>
            </m:r>
          </m:sub>
        </m:sSub>
        <m:r>
          <w:rPr>
            <w:rFonts w:ascii="Cambria Math" w:hAnsi="Cambria Math" w:cs="Times New Roman"/>
            <w:smallCaps/>
            <w:sz w:val="24"/>
            <w:szCs w:val="24"/>
          </w:rPr>
          <m:t>=α+θ</m:t>
        </m:r>
        <m:sSub>
          <m:sSubPr>
            <m:ctrlPr>
              <w:rPr>
                <w:rFonts w:ascii="Cambria Math" w:hAnsi="Cambria Math" w:cs="Times New Roman"/>
                <w:i/>
                <w:smallCaps/>
                <w:sz w:val="24"/>
                <w:szCs w:val="24"/>
              </w:rPr>
            </m:ctrlPr>
          </m:sSubPr>
          <m:e>
            <m:r>
              <w:rPr>
                <w:rFonts w:ascii="Cambria Math" w:hAnsi="Cambria Math" w:cs="Times New Roman"/>
                <w:smallCaps/>
                <w:sz w:val="24"/>
                <w:szCs w:val="24"/>
              </w:rPr>
              <m:t>D</m:t>
            </m:r>
          </m:e>
          <m:sub>
            <m:r>
              <w:rPr>
                <w:rFonts w:ascii="Cambria Math" w:hAnsi="Cambria Math" w:cs="Times New Roman"/>
                <w:smallCaps/>
                <w:sz w:val="24"/>
                <w:szCs w:val="24"/>
              </w:rPr>
              <m:t>it</m:t>
            </m:r>
          </m:sub>
        </m:sSub>
        <m:r>
          <w:rPr>
            <w:rFonts w:ascii="Cambria Math" w:hAnsi="Cambria Math" w:cs="Times New Roman"/>
            <w:smallCaps/>
            <w:sz w:val="24"/>
            <w:szCs w:val="24"/>
          </w:rPr>
          <m:t>+γ</m:t>
        </m:r>
        <m:sSub>
          <m:sSubPr>
            <m:ctrlPr>
              <w:rPr>
                <w:rFonts w:ascii="Cambria Math" w:hAnsi="Cambria Math" w:cs="Times New Roman"/>
                <w:i/>
                <w:smallCaps/>
                <w:sz w:val="24"/>
                <w:szCs w:val="24"/>
              </w:rPr>
            </m:ctrlPr>
          </m:sSubPr>
          <m:e>
            <m:r>
              <w:rPr>
                <w:rFonts w:ascii="Cambria Math" w:hAnsi="Cambria Math" w:cs="Times New Roman"/>
                <w:smallCaps/>
                <w:sz w:val="24"/>
                <w:szCs w:val="24"/>
              </w:rPr>
              <m:t>T</m:t>
            </m:r>
          </m:e>
          <m:sub>
            <m:r>
              <w:rPr>
                <w:rFonts w:ascii="Cambria Math" w:hAnsi="Cambria Math" w:cs="Times New Roman"/>
                <w:smallCaps/>
                <w:sz w:val="24"/>
                <w:szCs w:val="24"/>
              </w:rPr>
              <m:t>i</m:t>
            </m:r>
          </m:sub>
        </m:sSub>
        <m:r>
          <w:rPr>
            <w:rFonts w:ascii="Cambria Math" w:hAnsi="Cambria Math" w:cs="Times New Roman"/>
            <w:smallCaps/>
            <w:sz w:val="24"/>
            <w:szCs w:val="24"/>
          </w:rPr>
          <m:t xml:space="preserve">+δDID+ </m:t>
        </m:r>
        <m:sSub>
          <m:sSubPr>
            <m:ctrlPr>
              <w:rPr>
                <w:rFonts w:ascii="Cambria Math" w:hAnsi="Cambria Math" w:cs="Times New Roman"/>
                <w:i/>
                <w:smallCaps/>
                <w:sz w:val="24"/>
                <w:szCs w:val="24"/>
              </w:rPr>
            </m:ctrlPr>
          </m:sSubPr>
          <m:e>
            <m:r>
              <w:rPr>
                <w:rFonts w:ascii="Cambria Math" w:hAnsi="Cambria Math" w:cs="Times New Roman"/>
                <w:smallCaps/>
                <w:sz w:val="24"/>
                <w:szCs w:val="24"/>
              </w:rPr>
              <m:t>ε</m:t>
            </m:r>
          </m:e>
          <m:sub>
            <m:r>
              <w:rPr>
                <w:rFonts w:ascii="Cambria Math" w:hAnsi="Cambria Math" w:cs="Times New Roman"/>
                <w:smallCaps/>
                <w:sz w:val="24"/>
                <w:szCs w:val="24"/>
              </w:rPr>
              <m:t>it</m:t>
            </m:r>
          </m:sub>
        </m:sSub>
        <m:r>
          <w:rPr>
            <w:rFonts w:ascii="Cambria Math" w:hAnsi="Cambria Math" w:cs="Times New Roman"/>
            <w:smallCaps/>
            <w:sz w:val="24"/>
            <w:szCs w:val="24"/>
          </w:rPr>
          <m:t xml:space="preserve"> </m:t>
        </m:r>
      </m:oMath>
    </w:p>
    <w:p w14:paraId="24217A17" w14:textId="77777777" w:rsidR="00FC589B" w:rsidRPr="002452A5" w:rsidRDefault="006B1E3D" w:rsidP="002452A5">
      <w:pPr>
        <w:pStyle w:val="PargrafodaLista"/>
        <w:numPr>
          <w:ilvl w:val="0"/>
          <w:numId w:val="11"/>
        </w:numPr>
        <w:spacing w:line="360" w:lineRule="auto"/>
        <w:jc w:val="both"/>
        <w:rPr>
          <w:rFonts w:ascii="Times New Roman" w:hAnsi="Times New Roman" w:cs="Times New Roman"/>
          <w:smallCaps/>
          <w:sz w:val="24"/>
          <w:szCs w:val="24"/>
        </w:rPr>
      </w:pPr>
      <m:oMath>
        <m:sSub>
          <m:sSubPr>
            <m:ctrlPr>
              <w:rPr>
                <w:rFonts w:ascii="Cambria Math" w:hAnsi="Cambria Math" w:cs="Times New Roman"/>
                <w:i/>
                <w:smallCaps/>
                <w:sz w:val="24"/>
                <w:szCs w:val="24"/>
              </w:rPr>
            </m:ctrlPr>
          </m:sSubPr>
          <m:e>
            <m:r>
              <w:rPr>
                <w:rFonts w:ascii="Cambria Math" w:hAnsi="Cambria Math" w:cs="Times New Roman"/>
                <w:smallCaps/>
                <w:sz w:val="24"/>
                <w:szCs w:val="24"/>
              </w:rPr>
              <m:t>y</m:t>
            </m:r>
          </m:e>
          <m:sub>
            <m:r>
              <w:rPr>
                <w:rFonts w:ascii="Cambria Math" w:hAnsi="Cambria Math" w:cs="Times New Roman"/>
                <w:smallCaps/>
                <w:sz w:val="24"/>
                <w:szCs w:val="24"/>
              </w:rPr>
              <m:t>it</m:t>
            </m:r>
          </m:sub>
        </m:sSub>
        <m:r>
          <w:rPr>
            <w:rFonts w:ascii="Cambria Math" w:hAnsi="Cambria Math" w:cs="Times New Roman"/>
            <w:smallCaps/>
            <w:sz w:val="24"/>
            <w:szCs w:val="24"/>
          </w:rPr>
          <m:t>=α+θ</m:t>
        </m:r>
        <m:sSub>
          <m:sSubPr>
            <m:ctrlPr>
              <w:rPr>
                <w:rFonts w:ascii="Cambria Math" w:hAnsi="Cambria Math" w:cs="Times New Roman"/>
                <w:i/>
                <w:smallCaps/>
                <w:sz w:val="24"/>
                <w:szCs w:val="24"/>
              </w:rPr>
            </m:ctrlPr>
          </m:sSubPr>
          <m:e>
            <m:r>
              <w:rPr>
                <w:rFonts w:ascii="Cambria Math" w:hAnsi="Cambria Math" w:cs="Times New Roman"/>
                <w:smallCaps/>
                <w:sz w:val="24"/>
                <w:szCs w:val="24"/>
              </w:rPr>
              <m:t>D</m:t>
            </m:r>
          </m:e>
          <m:sub>
            <m:r>
              <w:rPr>
                <w:rFonts w:ascii="Cambria Math" w:hAnsi="Cambria Math" w:cs="Times New Roman"/>
                <w:smallCaps/>
                <w:sz w:val="24"/>
                <w:szCs w:val="24"/>
              </w:rPr>
              <m:t>it</m:t>
            </m:r>
          </m:sub>
        </m:sSub>
        <m:r>
          <w:rPr>
            <w:rFonts w:ascii="Cambria Math" w:hAnsi="Cambria Math" w:cs="Times New Roman"/>
            <w:smallCaps/>
            <w:sz w:val="24"/>
            <w:szCs w:val="24"/>
          </w:rPr>
          <m:t>+γ</m:t>
        </m:r>
        <m:sSub>
          <m:sSubPr>
            <m:ctrlPr>
              <w:rPr>
                <w:rFonts w:ascii="Cambria Math" w:hAnsi="Cambria Math" w:cs="Times New Roman"/>
                <w:i/>
                <w:smallCaps/>
                <w:sz w:val="24"/>
                <w:szCs w:val="24"/>
              </w:rPr>
            </m:ctrlPr>
          </m:sSubPr>
          <m:e>
            <m:r>
              <w:rPr>
                <w:rFonts w:ascii="Cambria Math" w:hAnsi="Cambria Math" w:cs="Times New Roman"/>
                <w:smallCaps/>
                <w:sz w:val="24"/>
                <w:szCs w:val="24"/>
              </w:rPr>
              <m:t>T</m:t>
            </m:r>
          </m:e>
          <m:sub>
            <m:r>
              <w:rPr>
                <w:rFonts w:ascii="Cambria Math" w:hAnsi="Cambria Math" w:cs="Times New Roman"/>
                <w:smallCaps/>
                <w:sz w:val="24"/>
                <w:szCs w:val="24"/>
              </w:rPr>
              <m:t>i</m:t>
            </m:r>
          </m:sub>
        </m:sSub>
        <m:r>
          <w:rPr>
            <w:rFonts w:ascii="Cambria Math" w:hAnsi="Cambria Math" w:cs="Times New Roman"/>
            <w:smallCaps/>
            <w:sz w:val="24"/>
            <w:szCs w:val="24"/>
          </w:rPr>
          <m:t>+</m:t>
        </m:r>
        <m:sSub>
          <m:sSubPr>
            <m:ctrlPr>
              <w:rPr>
                <w:rFonts w:ascii="Cambria Math" w:hAnsi="Cambria Math" w:cs="Times New Roman"/>
                <w:i/>
                <w:smallCaps/>
                <w:sz w:val="24"/>
                <w:szCs w:val="24"/>
              </w:rPr>
            </m:ctrlPr>
          </m:sSubPr>
          <m:e>
            <m:r>
              <m:rPr>
                <m:sty m:val="bi"/>
              </m:rPr>
              <w:rPr>
                <w:rFonts w:ascii="Cambria Math" w:hAnsi="Cambria Math" w:cs="Times New Roman"/>
                <w:smallCaps/>
                <w:sz w:val="24"/>
                <w:szCs w:val="24"/>
              </w:rPr>
              <m:t>X</m:t>
            </m:r>
            <m:ctrlPr>
              <w:rPr>
                <w:rFonts w:ascii="Cambria Math" w:hAnsi="Cambria Math" w:cs="Times New Roman"/>
                <w:b/>
                <w:i/>
                <w:smallCaps/>
                <w:sz w:val="24"/>
                <w:szCs w:val="24"/>
              </w:rPr>
            </m:ctrlPr>
          </m:e>
          <m:sub>
            <m:r>
              <w:rPr>
                <w:rFonts w:ascii="Cambria Math" w:hAnsi="Cambria Math" w:cs="Times New Roman"/>
                <w:smallCaps/>
                <w:sz w:val="24"/>
                <w:szCs w:val="24"/>
              </w:rPr>
              <m:t>i</m:t>
            </m:r>
          </m:sub>
        </m:sSub>
        <m:r>
          <w:rPr>
            <w:rFonts w:ascii="Cambria Math" w:hAnsi="Cambria Math" w:cs="Times New Roman"/>
            <w:smallCaps/>
            <w:sz w:val="24"/>
            <w:szCs w:val="24"/>
          </w:rPr>
          <m:t xml:space="preserve">β+δDID+ </m:t>
        </m:r>
        <m:sSub>
          <m:sSubPr>
            <m:ctrlPr>
              <w:rPr>
                <w:rFonts w:ascii="Cambria Math" w:hAnsi="Cambria Math" w:cs="Times New Roman"/>
                <w:i/>
                <w:smallCaps/>
                <w:sz w:val="24"/>
                <w:szCs w:val="24"/>
              </w:rPr>
            </m:ctrlPr>
          </m:sSubPr>
          <m:e>
            <m:r>
              <w:rPr>
                <w:rFonts w:ascii="Cambria Math" w:hAnsi="Cambria Math" w:cs="Times New Roman"/>
                <w:smallCaps/>
                <w:sz w:val="24"/>
                <w:szCs w:val="24"/>
              </w:rPr>
              <m:t>ε</m:t>
            </m:r>
          </m:e>
          <m:sub>
            <m:r>
              <w:rPr>
                <w:rFonts w:ascii="Cambria Math" w:hAnsi="Cambria Math" w:cs="Times New Roman"/>
                <w:smallCaps/>
                <w:sz w:val="24"/>
                <w:szCs w:val="24"/>
              </w:rPr>
              <m:t>it</m:t>
            </m:r>
          </m:sub>
        </m:sSub>
        <m:r>
          <w:rPr>
            <w:rFonts w:ascii="Cambria Math" w:hAnsi="Cambria Math" w:cs="Times New Roman"/>
            <w:smallCaps/>
            <w:sz w:val="24"/>
            <w:szCs w:val="24"/>
          </w:rPr>
          <m:t xml:space="preserve">  </m:t>
        </m:r>
      </m:oMath>
    </w:p>
    <w:p w14:paraId="33557A4E" w14:textId="77777777" w:rsidR="00A92130" w:rsidRPr="000C0613" w:rsidRDefault="00933FBD" w:rsidP="00F92C29">
      <w:pPr>
        <w:spacing w:line="360" w:lineRule="auto"/>
        <w:jc w:val="both"/>
      </w:pPr>
      <w:r>
        <w:t xml:space="preserve"> </w:t>
      </w:r>
    </w:p>
    <w:p w14:paraId="200A7509" w14:textId="77777777" w:rsidR="00A171F6" w:rsidRDefault="00933FBD" w:rsidP="00A171F6">
      <w:pPr>
        <w:spacing w:line="360" w:lineRule="auto"/>
        <w:ind w:firstLine="851"/>
        <w:jc w:val="both"/>
        <w:rPr>
          <w:rFonts w:eastAsiaTheme="minorEastAsia"/>
        </w:rPr>
      </w:pPr>
      <w:r w:rsidRPr="00933FBD">
        <w:t xml:space="preserve">Neste caso,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Pr>
          <w:rFonts w:eastAsiaTheme="minorEastAsia"/>
        </w:rPr>
        <w:t xml:space="preserve"> corresponde a número de </w:t>
      </w:r>
      <w:r w:rsidR="003D22E7">
        <w:rPr>
          <w:rFonts w:eastAsiaTheme="minorEastAsia"/>
        </w:rPr>
        <w:t>f</w:t>
      </w:r>
      <w:r>
        <w:rPr>
          <w:rFonts w:eastAsiaTheme="minorEastAsia"/>
        </w:rPr>
        <w:t xml:space="preserve">usões e aquisições internacionais no País </w:t>
      </w:r>
      <m:oMath>
        <m:r>
          <w:rPr>
            <w:rFonts w:ascii="Cambria Math" w:eastAsiaTheme="minorEastAsia" w:hAnsi="Cambria Math"/>
          </w:rPr>
          <m:t>i,</m:t>
        </m:r>
      </m:oMath>
      <w:r>
        <w:rPr>
          <w:rFonts w:eastAsiaTheme="minorEastAsia"/>
        </w:rPr>
        <w:t xml:space="preserve"> no ano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oMath>
      <w:r>
        <w:rPr>
          <w:rFonts w:eastAsiaTheme="minorEastAsia"/>
        </w:rPr>
        <w:t xml:space="preserve"> é a variável </w:t>
      </w:r>
      <w:proofErr w:type="spellStart"/>
      <w:r w:rsidRPr="00C6027C">
        <w:rPr>
          <w:rFonts w:eastAsiaTheme="minorEastAsia"/>
          <w:i/>
        </w:rPr>
        <w:t>dummy</w:t>
      </w:r>
      <w:proofErr w:type="spellEnd"/>
      <w:r>
        <w:rPr>
          <w:rFonts w:eastAsiaTheme="minorEastAsia"/>
        </w:rPr>
        <w:t xml:space="preserve"> que a assume a valor da unidade de tratamento</w:t>
      </w:r>
      <w:r w:rsidR="00C6027C">
        <w:rPr>
          <w:rFonts w:eastAsiaTheme="minorEastAsia"/>
        </w:rPr>
        <w:t xml:space="preserve"> </w:t>
      </w:r>
      <w:r w:rsidR="00DE5035">
        <w:rPr>
          <w:rFonts w:eastAsiaTheme="minorEastAsia"/>
        </w:rPr>
        <w:t>e controle, sendo um para tratado e zero para controle</w:t>
      </w:r>
      <w:r>
        <w:rPr>
          <w:rFonts w:eastAsiaTheme="minorEastAsia"/>
        </w:rPr>
        <w:t xml:space="preserve">; </w:t>
      </w:r>
      <m:oMath>
        <m:sSub>
          <m:sSubPr>
            <m:ctrlPr>
              <w:rPr>
                <w:rFonts w:ascii="Cambria Math" w:hAnsi="Cambria Math"/>
                <w:i/>
                <w:smallCaps/>
              </w:rPr>
            </m:ctrlPr>
          </m:sSubPr>
          <m:e>
            <m:r>
              <w:rPr>
                <w:rFonts w:ascii="Cambria Math" w:hAnsi="Cambria Math"/>
                <w:smallCaps/>
              </w:rPr>
              <m:t>T</m:t>
            </m:r>
          </m:e>
          <m:sub>
            <m:r>
              <w:rPr>
                <w:rFonts w:ascii="Cambria Math" w:hAnsi="Cambria Math"/>
                <w:smallCaps/>
              </w:rPr>
              <m:t>i</m:t>
            </m:r>
          </m:sub>
        </m:sSub>
      </m:oMath>
      <w:r>
        <w:rPr>
          <w:rFonts w:eastAsiaTheme="minorEastAsia"/>
        </w:rPr>
        <w:t xml:space="preserve"> </w:t>
      </w:r>
      <w:r w:rsidR="00C6027C">
        <w:rPr>
          <w:rFonts w:eastAsiaTheme="minorEastAsia"/>
        </w:rPr>
        <w:t xml:space="preserve">é uma variável binária que indica o período </w:t>
      </w:r>
      <w:proofErr w:type="spellStart"/>
      <w:r w:rsidR="00C6027C">
        <w:rPr>
          <w:rFonts w:eastAsiaTheme="minorEastAsia"/>
        </w:rPr>
        <w:t>pré</w:t>
      </w:r>
      <w:proofErr w:type="spellEnd"/>
      <w:r w:rsidR="00C6027C">
        <w:rPr>
          <w:rFonts w:eastAsiaTheme="minorEastAsia"/>
        </w:rPr>
        <w:t xml:space="preserve"> o</w:t>
      </w:r>
      <w:r w:rsidR="003D22E7">
        <w:rPr>
          <w:rFonts w:eastAsiaTheme="minorEastAsia"/>
        </w:rPr>
        <w:t>u</w:t>
      </w:r>
      <w:r w:rsidR="00C6027C">
        <w:rPr>
          <w:rFonts w:eastAsiaTheme="minorEastAsia"/>
        </w:rPr>
        <w:t xml:space="preserve"> pós-tratamento; e por fim, DID é a interação entre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oMath>
      <w:r w:rsidR="00C6027C">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C6027C">
        <w:rPr>
          <w:rFonts w:eastAsiaTheme="minorEastAsia"/>
        </w:rPr>
        <w:t xml:space="preserve">, ou seja,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6027C">
        <w:rPr>
          <w:rFonts w:eastAsiaTheme="minorEastAsia"/>
        </w:rPr>
        <w:t xml:space="preserve">, sendo </w:t>
      </w:r>
      <m:oMath>
        <m:r>
          <w:rPr>
            <w:rFonts w:ascii="Cambria Math" w:eastAsiaTheme="minorEastAsia" w:hAnsi="Cambria Math"/>
          </w:rPr>
          <m:t>δ</m:t>
        </m:r>
      </m:oMath>
      <w:r w:rsidR="00C6027C">
        <w:rPr>
          <w:rFonts w:eastAsiaTheme="minorEastAsia"/>
        </w:rPr>
        <w:t xml:space="preserve"> o estimador de diferenças em diferenças.</w:t>
      </w:r>
      <w:r w:rsidR="00FB15ED">
        <w:rPr>
          <w:rFonts w:eastAsiaTheme="minorEastAsia"/>
        </w:rPr>
        <w:t xml:space="preserve"> Portanto os resultados</w:t>
      </w:r>
      <w:r w:rsidR="009D7A4D">
        <w:rPr>
          <w:rFonts w:eastAsiaTheme="minorEastAsia"/>
        </w:rPr>
        <w:t xml:space="preserve"> são mostrados na Tabela 4.</w:t>
      </w:r>
      <w:bookmarkStart w:id="17" w:name="_Toc51772703"/>
    </w:p>
    <w:p w14:paraId="5C922F55" w14:textId="77777777" w:rsidR="00A171F6" w:rsidRDefault="00A171F6" w:rsidP="00A171F6">
      <w:pPr>
        <w:spacing w:line="360" w:lineRule="auto"/>
        <w:ind w:firstLine="851"/>
        <w:jc w:val="both"/>
        <w:rPr>
          <w:rFonts w:eastAsiaTheme="minorEastAsia"/>
        </w:rPr>
      </w:pPr>
    </w:p>
    <w:p w14:paraId="51C289D6" w14:textId="77777777" w:rsidR="00A171F6" w:rsidRDefault="00A171F6" w:rsidP="00A171F6">
      <w:pPr>
        <w:spacing w:line="360" w:lineRule="auto"/>
        <w:ind w:firstLine="851"/>
        <w:jc w:val="both"/>
      </w:pPr>
    </w:p>
    <w:p w14:paraId="77444A28" w14:textId="7C32698F" w:rsidR="00FB15ED" w:rsidRDefault="00E67BCD" w:rsidP="00A171F6">
      <w:pPr>
        <w:pStyle w:val="Legenda"/>
        <w:spacing w:after="0"/>
        <w:jc w:val="center"/>
        <w:rPr>
          <w:rFonts w:eastAsiaTheme="minorEastAsia"/>
        </w:rPr>
      </w:pPr>
      <w:r>
        <w:lastRenderedPageBreak/>
        <w:t xml:space="preserve">Tabela </w:t>
      </w:r>
      <w:r w:rsidR="006B1E3D">
        <w:fldChar w:fldCharType="begin"/>
      </w:r>
      <w:r w:rsidR="006B1E3D">
        <w:instrText xml:space="preserve"> SEQ Tabela \* ARABIC </w:instrText>
      </w:r>
      <w:r w:rsidR="006B1E3D">
        <w:fldChar w:fldCharType="separate"/>
      </w:r>
      <w:r w:rsidR="004B76AA">
        <w:rPr>
          <w:noProof/>
        </w:rPr>
        <w:t>4</w:t>
      </w:r>
      <w:r w:rsidR="006B1E3D">
        <w:rPr>
          <w:noProof/>
        </w:rPr>
        <w:fldChar w:fldCharType="end"/>
      </w:r>
      <w:r>
        <w:t xml:space="preserve"> </w:t>
      </w:r>
      <w:r w:rsidR="009D7A4D">
        <w:rPr>
          <w:rFonts w:eastAsiaTheme="minorEastAsia"/>
        </w:rPr>
        <w:t>– Diferenças em diferenças</w:t>
      </w:r>
      <w:bookmarkEnd w:id="17"/>
      <w:r w:rsidR="00DD38B1">
        <w:rPr>
          <w:noProof/>
        </w:rPr>
        <w:drawing>
          <wp:inline distT="0" distB="0" distL="0" distR="0" wp14:anchorId="22E5591A" wp14:editId="4709338E">
            <wp:extent cx="4939991" cy="536373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o_slide.png"/>
                    <pic:cNvPicPr/>
                  </pic:nvPicPr>
                  <pic:blipFill>
                    <a:blip r:embed="rId15">
                      <a:extLst>
                        <a:ext uri="{BEBA8EAE-BF5A-486C-A8C5-ECC9F3942E4B}">
                          <a14:imgProps xmlns:a14="http://schemas.microsoft.com/office/drawing/2010/main">
                            <a14:imgLayer r:embed="rId16">
                              <a14:imgEffect>
                                <a14:sharpenSoften amount="43000"/>
                              </a14:imgEffect>
                            </a14:imgLayer>
                          </a14:imgProps>
                        </a:ext>
                        <a:ext uri="{28A0092B-C50C-407E-A947-70E740481C1C}">
                          <a14:useLocalDpi xmlns:a14="http://schemas.microsoft.com/office/drawing/2010/main" val="0"/>
                        </a:ext>
                      </a:extLst>
                    </a:blip>
                    <a:stretch>
                      <a:fillRect/>
                    </a:stretch>
                  </pic:blipFill>
                  <pic:spPr>
                    <a:xfrm>
                      <a:off x="0" y="0"/>
                      <a:ext cx="4939991" cy="5363736"/>
                    </a:xfrm>
                    <a:prstGeom prst="rect">
                      <a:avLst/>
                    </a:prstGeom>
                  </pic:spPr>
                </pic:pic>
              </a:graphicData>
            </a:graphic>
          </wp:inline>
        </w:drawing>
      </w:r>
    </w:p>
    <w:p w14:paraId="5B94AC02" w14:textId="7C17FB9D" w:rsidR="002364FE" w:rsidRPr="00A171F6" w:rsidRDefault="00A171F6" w:rsidP="00A171F6">
      <w:pPr>
        <w:jc w:val="both"/>
        <w:rPr>
          <w:rFonts w:eastAsiaTheme="minorEastAsia"/>
          <w:sz w:val="20"/>
          <w:szCs w:val="20"/>
        </w:rPr>
      </w:pPr>
      <w:r>
        <w:rPr>
          <w:rFonts w:eastAsiaTheme="minorEastAsia"/>
          <w:sz w:val="20"/>
          <w:szCs w:val="20"/>
        </w:rPr>
        <w:t xml:space="preserve">         </w:t>
      </w:r>
      <w:r w:rsidRPr="00A171F6">
        <w:rPr>
          <w:rFonts w:eastAsiaTheme="minorEastAsia"/>
          <w:sz w:val="20"/>
          <w:szCs w:val="20"/>
        </w:rPr>
        <w:t>Fonte: Elaboração Própria</w:t>
      </w:r>
    </w:p>
    <w:p w14:paraId="086789C5" w14:textId="77777777" w:rsidR="00A171F6" w:rsidRDefault="00A171F6" w:rsidP="00933FBD">
      <w:pPr>
        <w:spacing w:line="360" w:lineRule="auto"/>
        <w:ind w:firstLine="851"/>
        <w:jc w:val="both"/>
        <w:rPr>
          <w:rFonts w:eastAsiaTheme="minorEastAsia"/>
        </w:rPr>
      </w:pPr>
    </w:p>
    <w:p w14:paraId="11DDD712" w14:textId="2D80E2A0" w:rsidR="006C1857" w:rsidRDefault="00FC701F" w:rsidP="00933FBD">
      <w:pPr>
        <w:spacing w:line="360" w:lineRule="auto"/>
        <w:ind w:firstLine="851"/>
        <w:jc w:val="both"/>
        <w:rPr>
          <w:rFonts w:eastAsiaTheme="minorEastAsia"/>
        </w:rPr>
      </w:pPr>
      <w:r>
        <w:rPr>
          <w:rFonts w:eastAsiaTheme="minorEastAsia"/>
        </w:rPr>
        <w:t>Nas duas regressões</w:t>
      </w:r>
      <w:r w:rsidR="006C1857">
        <w:rPr>
          <w:rFonts w:eastAsiaTheme="minorEastAsia"/>
        </w:rPr>
        <w:t>, coluna (1)</w:t>
      </w:r>
      <w:r>
        <w:rPr>
          <w:rFonts w:eastAsiaTheme="minorEastAsia"/>
        </w:rPr>
        <w:t xml:space="preserve"> e (2)</w:t>
      </w:r>
      <w:r w:rsidR="006C1857">
        <w:rPr>
          <w:rFonts w:eastAsiaTheme="minorEastAsia"/>
        </w:rPr>
        <w:t xml:space="preserve">, </w:t>
      </w:r>
      <w:r>
        <w:rPr>
          <w:rFonts w:eastAsiaTheme="minorEastAsia"/>
        </w:rPr>
        <w:t>o</w:t>
      </w:r>
      <w:r w:rsidR="006C1857">
        <w:rPr>
          <w:rFonts w:eastAsiaTheme="minorEastAsia"/>
        </w:rPr>
        <w:t xml:space="preserve"> estimador de diferenças em diferenças apresentou significância a 1%</w:t>
      </w:r>
      <w:r>
        <w:rPr>
          <w:rFonts w:eastAsiaTheme="minorEastAsia"/>
        </w:rPr>
        <w:t xml:space="preserve">, apresentando um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ajustado de 11% e 36%</w:t>
      </w:r>
      <w:r w:rsidR="00C07D74">
        <w:rPr>
          <w:rFonts w:eastAsiaTheme="minorEastAsia"/>
        </w:rPr>
        <w:t>, respectivamente. Obviamente, o</w:t>
      </w:r>
      <w:r>
        <w:rPr>
          <w:rFonts w:eastAsiaTheme="minorEastAsia"/>
        </w:rPr>
        <w:t xml:space="preserve"> </w:t>
      </w:r>
      <w:r w:rsidR="00C07D74">
        <w:rPr>
          <w:rFonts w:eastAsiaTheme="minorEastAsia"/>
        </w:rPr>
        <w:t xml:space="preserve">aumento do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7D74">
        <w:rPr>
          <w:rFonts w:eastAsiaTheme="minorEastAsia"/>
        </w:rPr>
        <w:t xml:space="preserve"> </w:t>
      </w:r>
      <w:r>
        <w:rPr>
          <w:rFonts w:eastAsiaTheme="minorEastAsia"/>
        </w:rPr>
        <w:t>uma vez que foram incluídas as variáveis de controle</w:t>
      </w:r>
      <w:r w:rsidR="00C07D74">
        <w:rPr>
          <w:rFonts w:eastAsiaTheme="minorEastAsia"/>
        </w:rPr>
        <w:t xml:space="preserve">, contudo cabe destacar que esse aumento </w:t>
      </w:r>
      <w:r w:rsidR="007D65E0">
        <w:rPr>
          <w:rFonts w:eastAsiaTheme="minorEastAsia"/>
        </w:rPr>
        <w:t xml:space="preserve">se deu </w:t>
      </w:r>
      <w:r w:rsidR="00C07D74">
        <w:rPr>
          <w:rFonts w:eastAsiaTheme="minorEastAsia"/>
        </w:rPr>
        <w:t>apenas com a</w:t>
      </w:r>
      <w:r w:rsidR="007D65E0">
        <w:rPr>
          <w:rFonts w:eastAsiaTheme="minorEastAsia"/>
        </w:rPr>
        <w:t xml:space="preserve"> inclusão das</w:t>
      </w:r>
      <w:r w:rsidR="00C07D74">
        <w:rPr>
          <w:rFonts w:eastAsiaTheme="minorEastAsia"/>
        </w:rPr>
        <w:t xml:space="preserve"> variáveis utilizadas no controle sintético</w:t>
      </w:r>
      <w:r w:rsidR="001B20E4">
        <w:rPr>
          <w:rFonts w:eastAsiaTheme="minorEastAsia"/>
        </w:rPr>
        <w:t>.</w:t>
      </w:r>
      <w:r>
        <w:rPr>
          <w:rFonts w:eastAsiaTheme="minorEastAsia"/>
        </w:rPr>
        <w:t xml:space="preserve"> </w:t>
      </w:r>
    </w:p>
    <w:p w14:paraId="06908ECE" w14:textId="52155861" w:rsidR="009D7A4D" w:rsidRDefault="001B20E4" w:rsidP="00933FBD">
      <w:pPr>
        <w:spacing w:line="360" w:lineRule="auto"/>
        <w:ind w:firstLine="851"/>
        <w:jc w:val="both"/>
        <w:rPr>
          <w:rFonts w:eastAsiaTheme="minorEastAsia"/>
        </w:rPr>
      </w:pPr>
      <w:r>
        <w:rPr>
          <w:rFonts w:eastAsiaTheme="minorEastAsia"/>
        </w:rPr>
        <w:t xml:space="preserve">Nesse sentido, </w:t>
      </w:r>
      <w:r w:rsidR="003B0253">
        <w:rPr>
          <w:rFonts w:eastAsiaTheme="minorEastAsia"/>
        </w:rPr>
        <w:t>s</w:t>
      </w:r>
      <w:r w:rsidR="006C1857">
        <w:rPr>
          <w:rFonts w:eastAsiaTheme="minorEastAsia"/>
        </w:rPr>
        <w:t xml:space="preserve">abe-se que no que nos método da regressão de diferenças em diferenças </w:t>
      </w:r>
      <w:r>
        <w:rPr>
          <w:rFonts w:eastAsiaTheme="minorEastAsia"/>
        </w:rPr>
        <w:t>assume</w:t>
      </w:r>
      <w:r w:rsidR="00846E24">
        <w:rPr>
          <w:rFonts w:eastAsiaTheme="minorEastAsia"/>
        </w:rPr>
        <w:t>m</w:t>
      </w:r>
      <w:r>
        <w:rPr>
          <w:rFonts w:eastAsiaTheme="minorEastAsia"/>
        </w:rPr>
        <w:t>-</w:t>
      </w:r>
      <w:r w:rsidR="003B0253">
        <w:rPr>
          <w:rFonts w:eastAsiaTheme="minorEastAsia"/>
        </w:rPr>
        <w:t xml:space="preserve">se algumas hipóteses </w:t>
      </w:r>
      <w:r w:rsidR="003B0253">
        <w:rPr>
          <w:rFonts w:eastAsiaTheme="minorEastAsia"/>
        </w:rPr>
        <w:fldChar w:fldCharType="begin" w:fldLock="1"/>
      </w:r>
      <w:r w:rsidR="003B0253">
        <w:rPr>
          <w:rFonts w:eastAsiaTheme="minorEastAsia"/>
        </w:rPr>
        <w:instrText>ADDIN CSL_CITATION {"citationItems":[{"id":"ITEM-1","itemData":{"ISBN":"0691120358","author":[{"dropping-particle":"","family":"Angrist","given":"Joshua D","non-dropping-particle":"","parse-names":false,"suffix":""},{"dropping-particle":"","family":"Pischke","given":"Jörn-Steffen","non-dropping-particle":"","parse-names":false,"suffix":""}],"id":"ITEM-1","issued":{"date-parts":[["2008"]]},"publisher":"Princeton University Press","title":"Mostly Harmless Econometrics: An Empiricist's Companion","title-short":"Mostly Harmless Econometrics","type":"book"},"uris":["http://www.mendeley.com/documents/?uuid=d7f799ff-7de4-4c48-a351-96303020cfc3"]}],"mendeley":{"formattedCitation":"(ANGRIST; PISCHKE, 2008)","plainTextFormattedCitation":"(ANGRIST; PISCHKE, 2008)","previouslyFormattedCitation":"(ANGRIST; PISCHKE, 2008)"},"properties":{"noteIndex":0},"schema":"https://github.com/citation-style-language/schema/raw/master/csl-citation.json"}</w:instrText>
      </w:r>
      <w:r w:rsidR="003B0253">
        <w:rPr>
          <w:rFonts w:eastAsiaTheme="minorEastAsia"/>
        </w:rPr>
        <w:fldChar w:fldCharType="separate"/>
      </w:r>
      <w:r w:rsidR="003B0253" w:rsidRPr="003B0253">
        <w:rPr>
          <w:rFonts w:eastAsiaTheme="minorEastAsia"/>
          <w:noProof/>
        </w:rPr>
        <w:t>(ANGRIST; PISCHKE, 2008)</w:t>
      </w:r>
      <w:r w:rsidR="003B0253">
        <w:rPr>
          <w:rFonts w:eastAsiaTheme="minorEastAsia"/>
        </w:rPr>
        <w:fldChar w:fldCharType="end"/>
      </w:r>
      <w:r>
        <w:rPr>
          <w:rFonts w:eastAsiaTheme="minorEastAsia"/>
        </w:rPr>
        <w:t>. Entretanto, estas regressões são apenas um meio adicional de averiguar os resultados do modelo de controle sintético</w:t>
      </w:r>
      <w:r w:rsidR="007D65E0">
        <w:rPr>
          <w:rFonts w:eastAsiaTheme="minorEastAsia"/>
        </w:rPr>
        <w:t>.</w:t>
      </w:r>
    </w:p>
    <w:p w14:paraId="72C33054" w14:textId="77777777" w:rsidR="00C6027C" w:rsidRDefault="00C6027C" w:rsidP="00933FBD">
      <w:pPr>
        <w:spacing w:line="360" w:lineRule="auto"/>
        <w:ind w:firstLine="851"/>
        <w:jc w:val="both"/>
        <w:rPr>
          <w:rFonts w:eastAsiaTheme="minorEastAsia"/>
        </w:rPr>
      </w:pPr>
    </w:p>
    <w:p w14:paraId="3B01A8E7" w14:textId="77777777" w:rsidR="00CD4A1E" w:rsidRDefault="00CD4A1E" w:rsidP="00933FBD">
      <w:pPr>
        <w:spacing w:line="360" w:lineRule="auto"/>
        <w:ind w:firstLine="851"/>
        <w:jc w:val="both"/>
        <w:rPr>
          <w:rFonts w:eastAsiaTheme="minorEastAsia"/>
        </w:rPr>
      </w:pPr>
    </w:p>
    <w:p w14:paraId="49B969F4" w14:textId="77777777" w:rsidR="00CD4A1E" w:rsidRDefault="00CD4A1E" w:rsidP="00933FBD">
      <w:pPr>
        <w:spacing w:line="360" w:lineRule="auto"/>
        <w:ind w:firstLine="851"/>
        <w:jc w:val="both"/>
        <w:rPr>
          <w:rFonts w:eastAsiaTheme="minorEastAsia"/>
        </w:rPr>
      </w:pPr>
    </w:p>
    <w:p w14:paraId="40F08610" w14:textId="7433117E" w:rsidR="00EB001D" w:rsidRDefault="00BA356D" w:rsidP="00290949">
      <w:pPr>
        <w:pStyle w:val="PargrafodaLista"/>
        <w:numPr>
          <w:ilvl w:val="0"/>
          <w:numId w:val="12"/>
        </w:numPr>
        <w:spacing w:line="360" w:lineRule="auto"/>
        <w:jc w:val="both"/>
        <w:outlineLvl w:val="0"/>
        <w:rPr>
          <w:rFonts w:ascii="Times New Roman" w:hAnsi="Times New Roman" w:cs="Times New Roman"/>
          <w:b/>
          <w:smallCaps/>
          <w:sz w:val="24"/>
          <w:szCs w:val="24"/>
        </w:rPr>
      </w:pPr>
      <w:bookmarkStart w:id="18" w:name="_Toc51774601"/>
      <w:r w:rsidRPr="000C0613">
        <w:rPr>
          <w:rFonts w:ascii="Times New Roman" w:hAnsi="Times New Roman" w:cs="Times New Roman"/>
          <w:b/>
          <w:smallCaps/>
          <w:sz w:val="24"/>
          <w:szCs w:val="24"/>
        </w:rPr>
        <w:t>CONCLUSÃO</w:t>
      </w:r>
      <w:bookmarkEnd w:id="18"/>
    </w:p>
    <w:p w14:paraId="6653EABA" w14:textId="77777777" w:rsidR="00846E24" w:rsidRDefault="00846E24" w:rsidP="00846E24">
      <w:pPr>
        <w:spacing w:line="360" w:lineRule="auto"/>
        <w:ind w:firstLine="851"/>
        <w:jc w:val="both"/>
      </w:pPr>
      <w:r w:rsidRPr="00846E24">
        <w:t xml:space="preserve">Este trabalho investigou </w:t>
      </w:r>
      <w:r>
        <w:t xml:space="preserve">o impacto da reestruturação do novo </w:t>
      </w:r>
      <w:r w:rsidR="00F00384">
        <w:t>regramento sobre as análises dos atos de concentração</w:t>
      </w:r>
      <w:r>
        <w:t xml:space="preserve"> no número de fusões e aquisições internacionais. Para isso, </w:t>
      </w:r>
      <w:r w:rsidR="00F00384">
        <w:t>o trabalho utilizou a</w:t>
      </w:r>
      <w:r>
        <w:t xml:space="preserve"> Metodologia do Controle Sintético.  </w:t>
      </w:r>
      <w:r w:rsidR="00192D4E">
        <w:t>Este método consiste em simular por meio de uma media ponderada uma unidade sintética que permite uma comparação entre a unidade de tratamento e sua unidade sintética.</w:t>
      </w:r>
    </w:p>
    <w:p w14:paraId="3C60D662" w14:textId="77777777" w:rsidR="00192D4E" w:rsidRDefault="00192D4E" w:rsidP="00846E24">
      <w:pPr>
        <w:spacing w:line="360" w:lineRule="auto"/>
        <w:ind w:firstLine="851"/>
        <w:jc w:val="both"/>
      </w:pPr>
      <w:r>
        <w:t xml:space="preserve">Assim, este </w:t>
      </w:r>
      <w:r w:rsidR="00F00384">
        <w:t>texto</w:t>
      </w:r>
      <w:r>
        <w:t xml:space="preserve"> utilizou dados dos países que da América do Sul, México e os países que compõem os BRICS para compor a unidade sintética. Além disso, foram utilizados dados do </w:t>
      </w:r>
      <w:r w:rsidR="0047119F" w:rsidRPr="004701A5">
        <w:rPr>
          <w:rFonts w:eastAsiaTheme="minorEastAsia"/>
          <w:i/>
          <w:iCs/>
        </w:rPr>
        <w:t xml:space="preserve">World </w:t>
      </w:r>
      <w:proofErr w:type="spellStart"/>
      <w:r w:rsidR="0047119F" w:rsidRPr="004701A5">
        <w:rPr>
          <w:rFonts w:eastAsiaTheme="minorEastAsia"/>
          <w:i/>
          <w:iCs/>
        </w:rPr>
        <w:t>Delevopment</w:t>
      </w:r>
      <w:proofErr w:type="spellEnd"/>
      <w:r w:rsidR="0047119F" w:rsidRPr="004701A5">
        <w:rPr>
          <w:rFonts w:eastAsiaTheme="minorEastAsia"/>
          <w:i/>
          <w:iCs/>
        </w:rPr>
        <w:t xml:space="preserve"> </w:t>
      </w:r>
      <w:proofErr w:type="spellStart"/>
      <w:r w:rsidR="0047119F" w:rsidRPr="004701A5">
        <w:rPr>
          <w:rFonts w:eastAsiaTheme="minorEastAsia"/>
          <w:i/>
          <w:iCs/>
        </w:rPr>
        <w:t>Indicator</w:t>
      </w:r>
      <w:proofErr w:type="spellEnd"/>
      <w:r>
        <w:t xml:space="preserve">, </w:t>
      </w:r>
      <w:r w:rsidR="0047119F" w:rsidRPr="004701A5">
        <w:rPr>
          <w:rFonts w:eastAsiaTheme="minorEastAsia"/>
          <w:i/>
          <w:iCs/>
        </w:rPr>
        <w:t xml:space="preserve">World </w:t>
      </w:r>
      <w:proofErr w:type="spellStart"/>
      <w:r w:rsidR="0047119F" w:rsidRPr="004701A5">
        <w:rPr>
          <w:rFonts w:eastAsiaTheme="minorEastAsia"/>
          <w:i/>
          <w:iCs/>
        </w:rPr>
        <w:t>Investment</w:t>
      </w:r>
      <w:proofErr w:type="spellEnd"/>
      <w:r w:rsidR="0047119F" w:rsidRPr="004701A5">
        <w:rPr>
          <w:rFonts w:eastAsiaTheme="minorEastAsia"/>
          <w:i/>
          <w:iCs/>
        </w:rPr>
        <w:t xml:space="preserve"> </w:t>
      </w:r>
      <w:proofErr w:type="spellStart"/>
      <w:r w:rsidR="0047119F" w:rsidRPr="004701A5">
        <w:rPr>
          <w:rFonts w:eastAsiaTheme="minorEastAsia"/>
          <w:i/>
          <w:iCs/>
        </w:rPr>
        <w:t>Report</w:t>
      </w:r>
      <w:proofErr w:type="spellEnd"/>
      <w:r>
        <w:t xml:space="preserve"> e do </w:t>
      </w:r>
      <w:r w:rsidR="0047119F">
        <w:t>Índice de Liberdade Econômica</w:t>
      </w:r>
      <w:r>
        <w:t>.</w:t>
      </w:r>
    </w:p>
    <w:p w14:paraId="1B801FF5" w14:textId="111D1D07" w:rsidR="007D65E0" w:rsidRDefault="00192D4E" w:rsidP="007D65E0">
      <w:pPr>
        <w:spacing w:line="360" w:lineRule="auto"/>
        <w:ind w:firstLine="851"/>
        <w:jc w:val="both"/>
      </w:pPr>
      <w:r>
        <w:t xml:space="preserve">Os resultados indicam que houve um </w:t>
      </w:r>
      <w:r w:rsidR="007D65E0">
        <w:t xml:space="preserve">aumento </w:t>
      </w:r>
      <w:r>
        <w:t xml:space="preserve">entre o número de </w:t>
      </w:r>
      <w:r w:rsidR="00CB4CD3">
        <w:t xml:space="preserve">fusões e aquisições após </w:t>
      </w:r>
      <w:r w:rsidR="007D65E0">
        <w:t>o novo regramento</w:t>
      </w:r>
      <w:r w:rsidR="00CB4CD3">
        <w:t xml:space="preserve">. </w:t>
      </w:r>
      <w:r w:rsidR="007D65E0">
        <w:t>O r</w:t>
      </w:r>
      <w:r w:rsidR="00CB4CD3">
        <w:t xml:space="preserve">esultado </w:t>
      </w:r>
      <w:r w:rsidR="007D65E0">
        <w:t xml:space="preserve">foi </w:t>
      </w:r>
      <w:r w:rsidR="00CB4CD3">
        <w:t>reforçado pelo teste de permutação e pela razão MSPE.</w:t>
      </w:r>
      <w:r w:rsidR="00F00384">
        <w:t xml:space="preserve"> Além disso, como uma checagem adicional,</w:t>
      </w:r>
      <w:r w:rsidR="00487C04">
        <w:t xml:space="preserve"> foi realizada uma regressão de diferenças em dife</w:t>
      </w:r>
      <w:r w:rsidR="00F00384">
        <w:t xml:space="preserve">renças </w:t>
      </w:r>
      <w:r w:rsidR="00827F0A">
        <w:t xml:space="preserve">que </w:t>
      </w:r>
      <w:r w:rsidR="007D65E0">
        <w:t>corroborou os resultados obtidos via controle sintético</w:t>
      </w:r>
      <w:r w:rsidR="00487C04">
        <w:t>.</w:t>
      </w:r>
      <w:r w:rsidR="00225832">
        <w:t xml:space="preserve"> </w:t>
      </w:r>
      <w:r w:rsidR="00041A54">
        <w:t>Assim, diante do modelo apresentado</w:t>
      </w:r>
      <w:r w:rsidR="00225832">
        <w:t>, estimou-se que</w:t>
      </w:r>
      <w:r w:rsidR="00944B88">
        <w:t xml:space="preserve"> </w:t>
      </w:r>
      <w:r w:rsidR="007D65E0">
        <w:t>a nova regulação</w:t>
      </w:r>
      <w:r w:rsidR="00944B88">
        <w:t xml:space="preserve"> </w:t>
      </w:r>
      <w:r w:rsidR="00225832">
        <w:t>resultou em</w:t>
      </w:r>
      <w:r w:rsidR="00041A54">
        <w:t xml:space="preserve"> 742</w:t>
      </w:r>
      <w:r w:rsidR="007D65E0">
        <w:t xml:space="preserve"> novas aquisições em </w:t>
      </w:r>
      <w:r w:rsidR="00041A54">
        <w:t>sete</w:t>
      </w:r>
      <w:r w:rsidR="007D65E0">
        <w:t xml:space="preserve"> anos.  </w:t>
      </w:r>
    </w:p>
    <w:p w14:paraId="1D56B5A6" w14:textId="510E4CBD" w:rsidR="00700478" w:rsidRDefault="00700478">
      <w:pPr>
        <w:spacing w:after="200" w:line="276" w:lineRule="auto"/>
      </w:pPr>
      <w:r>
        <w:br w:type="page"/>
      </w:r>
    </w:p>
    <w:p w14:paraId="26B6A788" w14:textId="01F16907" w:rsidR="00064F84" w:rsidRPr="000C0613" w:rsidRDefault="00290949" w:rsidP="00290949">
      <w:pPr>
        <w:pStyle w:val="PargrafodaLista"/>
        <w:numPr>
          <w:ilvl w:val="0"/>
          <w:numId w:val="12"/>
        </w:numPr>
        <w:jc w:val="both"/>
        <w:outlineLvl w:val="0"/>
        <w:rPr>
          <w:rFonts w:ascii="Times New Roman" w:hAnsi="Times New Roman" w:cs="Times New Roman"/>
          <w:b/>
          <w:smallCaps/>
          <w:sz w:val="24"/>
          <w:szCs w:val="24"/>
        </w:rPr>
      </w:pPr>
      <w:bookmarkStart w:id="19" w:name="_Toc51774602"/>
      <w:r w:rsidRPr="000C0613">
        <w:rPr>
          <w:rFonts w:ascii="Times New Roman" w:hAnsi="Times New Roman" w:cs="Times New Roman"/>
          <w:b/>
          <w:smallCaps/>
          <w:sz w:val="24"/>
          <w:szCs w:val="24"/>
        </w:rPr>
        <w:lastRenderedPageBreak/>
        <w:t>BIBLIOGRAFIA</w:t>
      </w:r>
      <w:bookmarkEnd w:id="19"/>
    </w:p>
    <w:p w14:paraId="5DE65513" w14:textId="18B72ED6" w:rsidR="009156FC" w:rsidRPr="00F9070F" w:rsidRDefault="005E5C69" w:rsidP="009156FC">
      <w:pPr>
        <w:widowControl w:val="0"/>
        <w:autoSpaceDE w:val="0"/>
        <w:autoSpaceDN w:val="0"/>
        <w:adjustRightInd w:val="0"/>
        <w:spacing w:after="200"/>
        <w:rPr>
          <w:noProof/>
          <w:lang w:val="en-US"/>
        </w:rPr>
      </w:pPr>
      <w:r w:rsidRPr="000C0613">
        <w:rPr>
          <w:b/>
          <w:smallCaps/>
        </w:rPr>
        <w:fldChar w:fldCharType="begin" w:fldLock="1"/>
      </w:r>
      <w:r w:rsidRPr="004701A5">
        <w:rPr>
          <w:b/>
          <w:smallCaps/>
          <w:lang w:val="en-US"/>
        </w:rPr>
        <w:instrText xml:space="preserve">ADDIN Mendeley Bibliography CSL_BIBLIOGRAPHY </w:instrText>
      </w:r>
      <w:r w:rsidRPr="000C0613">
        <w:rPr>
          <w:b/>
          <w:smallCaps/>
        </w:rPr>
        <w:fldChar w:fldCharType="separate"/>
      </w:r>
      <w:r w:rsidR="009156FC" w:rsidRPr="00F9070F">
        <w:rPr>
          <w:noProof/>
          <w:lang w:val="en-US"/>
        </w:rPr>
        <w:t xml:space="preserve">ABADIE, A. Using Synthetic Controls : Feasibility , Data Requirements , and Methodological Aspects. </w:t>
      </w:r>
      <w:r w:rsidR="009156FC" w:rsidRPr="00F9070F">
        <w:rPr>
          <w:b/>
          <w:bCs/>
          <w:noProof/>
          <w:lang w:val="en-US"/>
        </w:rPr>
        <w:t>Journal of Economic Literature</w:t>
      </w:r>
      <w:r w:rsidR="009156FC" w:rsidRPr="00F9070F">
        <w:rPr>
          <w:noProof/>
          <w:lang w:val="en-US"/>
        </w:rPr>
        <w:t xml:space="preserve">, 2019. </w:t>
      </w:r>
    </w:p>
    <w:p w14:paraId="685A9DDB"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ABADIE, A.; DIAMOND, A.; HAINMUELLER, A. J. Synthetic control methods for comparative case studies: Estimating the effect of California’s Tobacco control program. </w:t>
      </w:r>
      <w:r w:rsidRPr="00F9070F">
        <w:rPr>
          <w:b/>
          <w:bCs/>
          <w:noProof/>
          <w:lang w:val="en-US"/>
        </w:rPr>
        <w:t>Journal of the American Statistical Association</w:t>
      </w:r>
      <w:r w:rsidRPr="00F9070F">
        <w:rPr>
          <w:noProof/>
          <w:lang w:val="en-US"/>
        </w:rPr>
        <w:t xml:space="preserve">, v. 105, n. 490, p. 493–505, 2010. </w:t>
      </w:r>
    </w:p>
    <w:p w14:paraId="7766CBB2"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ABADIE, A.; DIAMOND, A.; HAINMUELLER, J. Synth : An R Package for Synthetic Control Methods in Comparative Case Studies. </w:t>
      </w:r>
      <w:r w:rsidRPr="00F9070F">
        <w:rPr>
          <w:b/>
          <w:bCs/>
          <w:noProof/>
          <w:lang w:val="en-US"/>
        </w:rPr>
        <w:t>Journal of Statistical Software</w:t>
      </w:r>
      <w:r w:rsidRPr="00F9070F">
        <w:rPr>
          <w:noProof/>
          <w:lang w:val="en-US"/>
        </w:rPr>
        <w:t>, v. 42, n. 13, 2011. Disponível em: &lt;http://www.jstatsoft.org/v42/i13/&gt;.</w:t>
      </w:r>
    </w:p>
    <w:p w14:paraId="3DA17682"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ABADIE, A.; DIAMOND, A.; HAINMUELLER, J. Comparative Politics and the Synthetic Control Method. </w:t>
      </w:r>
      <w:r w:rsidRPr="00F9070F">
        <w:rPr>
          <w:b/>
          <w:bCs/>
          <w:noProof/>
          <w:lang w:val="en-US"/>
        </w:rPr>
        <w:t>American Journal of Political Science</w:t>
      </w:r>
      <w:r w:rsidRPr="00F9070F">
        <w:rPr>
          <w:noProof/>
          <w:lang w:val="en-US"/>
        </w:rPr>
        <w:t xml:space="preserve">, v. 59, n. 2, p. 495–510, 2015. </w:t>
      </w:r>
    </w:p>
    <w:p w14:paraId="764C2307"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ABADIE, A.; GARDEAZABAL, J. The economic costs of conflict: A case study of the Basque country. </w:t>
      </w:r>
      <w:r w:rsidRPr="00F9070F">
        <w:rPr>
          <w:b/>
          <w:bCs/>
          <w:noProof/>
          <w:lang w:val="en-US"/>
        </w:rPr>
        <w:t>American Economic Review</w:t>
      </w:r>
      <w:r w:rsidRPr="00F9070F">
        <w:rPr>
          <w:noProof/>
          <w:lang w:val="en-US"/>
        </w:rPr>
        <w:t xml:space="preserve">, v. 93, n. 1, p. 113–132, 2003. </w:t>
      </w:r>
    </w:p>
    <w:p w14:paraId="61E8C086"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ANGRIST, J. D.; PISCHKE, J.-S. </w:t>
      </w:r>
      <w:r w:rsidRPr="00F9070F">
        <w:rPr>
          <w:b/>
          <w:bCs/>
          <w:noProof/>
          <w:lang w:val="en-US"/>
        </w:rPr>
        <w:t>Mostly Harmless Econometrics: An Empiricist’s Companion</w:t>
      </w:r>
      <w:r w:rsidRPr="00F9070F">
        <w:rPr>
          <w:noProof/>
          <w:lang w:val="en-US"/>
        </w:rPr>
        <w:t xml:space="preserve">. [s.l.] Princeton University Press, 2008. </w:t>
      </w:r>
    </w:p>
    <w:p w14:paraId="392EAD9F"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ATHEY, S.; IMBENS, G. W. The state of applied econometrics: Causality and policy evaluation. </w:t>
      </w:r>
      <w:r w:rsidRPr="00F9070F">
        <w:rPr>
          <w:b/>
          <w:bCs/>
          <w:noProof/>
          <w:lang w:val="en-US"/>
        </w:rPr>
        <w:t>Journal of Economic Perspectives</w:t>
      </w:r>
      <w:r w:rsidRPr="00F9070F">
        <w:rPr>
          <w:noProof/>
          <w:lang w:val="en-US"/>
        </w:rPr>
        <w:t xml:space="preserve">, v. 31, n. 2, p. 3–32, 2017. </w:t>
      </w:r>
    </w:p>
    <w:p w14:paraId="4EC7778A"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BEN-MICHAEL, E.; FELLER, A.; ROTHSTEIN, J. The Augmented Synthetic Control Method. n. November, 2019. </w:t>
      </w:r>
      <w:r w:rsidRPr="009156FC">
        <w:rPr>
          <w:noProof/>
        </w:rPr>
        <w:t>Disponível em: &lt;http://arxiv.org/abs/1811.04170&gt;.</w:t>
      </w:r>
    </w:p>
    <w:p w14:paraId="5541CD9C" w14:textId="77777777" w:rsidR="009156FC" w:rsidRPr="009156FC" w:rsidRDefault="009156FC" w:rsidP="009156FC">
      <w:pPr>
        <w:widowControl w:val="0"/>
        <w:autoSpaceDE w:val="0"/>
        <w:autoSpaceDN w:val="0"/>
        <w:adjustRightInd w:val="0"/>
        <w:spacing w:after="200"/>
        <w:rPr>
          <w:noProof/>
        </w:rPr>
      </w:pPr>
      <w:r w:rsidRPr="009156FC">
        <w:rPr>
          <w:noProof/>
        </w:rPr>
        <w:t>BRASIL. Lei n</w:t>
      </w:r>
      <w:r w:rsidRPr="009156FC">
        <w:rPr>
          <w:noProof/>
          <w:vertAlign w:val="superscript"/>
        </w:rPr>
        <w:t>o</w:t>
      </w:r>
      <w:r w:rsidRPr="009156FC">
        <w:rPr>
          <w:noProof/>
        </w:rPr>
        <w:t xml:space="preserve"> 12.529, de 30 de novembro de 2011. </w:t>
      </w:r>
    </w:p>
    <w:p w14:paraId="5879C9C3" w14:textId="77777777" w:rsidR="009156FC" w:rsidRPr="009156FC" w:rsidRDefault="009156FC" w:rsidP="009156FC">
      <w:pPr>
        <w:widowControl w:val="0"/>
        <w:autoSpaceDE w:val="0"/>
        <w:autoSpaceDN w:val="0"/>
        <w:adjustRightInd w:val="0"/>
        <w:spacing w:after="200"/>
        <w:rPr>
          <w:noProof/>
        </w:rPr>
      </w:pPr>
      <w:r w:rsidRPr="009156FC">
        <w:rPr>
          <w:noProof/>
        </w:rPr>
        <w:t xml:space="preserve">BRASIL. Lei n° 8.884, de 11 de julho de 1994. . 1994. </w:t>
      </w:r>
    </w:p>
    <w:p w14:paraId="533E33DA" w14:textId="77777777" w:rsidR="009156FC" w:rsidRPr="009156FC" w:rsidRDefault="009156FC" w:rsidP="009156FC">
      <w:pPr>
        <w:widowControl w:val="0"/>
        <w:autoSpaceDE w:val="0"/>
        <w:autoSpaceDN w:val="0"/>
        <w:adjustRightInd w:val="0"/>
        <w:spacing w:after="200"/>
        <w:rPr>
          <w:noProof/>
        </w:rPr>
      </w:pPr>
      <w:r w:rsidRPr="009156FC">
        <w:rPr>
          <w:noProof/>
        </w:rPr>
        <w:t xml:space="preserve">BRUNA SOUZA, S. A nova lei de defesa da concorrência - lei 12.529/2011. </w:t>
      </w:r>
      <w:r w:rsidRPr="009156FC">
        <w:rPr>
          <w:b/>
          <w:bCs/>
          <w:noProof/>
        </w:rPr>
        <w:t>Revista Discente DIREITO GV</w:t>
      </w:r>
      <w:r w:rsidRPr="009156FC">
        <w:rPr>
          <w:noProof/>
        </w:rPr>
        <w:t xml:space="preserve">, v. 55, p. 026–038, 2012. </w:t>
      </w:r>
    </w:p>
    <w:p w14:paraId="14580F42" w14:textId="77777777" w:rsidR="009156FC" w:rsidRPr="009156FC" w:rsidRDefault="009156FC" w:rsidP="009156FC">
      <w:pPr>
        <w:widowControl w:val="0"/>
        <w:autoSpaceDE w:val="0"/>
        <w:autoSpaceDN w:val="0"/>
        <w:adjustRightInd w:val="0"/>
        <w:spacing w:after="200"/>
        <w:rPr>
          <w:noProof/>
        </w:rPr>
      </w:pPr>
      <w:r w:rsidRPr="009156FC">
        <w:rPr>
          <w:noProof/>
        </w:rPr>
        <w:t xml:space="preserve">CARVALHO, J. M. de. A nova lei da concorrência e o impacto de suas mudanças nas análises de atos de concentração pelo Cade. </w:t>
      </w:r>
      <w:r w:rsidRPr="009156FC">
        <w:rPr>
          <w:b/>
          <w:bCs/>
          <w:noProof/>
        </w:rPr>
        <w:t>RDC</w:t>
      </w:r>
      <w:r w:rsidRPr="009156FC">
        <w:rPr>
          <w:noProof/>
        </w:rPr>
        <w:t>, v. 1, n. 2, p. 134–148, 2013. Disponível em: &lt;https://revista.cade.gov.br/index.php/revistadedefesadaconcorrencia/article/view/86/74&gt;.</w:t>
      </w:r>
    </w:p>
    <w:p w14:paraId="114E2162"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CONLEY, T. G.; TABER, C. R. Inference with “difference in differences” with a small number of policy changes. </w:t>
      </w:r>
      <w:r w:rsidRPr="00F9070F">
        <w:rPr>
          <w:b/>
          <w:bCs/>
          <w:noProof/>
          <w:lang w:val="en-US"/>
        </w:rPr>
        <w:t>Review of Economics and Statistics</w:t>
      </w:r>
      <w:r w:rsidRPr="00F9070F">
        <w:rPr>
          <w:noProof/>
          <w:lang w:val="en-US"/>
        </w:rPr>
        <w:t xml:space="preserve">, v. 93, n. 1, p. 113–125, 2011. </w:t>
      </w:r>
    </w:p>
    <w:p w14:paraId="7D636E3C"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CONLEY, T.; TABER, C. Inference with “Difference in Differences” with a Small of Policy Changes. </w:t>
      </w:r>
      <w:r w:rsidRPr="00F9070F">
        <w:rPr>
          <w:b/>
          <w:bCs/>
          <w:noProof/>
          <w:lang w:val="en-US"/>
        </w:rPr>
        <w:t>NBER, technical Working Paper Series</w:t>
      </w:r>
      <w:r w:rsidRPr="00F9070F">
        <w:rPr>
          <w:noProof/>
          <w:lang w:val="en-US"/>
        </w:rPr>
        <w:t xml:space="preserve">, n. Ses 9905720, 2002. </w:t>
      </w:r>
    </w:p>
    <w:p w14:paraId="6A88F87E"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FERMAN, B.; PINTO, C. Inference in differences-in-differences with few treated groups and heteroskedasticity. </w:t>
      </w:r>
      <w:r w:rsidRPr="00F9070F">
        <w:rPr>
          <w:b/>
          <w:bCs/>
          <w:noProof/>
          <w:lang w:val="en-US"/>
        </w:rPr>
        <w:t>Review of Economics and Statistics</w:t>
      </w:r>
      <w:r w:rsidRPr="00F9070F">
        <w:rPr>
          <w:noProof/>
          <w:lang w:val="en-US"/>
        </w:rPr>
        <w:t xml:space="preserve">, v. 101, n. 3, p. 452–467, 2019. </w:t>
      </w:r>
    </w:p>
    <w:p w14:paraId="23B1EDFD"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lastRenderedPageBreak/>
        <w:t xml:space="preserve">FERMAN, B.; PINTO, C.; POSSEBOM, V. Cherry Picking with Synthetic Controls. </w:t>
      </w:r>
      <w:r w:rsidRPr="00F9070F">
        <w:rPr>
          <w:b/>
          <w:bCs/>
          <w:noProof/>
          <w:lang w:val="en-US"/>
        </w:rPr>
        <w:t>Journal of Policy Analysis and Management</w:t>
      </w:r>
      <w:r w:rsidRPr="00F9070F">
        <w:rPr>
          <w:noProof/>
          <w:lang w:val="en-US"/>
        </w:rPr>
        <w:t xml:space="preserve">, v. 39, n. 2, p. 510–532, 2020. </w:t>
      </w:r>
    </w:p>
    <w:p w14:paraId="7C03D22E"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FIRPO, S.; POSSEBOM, V. Synthetic control method: Inference, sensitivity analysis and confdence sets. </w:t>
      </w:r>
      <w:r w:rsidRPr="00F9070F">
        <w:rPr>
          <w:b/>
          <w:bCs/>
          <w:noProof/>
          <w:lang w:val="en-US"/>
        </w:rPr>
        <w:t>Journal of Causal Inference</w:t>
      </w:r>
      <w:r w:rsidRPr="00F9070F">
        <w:rPr>
          <w:noProof/>
          <w:lang w:val="en-US"/>
        </w:rPr>
        <w:t xml:space="preserve">, v. 6, n. 2, p. 1–54, 2018. </w:t>
      </w:r>
    </w:p>
    <w:p w14:paraId="39A335A8"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 xml:space="preserve">HERITAGE, F. </w:t>
      </w:r>
      <w:r w:rsidRPr="00F9070F">
        <w:rPr>
          <w:b/>
          <w:bCs/>
          <w:noProof/>
          <w:lang w:val="en-US"/>
        </w:rPr>
        <w:t>Index of Economic Freedom Datasets</w:t>
      </w:r>
      <w:r w:rsidRPr="00F9070F">
        <w:rPr>
          <w:noProof/>
          <w:lang w:val="en-US"/>
        </w:rPr>
        <w:t xml:space="preserve">. </w:t>
      </w:r>
      <w:r w:rsidRPr="009156FC">
        <w:rPr>
          <w:noProof/>
        </w:rPr>
        <w:t xml:space="preserve">Disponível em: &lt;https://www.heritage.org/index/explore&gt;. </w:t>
      </w:r>
      <w:r w:rsidRPr="00F9070F">
        <w:rPr>
          <w:noProof/>
          <w:lang w:val="en-US"/>
        </w:rPr>
        <w:t xml:space="preserve">Acesso em: 1 jun. 2020. </w:t>
      </w:r>
    </w:p>
    <w:p w14:paraId="454E4D1E" w14:textId="77777777" w:rsidR="009156FC" w:rsidRPr="00F9070F" w:rsidRDefault="009156FC" w:rsidP="009156FC">
      <w:pPr>
        <w:widowControl w:val="0"/>
        <w:autoSpaceDE w:val="0"/>
        <w:autoSpaceDN w:val="0"/>
        <w:adjustRightInd w:val="0"/>
        <w:spacing w:after="200"/>
        <w:rPr>
          <w:noProof/>
          <w:lang w:val="en-US"/>
        </w:rPr>
      </w:pPr>
      <w:r w:rsidRPr="00F9070F">
        <w:rPr>
          <w:noProof/>
          <w:lang w:val="en-US"/>
        </w:rPr>
        <w:t>IMBENS, G. W.; DOUDCHENKO, N. NBER WORKING PAPER SERIES BALANCING, REGRESSION, DIFFERENCE-IN-DIFFERENCES AND SYNTHETIC CONTROL METHODS: A SYNTHESIS Nikolay Doudchenko. 2016. Disponível em: &lt;http://www.nber.org/papers/w22791&gt;.</w:t>
      </w:r>
    </w:p>
    <w:p w14:paraId="67F13EA1"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INDIA. The Competition Commission of India Regulations. . </w:t>
      </w:r>
      <w:r w:rsidRPr="009156FC">
        <w:rPr>
          <w:noProof/>
        </w:rPr>
        <w:t xml:space="preserve">2011. </w:t>
      </w:r>
    </w:p>
    <w:p w14:paraId="2CFC9250" w14:textId="77777777" w:rsidR="009156FC" w:rsidRPr="009156FC" w:rsidRDefault="009156FC" w:rsidP="009156FC">
      <w:pPr>
        <w:widowControl w:val="0"/>
        <w:autoSpaceDE w:val="0"/>
        <w:autoSpaceDN w:val="0"/>
        <w:adjustRightInd w:val="0"/>
        <w:spacing w:after="200"/>
        <w:rPr>
          <w:noProof/>
        </w:rPr>
      </w:pPr>
      <w:r w:rsidRPr="009156FC">
        <w:rPr>
          <w:noProof/>
        </w:rPr>
        <w:t xml:space="preserve">JÚNIOR, R. E.; SACHSIDA, A.; JUNIOR, A. N. Controle sintético como ferramenta para avaliação. In: SACHSIDA, A. (Ed.). </w:t>
      </w:r>
      <w:r w:rsidRPr="009156FC">
        <w:rPr>
          <w:b/>
          <w:bCs/>
          <w:noProof/>
        </w:rPr>
        <w:t>Políticas públicas: avaliando mais de meio trilhão de reais em gastos públicos /</w:t>
      </w:r>
      <w:r w:rsidRPr="009156FC">
        <w:rPr>
          <w:noProof/>
        </w:rPr>
        <w:t xml:space="preserve">. Brasília: IPEA, 2018. </w:t>
      </w:r>
    </w:p>
    <w:p w14:paraId="7085C926" w14:textId="77777777" w:rsidR="009156FC" w:rsidRPr="009156FC" w:rsidRDefault="009156FC" w:rsidP="009156FC">
      <w:pPr>
        <w:widowControl w:val="0"/>
        <w:autoSpaceDE w:val="0"/>
        <w:autoSpaceDN w:val="0"/>
        <w:adjustRightInd w:val="0"/>
        <w:spacing w:after="200"/>
        <w:rPr>
          <w:noProof/>
        </w:rPr>
      </w:pPr>
      <w:r w:rsidRPr="009156FC">
        <w:rPr>
          <w:noProof/>
        </w:rPr>
        <w:t xml:space="preserve">MATIAS-PEREIRA, J. Políticas de defesa da concorrência e de regulação econômica: as deficiências do sistema brasileiro de defesa da concorrência. </w:t>
      </w:r>
      <w:r w:rsidRPr="009156FC">
        <w:rPr>
          <w:b/>
          <w:bCs/>
          <w:noProof/>
        </w:rPr>
        <w:t>Revista de Administração Contemporânea</w:t>
      </w:r>
      <w:r w:rsidRPr="009156FC">
        <w:rPr>
          <w:noProof/>
        </w:rPr>
        <w:t>, v. 10, n. 2, p. 51–73, 2006. Disponível em: &lt;http://www.scielo.br/scielo.php?script=sci_arttext&amp;pid=S1415-65552006000200004&amp;lng=pt&amp;tlng=pt&gt;.</w:t>
      </w:r>
    </w:p>
    <w:p w14:paraId="57829896"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MILLER, T.; KIM, A. B.; ROBERTS, J. M. </w:t>
      </w:r>
      <w:r w:rsidRPr="00F9070F">
        <w:rPr>
          <w:b/>
          <w:bCs/>
          <w:noProof/>
          <w:lang w:val="en-US"/>
        </w:rPr>
        <w:t>2020 Index of Economic Freedom.The Heritage Foundation</w:t>
      </w:r>
      <w:r w:rsidRPr="00F9070F">
        <w:rPr>
          <w:noProof/>
          <w:lang w:val="en-US"/>
        </w:rPr>
        <w:t xml:space="preserve">. </w:t>
      </w:r>
      <w:r w:rsidRPr="009156FC">
        <w:rPr>
          <w:noProof/>
        </w:rPr>
        <w:t>[s.l: s.n.]. Disponível em: &lt;https://www.heritage.org/index/about&gt;.</w:t>
      </w:r>
    </w:p>
    <w:p w14:paraId="48248DFB" w14:textId="77777777" w:rsidR="009156FC" w:rsidRPr="009156FC" w:rsidRDefault="009156FC" w:rsidP="009156FC">
      <w:pPr>
        <w:widowControl w:val="0"/>
        <w:autoSpaceDE w:val="0"/>
        <w:autoSpaceDN w:val="0"/>
        <w:adjustRightInd w:val="0"/>
        <w:spacing w:after="200"/>
        <w:rPr>
          <w:noProof/>
        </w:rPr>
      </w:pPr>
      <w:r w:rsidRPr="009156FC">
        <w:rPr>
          <w:noProof/>
        </w:rPr>
        <w:t xml:space="preserve">MONTEIRO, C. B. </w:t>
      </w:r>
      <w:r w:rsidRPr="009156FC">
        <w:rPr>
          <w:b/>
          <w:bCs/>
          <w:noProof/>
        </w:rPr>
        <w:t>Política Antitruste: aspectos relevantes para o caso brasileiro</w:t>
      </w:r>
      <w:r w:rsidRPr="009156FC">
        <w:rPr>
          <w:noProof/>
        </w:rPr>
        <w:t>. 2003. FUNDAÇÃO GETÚLIO VARGAS - FGV, 2003. Disponível em: &lt;http://bibliotecadigital.fgv.br/dspace/bitstream/handle/10438/3388/CarmenMonteiro.pdf?sequence=1&amp;isAllowed=y&gt;.</w:t>
      </w:r>
    </w:p>
    <w:p w14:paraId="3D67A7B5"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POSSEBOM, V. Free trade zone of manaus: An impact evaluation using the synthetic control method. </w:t>
      </w:r>
      <w:r w:rsidRPr="009156FC">
        <w:rPr>
          <w:b/>
          <w:bCs/>
          <w:noProof/>
        </w:rPr>
        <w:t>Revista Brasileira de Economia</w:t>
      </w:r>
      <w:r w:rsidRPr="009156FC">
        <w:rPr>
          <w:noProof/>
        </w:rPr>
        <w:t xml:space="preserve">, v. 71, n. 2, p. 217–231, 2017. </w:t>
      </w:r>
    </w:p>
    <w:p w14:paraId="4C999635" w14:textId="77777777" w:rsidR="009156FC" w:rsidRPr="009156FC" w:rsidRDefault="009156FC" w:rsidP="009156FC">
      <w:pPr>
        <w:widowControl w:val="0"/>
        <w:autoSpaceDE w:val="0"/>
        <w:autoSpaceDN w:val="0"/>
        <w:adjustRightInd w:val="0"/>
        <w:spacing w:after="200"/>
        <w:rPr>
          <w:noProof/>
        </w:rPr>
      </w:pPr>
      <w:r w:rsidRPr="009156FC">
        <w:rPr>
          <w:noProof/>
        </w:rPr>
        <w:t xml:space="preserve">RAGAZZO, C. E. J.; CARVALHO, V. M. de. A Evolução do Antitruste no Brasil - A Política de Defesa da Concorrência sob a Lei 12.529/11. In: EDUARDO CAMINATI ANDERS, G. F. C. R.; MARIANA VILLELA, PEDRO PAULO SALLES CRISTOFARO, V. B. (Ed.). </w:t>
      </w:r>
      <w:r w:rsidRPr="009156FC">
        <w:rPr>
          <w:b/>
          <w:bCs/>
          <w:noProof/>
        </w:rPr>
        <w:t>5 anos Lei de Defesa da Concorrência: gênese, jurisprudência e desafios para o futuro</w:t>
      </w:r>
      <w:r w:rsidRPr="009156FC">
        <w:rPr>
          <w:noProof/>
        </w:rPr>
        <w:t xml:space="preserve">. [s.l.] IBRAC, 2017. p. 22–34. </w:t>
      </w:r>
    </w:p>
    <w:p w14:paraId="3B2445B9" w14:textId="77777777" w:rsidR="009156FC" w:rsidRPr="009156FC" w:rsidRDefault="009156FC" w:rsidP="009156FC">
      <w:pPr>
        <w:widowControl w:val="0"/>
        <w:autoSpaceDE w:val="0"/>
        <w:autoSpaceDN w:val="0"/>
        <w:adjustRightInd w:val="0"/>
        <w:spacing w:after="200"/>
        <w:rPr>
          <w:noProof/>
        </w:rPr>
      </w:pPr>
      <w:r w:rsidRPr="009156FC">
        <w:rPr>
          <w:noProof/>
        </w:rPr>
        <w:t xml:space="preserve">RESENDE, C. C. de. </w:t>
      </w:r>
      <w:r w:rsidRPr="009156FC">
        <w:rPr>
          <w:b/>
          <w:bCs/>
          <w:noProof/>
        </w:rPr>
        <w:t>Ensaios em Avaliação de Políticas Públicas</w:t>
      </w:r>
      <w:r w:rsidRPr="009156FC">
        <w:rPr>
          <w:noProof/>
        </w:rPr>
        <w:t xml:space="preserve">. 2017. Universidade de Brasília, 2017. </w:t>
      </w:r>
    </w:p>
    <w:p w14:paraId="79939535" w14:textId="77777777" w:rsidR="009156FC" w:rsidRPr="009156FC" w:rsidRDefault="009156FC" w:rsidP="009156FC">
      <w:pPr>
        <w:widowControl w:val="0"/>
        <w:autoSpaceDE w:val="0"/>
        <w:autoSpaceDN w:val="0"/>
        <w:adjustRightInd w:val="0"/>
        <w:spacing w:after="200"/>
        <w:rPr>
          <w:noProof/>
        </w:rPr>
      </w:pPr>
      <w:r w:rsidRPr="009156FC">
        <w:rPr>
          <w:noProof/>
        </w:rPr>
        <w:t xml:space="preserve">RIBEIRO, F. G. et al. O impacto econômico dos desastres naturais: o caso das chuvas de 2008 em Santa Catarina. </w:t>
      </w:r>
      <w:r w:rsidRPr="009156FC">
        <w:rPr>
          <w:b/>
          <w:bCs/>
          <w:noProof/>
        </w:rPr>
        <w:t>Planejamento e Políticas Públicas</w:t>
      </w:r>
      <w:r w:rsidRPr="009156FC">
        <w:rPr>
          <w:noProof/>
        </w:rPr>
        <w:t xml:space="preserve">, v. 43, p. 299–322, 2014. </w:t>
      </w:r>
    </w:p>
    <w:p w14:paraId="2DD00BA4" w14:textId="77777777" w:rsidR="009156FC" w:rsidRPr="009156FC" w:rsidRDefault="009156FC" w:rsidP="009156FC">
      <w:pPr>
        <w:widowControl w:val="0"/>
        <w:autoSpaceDE w:val="0"/>
        <w:autoSpaceDN w:val="0"/>
        <w:adjustRightInd w:val="0"/>
        <w:spacing w:after="200"/>
        <w:rPr>
          <w:noProof/>
        </w:rPr>
      </w:pPr>
      <w:r w:rsidRPr="009156FC">
        <w:rPr>
          <w:noProof/>
        </w:rPr>
        <w:t xml:space="preserve">ROCHA, G.; RAUEN, A. </w:t>
      </w:r>
      <w:r w:rsidRPr="009156FC">
        <w:rPr>
          <w:b/>
          <w:bCs/>
          <w:noProof/>
        </w:rPr>
        <w:t>Mais desoneração, mais inovação? Uma avaliação da recente estratégia brasileira de intensificação dos incentivos fiscais a pesquisa e desenvolvimento</w:t>
      </w:r>
      <w:r w:rsidRPr="009156FC">
        <w:rPr>
          <w:noProof/>
        </w:rPr>
        <w:t xml:space="preserve">: Texto para Discussão. [s.l: s.n.]. Disponível em: </w:t>
      </w:r>
      <w:r w:rsidRPr="009156FC">
        <w:rPr>
          <w:noProof/>
        </w:rPr>
        <w:lastRenderedPageBreak/>
        <w:t>&lt;https://www.ipea.gov.br/portal/images/stories/PDFs/TDs/td_2393c.pdf&gt;.</w:t>
      </w:r>
    </w:p>
    <w:p w14:paraId="215B4FF2"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SILVA, B. C.; DEWITT, M. </w:t>
      </w:r>
      <w:r w:rsidRPr="00F9070F">
        <w:rPr>
          <w:b/>
          <w:bCs/>
          <w:noProof/>
          <w:lang w:val="en-US"/>
        </w:rPr>
        <w:t>SCtools: Extensions for Synthetic Controls Analysis</w:t>
      </w:r>
      <w:r w:rsidRPr="00F9070F">
        <w:rPr>
          <w:noProof/>
          <w:lang w:val="en-US"/>
        </w:rPr>
        <w:t xml:space="preserve">CRAN, , 2019. . </w:t>
      </w:r>
      <w:r w:rsidRPr="009156FC">
        <w:rPr>
          <w:noProof/>
        </w:rPr>
        <w:t>Disponível em: &lt;https://cran.r-project.org/web/packages/SCtools/index.html&gt;.</w:t>
      </w:r>
    </w:p>
    <w:p w14:paraId="4716C7B0"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UNCTAD. UNITED NATIONS CONFERENCE ON TRADE AND DEVELOPMENT. </w:t>
      </w:r>
      <w:r w:rsidRPr="00F9070F">
        <w:rPr>
          <w:b/>
          <w:bCs/>
          <w:noProof/>
          <w:lang w:val="en-US"/>
        </w:rPr>
        <w:t>World Investment Report 2019</w:t>
      </w:r>
      <w:r w:rsidRPr="00F9070F">
        <w:rPr>
          <w:noProof/>
          <w:lang w:val="en-US"/>
        </w:rPr>
        <w:t xml:space="preserve">. [s.l: s.n.]. </w:t>
      </w:r>
      <w:r w:rsidRPr="009156FC">
        <w:rPr>
          <w:noProof/>
        </w:rPr>
        <w:t>Disponível em: &lt;https://unctad.org/en/PublicationsLibrary/wir2019_en.pdf&gt;.</w:t>
      </w:r>
    </w:p>
    <w:p w14:paraId="4FF77D6F" w14:textId="77777777" w:rsidR="009156FC" w:rsidRPr="009156FC" w:rsidRDefault="009156FC" w:rsidP="009156FC">
      <w:pPr>
        <w:widowControl w:val="0"/>
        <w:autoSpaceDE w:val="0"/>
        <w:autoSpaceDN w:val="0"/>
        <w:adjustRightInd w:val="0"/>
        <w:spacing w:after="200"/>
        <w:rPr>
          <w:noProof/>
        </w:rPr>
      </w:pPr>
      <w:r w:rsidRPr="00F9070F">
        <w:rPr>
          <w:noProof/>
          <w:lang w:val="en-US"/>
        </w:rPr>
        <w:t xml:space="preserve">UNCTAD. UNITED NATIONS CONFERENCE ON TRADE AND DEVELOPMENT. </w:t>
      </w:r>
      <w:r w:rsidRPr="00F9070F">
        <w:rPr>
          <w:b/>
          <w:bCs/>
          <w:noProof/>
          <w:lang w:val="en-US"/>
        </w:rPr>
        <w:t>World Investment Report: Annex Tables</w:t>
      </w:r>
      <w:r w:rsidRPr="00F9070F">
        <w:rPr>
          <w:noProof/>
          <w:lang w:val="en-US"/>
        </w:rPr>
        <w:t xml:space="preserve">. Disponível em: &lt;https://unctad.org/en/Pages/DIAE/World Investment Report/Annex-Tables.aspx&gt;. </w:t>
      </w:r>
      <w:r w:rsidRPr="009156FC">
        <w:rPr>
          <w:noProof/>
        </w:rPr>
        <w:t xml:space="preserve">Acesso em: 1 ago. 2020b. </w:t>
      </w:r>
    </w:p>
    <w:p w14:paraId="6493E4A3" w14:textId="77777777" w:rsidR="009156FC" w:rsidRPr="009156FC" w:rsidRDefault="009156FC" w:rsidP="009156FC">
      <w:pPr>
        <w:widowControl w:val="0"/>
        <w:autoSpaceDE w:val="0"/>
        <w:autoSpaceDN w:val="0"/>
        <w:adjustRightInd w:val="0"/>
        <w:spacing w:after="200"/>
        <w:rPr>
          <w:noProof/>
        </w:rPr>
      </w:pPr>
      <w:r w:rsidRPr="009156FC">
        <w:rPr>
          <w:noProof/>
        </w:rPr>
        <w:t xml:space="preserve">VORONKOFF, I. O novo sistema brasileiro de defesa da concorrência : estrutura administrativa e análise prévia dos atos de concentração. </w:t>
      </w:r>
      <w:r w:rsidRPr="009156FC">
        <w:rPr>
          <w:b/>
          <w:bCs/>
          <w:noProof/>
        </w:rPr>
        <w:t>Revista de Defesa da Concorrência</w:t>
      </w:r>
      <w:r w:rsidRPr="009156FC">
        <w:rPr>
          <w:noProof/>
        </w:rPr>
        <w:t xml:space="preserve">, v. 2, n. 12, p. 144–179, 2014. </w:t>
      </w:r>
    </w:p>
    <w:p w14:paraId="1C7C7FA4" w14:textId="6D8FBA2F" w:rsidR="005E5C69" w:rsidRPr="000C0613" w:rsidRDefault="005E5C69" w:rsidP="009156FC">
      <w:pPr>
        <w:widowControl w:val="0"/>
        <w:autoSpaceDE w:val="0"/>
        <w:autoSpaceDN w:val="0"/>
        <w:adjustRightInd w:val="0"/>
        <w:spacing w:after="200"/>
        <w:rPr>
          <w:b/>
          <w:smallCaps/>
        </w:rPr>
      </w:pPr>
      <w:r w:rsidRPr="000C0613">
        <w:rPr>
          <w:b/>
          <w:smallCaps/>
        </w:rPr>
        <w:fldChar w:fldCharType="end"/>
      </w:r>
    </w:p>
    <w:p w14:paraId="6F397EBC" w14:textId="77777777" w:rsidR="00F876B0" w:rsidRPr="000C0613" w:rsidRDefault="00F876B0" w:rsidP="001C734F">
      <w:pPr>
        <w:widowControl w:val="0"/>
        <w:autoSpaceDE w:val="0"/>
        <w:autoSpaceDN w:val="0"/>
        <w:adjustRightInd w:val="0"/>
        <w:rPr>
          <w:b/>
          <w:smallCaps/>
        </w:rPr>
      </w:pPr>
    </w:p>
    <w:p w14:paraId="0BBFD774" w14:textId="77777777" w:rsidR="00835097" w:rsidRDefault="00835097" w:rsidP="001C734F">
      <w:pPr>
        <w:widowControl w:val="0"/>
        <w:autoSpaceDE w:val="0"/>
        <w:autoSpaceDN w:val="0"/>
        <w:adjustRightInd w:val="0"/>
        <w:rPr>
          <w:b/>
          <w:smallCaps/>
        </w:rPr>
      </w:pPr>
    </w:p>
    <w:p w14:paraId="778ED667" w14:textId="77777777" w:rsidR="00082A36" w:rsidRDefault="00082A36" w:rsidP="001C734F">
      <w:pPr>
        <w:widowControl w:val="0"/>
        <w:autoSpaceDE w:val="0"/>
        <w:autoSpaceDN w:val="0"/>
        <w:adjustRightInd w:val="0"/>
        <w:rPr>
          <w:b/>
          <w:smallCaps/>
        </w:rPr>
      </w:pPr>
    </w:p>
    <w:p w14:paraId="3DC42A06" w14:textId="77777777" w:rsidR="00082A36" w:rsidRDefault="00082A36" w:rsidP="001C734F">
      <w:pPr>
        <w:widowControl w:val="0"/>
        <w:autoSpaceDE w:val="0"/>
        <w:autoSpaceDN w:val="0"/>
        <w:adjustRightInd w:val="0"/>
        <w:rPr>
          <w:b/>
          <w:smallCaps/>
        </w:rPr>
      </w:pPr>
    </w:p>
    <w:p w14:paraId="298D04B8" w14:textId="77777777" w:rsidR="00082A36" w:rsidRDefault="00082A36" w:rsidP="001C734F">
      <w:pPr>
        <w:widowControl w:val="0"/>
        <w:autoSpaceDE w:val="0"/>
        <w:autoSpaceDN w:val="0"/>
        <w:adjustRightInd w:val="0"/>
        <w:rPr>
          <w:b/>
          <w:smallCaps/>
        </w:rPr>
      </w:pPr>
    </w:p>
    <w:p w14:paraId="21FAC6D6" w14:textId="77777777" w:rsidR="00082A36" w:rsidRDefault="00082A36" w:rsidP="001C734F">
      <w:pPr>
        <w:widowControl w:val="0"/>
        <w:autoSpaceDE w:val="0"/>
        <w:autoSpaceDN w:val="0"/>
        <w:adjustRightInd w:val="0"/>
        <w:rPr>
          <w:b/>
          <w:smallCaps/>
        </w:rPr>
      </w:pPr>
    </w:p>
    <w:p w14:paraId="453A924A" w14:textId="77777777" w:rsidR="00082A36" w:rsidRDefault="00082A36" w:rsidP="001C734F">
      <w:pPr>
        <w:widowControl w:val="0"/>
        <w:autoSpaceDE w:val="0"/>
        <w:autoSpaceDN w:val="0"/>
        <w:adjustRightInd w:val="0"/>
        <w:rPr>
          <w:b/>
          <w:smallCaps/>
        </w:rPr>
      </w:pPr>
    </w:p>
    <w:p w14:paraId="730B0A3B" w14:textId="77777777" w:rsidR="00082A36" w:rsidRDefault="00082A36" w:rsidP="001C734F">
      <w:pPr>
        <w:widowControl w:val="0"/>
        <w:autoSpaceDE w:val="0"/>
        <w:autoSpaceDN w:val="0"/>
        <w:adjustRightInd w:val="0"/>
        <w:rPr>
          <w:b/>
          <w:smallCaps/>
        </w:rPr>
      </w:pPr>
    </w:p>
    <w:p w14:paraId="0994621D" w14:textId="77777777" w:rsidR="00082A36" w:rsidRDefault="00082A36" w:rsidP="001C734F">
      <w:pPr>
        <w:widowControl w:val="0"/>
        <w:autoSpaceDE w:val="0"/>
        <w:autoSpaceDN w:val="0"/>
        <w:adjustRightInd w:val="0"/>
        <w:rPr>
          <w:b/>
          <w:smallCaps/>
        </w:rPr>
      </w:pPr>
    </w:p>
    <w:p w14:paraId="2677630F" w14:textId="77777777" w:rsidR="00082A36" w:rsidRDefault="00082A36" w:rsidP="001C734F">
      <w:pPr>
        <w:widowControl w:val="0"/>
        <w:autoSpaceDE w:val="0"/>
        <w:autoSpaceDN w:val="0"/>
        <w:adjustRightInd w:val="0"/>
        <w:rPr>
          <w:b/>
          <w:smallCaps/>
        </w:rPr>
      </w:pPr>
    </w:p>
    <w:p w14:paraId="2901241D" w14:textId="77777777" w:rsidR="00E66296" w:rsidRDefault="00E66296" w:rsidP="00E66296">
      <w:pPr>
        <w:widowControl w:val="0"/>
        <w:autoSpaceDE w:val="0"/>
        <w:autoSpaceDN w:val="0"/>
        <w:adjustRightInd w:val="0"/>
        <w:rPr>
          <w:b/>
          <w:smallCaps/>
        </w:rPr>
      </w:pPr>
    </w:p>
    <w:p w14:paraId="23895DB7" w14:textId="77777777" w:rsidR="00E66296" w:rsidRDefault="00E66296" w:rsidP="00E66296">
      <w:pPr>
        <w:widowControl w:val="0"/>
        <w:autoSpaceDE w:val="0"/>
        <w:autoSpaceDN w:val="0"/>
        <w:adjustRightInd w:val="0"/>
        <w:rPr>
          <w:b/>
          <w:smallCaps/>
        </w:rPr>
      </w:pPr>
    </w:p>
    <w:p w14:paraId="4D1FFE01" w14:textId="77777777" w:rsidR="00082A36" w:rsidRDefault="00082A36" w:rsidP="001C734F">
      <w:pPr>
        <w:widowControl w:val="0"/>
        <w:autoSpaceDE w:val="0"/>
        <w:autoSpaceDN w:val="0"/>
        <w:adjustRightInd w:val="0"/>
        <w:rPr>
          <w:b/>
          <w:smallCaps/>
        </w:rPr>
      </w:pPr>
    </w:p>
    <w:p w14:paraId="5F60581C" w14:textId="77777777" w:rsidR="00082A36" w:rsidRDefault="00082A36" w:rsidP="001C734F">
      <w:pPr>
        <w:widowControl w:val="0"/>
        <w:autoSpaceDE w:val="0"/>
        <w:autoSpaceDN w:val="0"/>
        <w:adjustRightInd w:val="0"/>
        <w:rPr>
          <w:b/>
          <w:smallCaps/>
        </w:rPr>
      </w:pPr>
    </w:p>
    <w:p w14:paraId="0E210BA8" w14:textId="77777777" w:rsidR="00082A36" w:rsidRDefault="00082A36" w:rsidP="001C734F">
      <w:pPr>
        <w:widowControl w:val="0"/>
        <w:autoSpaceDE w:val="0"/>
        <w:autoSpaceDN w:val="0"/>
        <w:adjustRightInd w:val="0"/>
        <w:rPr>
          <w:b/>
          <w:smallCaps/>
        </w:rPr>
      </w:pPr>
    </w:p>
    <w:p w14:paraId="24C8EB93" w14:textId="77777777" w:rsidR="00082A36" w:rsidRDefault="00082A36" w:rsidP="001C734F">
      <w:pPr>
        <w:widowControl w:val="0"/>
        <w:autoSpaceDE w:val="0"/>
        <w:autoSpaceDN w:val="0"/>
        <w:adjustRightInd w:val="0"/>
        <w:rPr>
          <w:b/>
          <w:smallCaps/>
        </w:rPr>
      </w:pPr>
    </w:p>
    <w:p w14:paraId="4B021B14" w14:textId="77777777" w:rsidR="00082A36" w:rsidRDefault="00082A36" w:rsidP="001C734F">
      <w:pPr>
        <w:widowControl w:val="0"/>
        <w:autoSpaceDE w:val="0"/>
        <w:autoSpaceDN w:val="0"/>
        <w:adjustRightInd w:val="0"/>
        <w:rPr>
          <w:b/>
          <w:smallCaps/>
        </w:rPr>
      </w:pPr>
    </w:p>
    <w:p w14:paraId="2AD59C58" w14:textId="77777777" w:rsidR="00082A36" w:rsidRDefault="00082A36" w:rsidP="001C734F">
      <w:pPr>
        <w:widowControl w:val="0"/>
        <w:autoSpaceDE w:val="0"/>
        <w:autoSpaceDN w:val="0"/>
        <w:adjustRightInd w:val="0"/>
        <w:rPr>
          <w:b/>
          <w:smallCaps/>
        </w:rPr>
      </w:pPr>
    </w:p>
    <w:p w14:paraId="5FDB99C8" w14:textId="77777777" w:rsidR="00082A36" w:rsidRDefault="00082A36" w:rsidP="001C734F">
      <w:pPr>
        <w:widowControl w:val="0"/>
        <w:autoSpaceDE w:val="0"/>
        <w:autoSpaceDN w:val="0"/>
        <w:adjustRightInd w:val="0"/>
        <w:rPr>
          <w:b/>
          <w:smallCaps/>
        </w:rPr>
      </w:pPr>
    </w:p>
    <w:p w14:paraId="21D33E31" w14:textId="04FA2444" w:rsidR="003A6084" w:rsidRDefault="003A6084" w:rsidP="00290949">
      <w:pPr>
        <w:pStyle w:val="Ttulo1"/>
        <w:rPr>
          <w:rFonts w:ascii="Times New Roman" w:hAnsi="Times New Roman" w:cs="Times New Roman"/>
          <w:b w:val="0"/>
          <w:smallCaps/>
          <w:color w:val="auto"/>
          <w:sz w:val="24"/>
          <w:szCs w:val="24"/>
        </w:rPr>
      </w:pPr>
      <w:bookmarkStart w:id="20" w:name="_Toc51774603"/>
    </w:p>
    <w:p w14:paraId="6AEB3573" w14:textId="77777777" w:rsidR="00E47CBE" w:rsidRDefault="00E47CBE" w:rsidP="00E47CBE"/>
    <w:p w14:paraId="5C6E6FA4" w14:textId="77777777" w:rsidR="00E47CBE" w:rsidRDefault="00E47CBE" w:rsidP="00E47CBE"/>
    <w:p w14:paraId="13BDD1F4" w14:textId="77777777" w:rsidR="00E47CBE" w:rsidRDefault="00E47CBE" w:rsidP="00E47CBE"/>
    <w:p w14:paraId="3B022C4E" w14:textId="77777777" w:rsidR="007601AC" w:rsidRDefault="007601AC" w:rsidP="00E47CBE"/>
    <w:p w14:paraId="5D6A8460" w14:textId="77777777" w:rsidR="007601AC" w:rsidRPr="00E47CBE" w:rsidRDefault="007601AC" w:rsidP="00E47CBE"/>
    <w:p w14:paraId="7712280D" w14:textId="77777777" w:rsidR="003A6084" w:rsidRPr="003A6084" w:rsidRDefault="003A6084" w:rsidP="003A6084"/>
    <w:p w14:paraId="47F894D6" w14:textId="153C598C" w:rsidR="00E66296" w:rsidRPr="000D2DAF" w:rsidRDefault="003542ED" w:rsidP="00290949">
      <w:pPr>
        <w:pStyle w:val="Ttulo1"/>
        <w:rPr>
          <w:rFonts w:ascii="Times New Roman" w:hAnsi="Times New Roman" w:cs="Times New Roman"/>
          <w:b w:val="0"/>
          <w:smallCaps/>
          <w:color w:val="auto"/>
          <w:sz w:val="24"/>
          <w:szCs w:val="24"/>
        </w:rPr>
      </w:pPr>
      <w:r w:rsidRPr="000D2DAF">
        <w:rPr>
          <w:rFonts w:ascii="Times New Roman" w:hAnsi="Times New Roman" w:cs="Times New Roman"/>
          <w:b w:val="0"/>
          <w:smallCaps/>
          <w:color w:val="auto"/>
          <w:sz w:val="24"/>
          <w:szCs w:val="24"/>
        </w:rPr>
        <w:lastRenderedPageBreak/>
        <w:t xml:space="preserve">APÊNDICE A </w:t>
      </w:r>
      <w:r w:rsidR="00E66296" w:rsidRPr="000D2DAF">
        <w:rPr>
          <w:rFonts w:ascii="Times New Roman" w:hAnsi="Times New Roman" w:cs="Times New Roman"/>
          <w:b w:val="0"/>
          <w:smallCaps/>
          <w:color w:val="auto"/>
          <w:sz w:val="24"/>
          <w:szCs w:val="24"/>
        </w:rPr>
        <w:t xml:space="preserve">– </w:t>
      </w:r>
      <w:bookmarkEnd w:id="20"/>
      <w:r w:rsidR="004932EC">
        <w:rPr>
          <w:rFonts w:ascii="Times New Roman" w:hAnsi="Times New Roman" w:cs="Times New Roman"/>
          <w:b w:val="0"/>
          <w:smallCaps/>
          <w:color w:val="auto"/>
          <w:sz w:val="24"/>
          <w:szCs w:val="24"/>
        </w:rPr>
        <w:t>Reprodução do modelo inicial, sem a argentina</w:t>
      </w:r>
      <w:r w:rsidR="00B8609A">
        <w:rPr>
          <w:rFonts w:ascii="Times New Roman" w:hAnsi="Times New Roman" w:cs="Times New Roman"/>
          <w:b w:val="0"/>
          <w:smallCaps/>
          <w:color w:val="auto"/>
          <w:sz w:val="24"/>
          <w:szCs w:val="24"/>
        </w:rPr>
        <w:t>.</w:t>
      </w:r>
    </w:p>
    <w:p w14:paraId="243A3FB2" w14:textId="77777777" w:rsidR="00082A36" w:rsidRDefault="00082A36" w:rsidP="001C734F">
      <w:pPr>
        <w:widowControl w:val="0"/>
        <w:autoSpaceDE w:val="0"/>
        <w:autoSpaceDN w:val="0"/>
        <w:adjustRightInd w:val="0"/>
        <w:rPr>
          <w:b/>
          <w:smallCaps/>
        </w:rPr>
      </w:pPr>
    </w:p>
    <w:p w14:paraId="4394BF1F" w14:textId="75EF63A1" w:rsidR="00732193" w:rsidRPr="00732193" w:rsidRDefault="00732193" w:rsidP="00732193">
      <w:pPr>
        <w:widowControl w:val="0"/>
        <w:autoSpaceDE w:val="0"/>
        <w:autoSpaceDN w:val="0"/>
        <w:adjustRightInd w:val="0"/>
        <w:ind w:firstLine="851"/>
        <w:jc w:val="both"/>
      </w:pPr>
      <w:r w:rsidRPr="00732193">
        <w:t xml:space="preserve">Neste teste adicional, foi realizado o mesmo experimento apresentado na dissertação original, mas </w:t>
      </w:r>
      <w:r w:rsidR="003C2EB2">
        <w:t>com a retirada da argentina, a qual demonstra o maior peso na</w:t>
      </w:r>
      <w:r w:rsidR="00837ACC">
        <w:t xml:space="preserve"> </w:t>
      </w:r>
      <w:r w:rsidR="003C2EB2">
        <w:t>formação da unidade sintética</w:t>
      </w:r>
      <w:r>
        <w:t>.</w:t>
      </w:r>
      <w:r w:rsidR="003A6084">
        <w:t xml:space="preserve"> O resultado é similar ao que foi apresentado no texto acima, inclusive no teste de placebo e no RMSPE.</w:t>
      </w:r>
    </w:p>
    <w:p w14:paraId="46DE0B38" w14:textId="77777777" w:rsidR="00082A36" w:rsidRDefault="00082A36" w:rsidP="001C734F">
      <w:pPr>
        <w:widowControl w:val="0"/>
        <w:autoSpaceDE w:val="0"/>
        <w:autoSpaceDN w:val="0"/>
        <w:adjustRightInd w:val="0"/>
        <w:rPr>
          <w:b/>
          <w:smallCaps/>
        </w:rPr>
      </w:pPr>
    </w:p>
    <w:p w14:paraId="4F6148F2" w14:textId="77777777" w:rsidR="00082A36" w:rsidRDefault="00082A36" w:rsidP="001C734F">
      <w:pPr>
        <w:widowControl w:val="0"/>
        <w:autoSpaceDE w:val="0"/>
        <w:autoSpaceDN w:val="0"/>
        <w:adjustRightInd w:val="0"/>
        <w:rPr>
          <w:b/>
          <w:smallCaps/>
        </w:rPr>
      </w:pPr>
    </w:p>
    <w:p w14:paraId="08B0831C" w14:textId="678CDB4C" w:rsidR="00BA2169" w:rsidRPr="000C0613" w:rsidRDefault="00BA2169" w:rsidP="00316882">
      <w:pPr>
        <w:jc w:val="center"/>
      </w:pPr>
      <w:r>
        <w:t>Gráfico A1 - Comparação número de fusões e aquisições do Brasil sintético com sua unidade sintética</w:t>
      </w:r>
    </w:p>
    <w:p w14:paraId="760DD762" w14:textId="3F8AA462" w:rsidR="00082A36" w:rsidRDefault="003C2EB2" w:rsidP="003C2EB2">
      <w:pPr>
        <w:widowControl w:val="0"/>
        <w:autoSpaceDE w:val="0"/>
        <w:autoSpaceDN w:val="0"/>
        <w:adjustRightInd w:val="0"/>
        <w:jc w:val="center"/>
        <w:rPr>
          <w:b/>
          <w:smallCaps/>
        </w:rPr>
      </w:pPr>
      <w:r>
        <w:rPr>
          <w:b/>
          <w:smallCaps/>
          <w:noProof/>
        </w:rPr>
        <w:drawing>
          <wp:inline distT="0" distB="0" distL="0" distR="0" wp14:anchorId="44D10ADC" wp14:editId="2BFD9F56">
            <wp:extent cx="4529715" cy="2679264"/>
            <wp:effectExtent l="0" t="0" r="444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7">
                      <a:extLst>
                        <a:ext uri="{28A0092B-C50C-407E-A947-70E740481C1C}">
                          <a14:useLocalDpi xmlns:a14="http://schemas.microsoft.com/office/drawing/2010/main" val="0"/>
                        </a:ext>
                      </a:extLst>
                    </a:blip>
                    <a:stretch>
                      <a:fillRect/>
                    </a:stretch>
                  </pic:blipFill>
                  <pic:spPr>
                    <a:xfrm>
                      <a:off x="0" y="0"/>
                      <a:ext cx="4528213" cy="2678376"/>
                    </a:xfrm>
                    <a:prstGeom prst="rect">
                      <a:avLst/>
                    </a:prstGeom>
                  </pic:spPr>
                </pic:pic>
              </a:graphicData>
            </a:graphic>
          </wp:inline>
        </w:drawing>
      </w:r>
    </w:p>
    <w:p w14:paraId="3EAEAEC8" w14:textId="7FCF31AB" w:rsidR="00E66296" w:rsidRDefault="00E66296" w:rsidP="000D2DAF">
      <w:pPr>
        <w:widowControl w:val="0"/>
        <w:autoSpaceDE w:val="0"/>
        <w:autoSpaceDN w:val="0"/>
        <w:adjustRightInd w:val="0"/>
        <w:rPr>
          <w:b/>
          <w:smallCaps/>
        </w:rPr>
      </w:pPr>
    </w:p>
    <w:p w14:paraId="72F48DFA" w14:textId="6308386C" w:rsidR="00E66296" w:rsidRDefault="000D2DAF" w:rsidP="001C734F">
      <w:pPr>
        <w:widowControl w:val="0"/>
        <w:autoSpaceDE w:val="0"/>
        <w:autoSpaceDN w:val="0"/>
        <w:adjustRightInd w:val="0"/>
        <w:rPr>
          <w:b/>
          <w:smallCaps/>
        </w:rPr>
      </w:pPr>
      <w:r>
        <w:rPr>
          <w:noProof/>
          <w:sz w:val="20"/>
          <w:szCs w:val="20"/>
        </w:rPr>
        <w:t xml:space="preserve">           </w:t>
      </w:r>
      <w:r w:rsidR="002364FE" w:rsidRPr="002364FE">
        <w:rPr>
          <w:noProof/>
          <w:sz w:val="20"/>
          <w:szCs w:val="20"/>
        </w:rPr>
        <w:t>Fonte: Elaboração Própria</w:t>
      </w:r>
    </w:p>
    <w:p w14:paraId="61BF0F74" w14:textId="77777777" w:rsidR="00E66296" w:rsidRDefault="00E66296" w:rsidP="001C734F">
      <w:pPr>
        <w:widowControl w:val="0"/>
        <w:autoSpaceDE w:val="0"/>
        <w:autoSpaceDN w:val="0"/>
        <w:adjustRightInd w:val="0"/>
        <w:rPr>
          <w:b/>
          <w:smallCaps/>
        </w:rPr>
      </w:pPr>
    </w:p>
    <w:p w14:paraId="3AA329EE" w14:textId="21C5DD89" w:rsidR="00E66296" w:rsidRDefault="00CD29BE" w:rsidP="001C734F">
      <w:pPr>
        <w:widowControl w:val="0"/>
        <w:autoSpaceDE w:val="0"/>
        <w:autoSpaceDN w:val="0"/>
        <w:adjustRightInd w:val="0"/>
        <w:rPr>
          <w:b/>
          <w:smallCaps/>
        </w:rPr>
      </w:pPr>
      <w:r>
        <w:t>Gráfico A2 – Diferença entre o número de fusões e aquisições entre o Brasil e sua unidade sintética</w:t>
      </w:r>
    </w:p>
    <w:p w14:paraId="15C19F04" w14:textId="77777777" w:rsidR="00E66296" w:rsidRDefault="00E66296" w:rsidP="001C734F">
      <w:pPr>
        <w:widowControl w:val="0"/>
        <w:autoSpaceDE w:val="0"/>
        <w:autoSpaceDN w:val="0"/>
        <w:adjustRightInd w:val="0"/>
        <w:rPr>
          <w:b/>
          <w:smallCaps/>
        </w:rPr>
      </w:pPr>
    </w:p>
    <w:p w14:paraId="541CF221" w14:textId="3B22F209" w:rsidR="00E66296" w:rsidRDefault="003C2EB2" w:rsidP="007B759B">
      <w:pPr>
        <w:widowControl w:val="0"/>
        <w:autoSpaceDE w:val="0"/>
        <w:autoSpaceDN w:val="0"/>
        <w:adjustRightInd w:val="0"/>
        <w:jc w:val="center"/>
        <w:rPr>
          <w:b/>
          <w:smallCaps/>
        </w:rPr>
      </w:pPr>
      <w:r>
        <w:rPr>
          <w:b/>
          <w:smallCaps/>
          <w:noProof/>
        </w:rPr>
        <w:drawing>
          <wp:inline distT="0" distB="0" distL="0" distR="0" wp14:anchorId="46AC12B2" wp14:editId="7D41B696">
            <wp:extent cx="4753801" cy="2774914"/>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8">
                      <a:extLst>
                        <a:ext uri="{28A0092B-C50C-407E-A947-70E740481C1C}">
                          <a14:useLocalDpi xmlns:a14="http://schemas.microsoft.com/office/drawing/2010/main" val="0"/>
                        </a:ext>
                      </a:extLst>
                    </a:blip>
                    <a:stretch>
                      <a:fillRect/>
                    </a:stretch>
                  </pic:blipFill>
                  <pic:spPr>
                    <a:xfrm>
                      <a:off x="0" y="0"/>
                      <a:ext cx="4756747" cy="2776633"/>
                    </a:xfrm>
                    <a:prstGeom prst="rect">
                      <a:avLst/>
                    </a:prstGeom>
                  </pic:spPr>
                </pic:pic>
              </a:graphicData>
            </a:graphic>
          </wp:inline>
        </w:drawing>
      </w:r>
    </w:p>
    <w:p w14:paraId="2CA5623E" w14:textId="2125E30C" w:rsidR="00E66296" w:rsidRDefault="000D2DAF" w:rsidP="000D2DAF">
      <w:pPr>
        <w:widowControl w:val="0"/>
        <w:autoSpaceDE w:val="0"/>
        <w:autoSpaceDN w:val="0"/>
        <w:adjustRightInd w:val="0"/>
        <w:rPr>
          <w:b/>
          <w:smallCaps/>
        </w:rPr>
      </w:pPr>
      <w:r>
        <w:rPr>
          <w:noProof/>
          <w:sz w:val="20"/>
          <w:szCs w:val="20"/>
        </w:rPr>
        <w:t xml:space="preserve">            </w:t>
      </w:r>
      <w:r w:rsidR="002364FE" w:rsidRPr="002364FE">
        <w:rPr>
          <w:noProof/>
          <w:sz w:val="20"/>
          <w:szCs w:val="20"/>
        </w:rPr>
        <w:t>Fonte: Elaboração Própria</w:t>
      </w:r>
    </w:p>
    <w:p w14:paraId="43EFA69C" w14:textId="77777777" w:rsidR="00FD1404" w:rsidRDefault="00FD1404" w:rsidP="001C734F">
      <w:pPr>
        <w:widowControl w:val="0"/>
        <w:autoSpaceDE w:val="0"/>
        <w:autoSpaceDN w:val="0"/>
        <w:adjustRightInd w:val="0"/>
        <w:rPr>
          <w:b/>
          <w:smallCaps/>
        </w:rPr>
      </w:pPr>
    </w:p>
    <w:p w14:paraId="5BD779F9" w14:textId="77777777" w:rsidR="00FD1404" w:rsidRDefault="00FD1404" w:rsidP="001C734F">
      <w:pPr>
        <w:widowControl w:val="0"/>
        <w:autoSpaceDE w:val="0"/>
        <w:autoSpaceDN w:val="0"/>
        <w:adjustRightInd w:val="0"/>
        <w:rPr>
          <w:b/>
          <w:smallCaps/>
        </w:rPr>
      </w:pPr>
    </w:p>
    <w:p w14:paraId="506B7F47" w14:textId="3ED08BF7" w:rsidR="00FD1404" w:rsidRPr="000C0613" w:rsidRDefault="00FD1404" w:rsidP="00FD1404">
      <w:pPr>
        <w:keepNext/>
        <w:keepLines/>
        <w:spacing w:line="360" w:lineRule="auto"/>
        <w:jc w:val="center"/>
      </w:pPr>
      <w:r>
        <w:lastRenderedPageBreak/>
        <w:t>Gráfico A3</w:t>
      </w:r>
      <w:r w:rsidRPr="000C0613">
        <w:t xml:space="preserve"> </w:t>
      </w:r>
      <w:r>
        <w:t>–</w:t>
      </w:r>
      <w:r w:rsidRPr="000C0613">
        <w:t xml:space="preserve"> </w:t>
      </w:r>
      <w:r>
        <w:t>Teste de placebo entre o Brasil e suas unidades de controle</w:t>
      </w:r>
    </w:p>
    <w:p w14:paraId="48F74053" w14:textId="77777777" w:rsidR="00FD1404" w:rsidRDefault="00FD1404" w:rsidP="001C734F">
      <w:pPr>
        <w:widowControl w:val="0"/>
        <w:autoSpaceDE w:val="0"/>
        <w:autoSpaceDN w:val="0"/>
        <w:adjustRightInd w:val="0"/>
        <w:rPr>
          <w:b/>
          <w:smallCaps/>
        </w:rPr>
      </w:pPr>
    </w:p>
    <w:p w14:paraId="72C1C55E" w14:textId="0B875065" w:rsidR="00E66296" w:rsidRDefault="003C2EB2" w:rsidP="000D2DAF">
      <w:pPr>
        <w:widowControl w:val="0"/>
        <w:autoSpaceDE w:val="0"/>
        <w:autoSpaceDN w:val="0"/>
        <w:adjustRightInd w:val="0"/>
        <w:rPr>
          <w:b/>
          <w:smallCaps/>
        </w:rPr>
      </w:pPr>
      <w:r>
        <w:rPr>
          <w:b/>
          <w:smallCaps/>
          <w:noProof/>
        </w:rPr>
        <w:drawing>
          <wp:inline distT="0" distB="0" distL="0" distR="0" wp14:anchorId="6123ED22" wp14:editId="60F19846">
            <wp:extent cx="5491686" cy="3174639"/>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9">
                      <a:extLst>
                        <a:ext uri="{28A0092B-C50C-407E-A947-70E740481C1C}">
                          <a14:useLocalDpi xmlns:a14="http://schemas.microsoft.com/office/drawing/2010/main" val="0"/>
                        </a:ext>
                      </a:extLst>
                    </a:blip>
                    <a:stretch>
                      <a:fillRect/>
                    </a:stretch>
                  </pic:blipFill>
                  <pic:spPr>
                    <a:xfrm>
                      <a:off x="0" y="0"/>
                      <a:ext cx="5495474" cy="3176829"/>
                    </a:xfrm>
                    <a:prstGeom prst="rect">
                      <a:avLst/>
                    </a:prstGeom>
                  </pic:spPr>
                </pic:pic>
              </a:graphicData>
            </a:graphic>
          </wp:inline>
        </w:drawing>
      </w:r>
    </w:p>
    <w:p w14:paraId="620D31C8" w14:textId="490A09C7" w:rsidR="00E66296" w:rsidRDefault="000D2DAF" w:rsidP="000D2DAF">
      <w:pPr>
        <w:widowControl w:val="0"/>
        <w:autoSpaceDE w:val="0"/>
        <w:autoSpaceDN w:val="0"/>
        <w:adjustRightInd w:val="0"/>
        <w:rPr>
          <w:b/>
          <w:smallCaps/>
        </w:rPr>
      </w:pPr>
      <w:r>
        <w:rPr>
          <w:noProof/>
          <w:sz w:val="20"/>
          <w:szCs w:val="20"/>
        </w:rPr>
        <w:t xml:space="preserve">         </w:t>
      </w:r>
      <w:r w:rsidR="002364FE" w:rsidRPr="002364FE">
        <w:rPr>
          <w:noProof/>
          <w:sz w:val="20"/>
          <w:szCs w:val="20"/>
        </w:rPr>
        <w:t>Fonte: Elaboração Própria</w:t>
      </w:r>
    </w:p>
    <w:p w14:paraId="33391873" w14:textId="77777777" w:rsidR="00E66296" w:rsidRDefault="00E66296" w:rsidP="001C734F">
      <w:pPr>
        <w:widowControl w:val="0"/>
        <w:autoSpaceDE w:val="0"/>
        <w:autoSpaceDN w:val="0"/>
        <w:adjustRightInd w:val="0"/>
        <w:rPr>
          <w:b/>
          <w:smallCaps/>
        </w:rPr>
      </w:pPr>
    </w:p>
    <w:p w14:paraId="60942C18" w14:textId="77777777" w:rsidR="00E66296" w:rsidRDefault="00E66296" w:rsidP="001C734F">
      <w:pPr>
        <w:widowControl w:val="0"/>
        <w:autoSpaceDE w:val="0"/>
        <w:autoSpaceDN w:val="0"/>
        <w:adjustRightInd w:val="0"/>
        <w:rPr>
          <w:b/>
          <w:smallCaps/>
        </w:rPr>
      </w:pPr>
    </w:p>
    <w:p w14:paraId="6E6709FA" w14:textId="77777777" w:rsidR="00E66296" w:rsidRDefault="00E66296" w:rsidP="001C734F">
      <w:pPr>
        <w:widowControl w:val="0"/>
        <w:autoSpaceDE w:val="0"/>
        <w:autoSpaceDN w:val="0"/>
        <w:adjustRightInd w:val="0"/>
        <w:rPr>
          <w:b/>
          <w:smallCaps/>
        </w:rPr>
      </w:pPr>
    </w:p>
    <w:p w14:paraId="09CC335C" w14:textId="77777777" w:rsidR="00E66296" w:rsidRDefault="00E66296" w:rsidP="001C734F">
      <w:pPr>
        <w:widowControl w:val="0"/>
        <w:autoSpaceDE w:val="0"/>
        <w:autoSpaceDN w:val="0"/>
        <w:adjustRightInd w:val="0"/>
        <w:rPr>
          <w:b/>
          <w:smallCaps/>
        </w:rPr>
      </w:pPr>
    </w:p>
    <w:p w14:paraId="74325B49" w14:textId="77777777" w:rsidR="00E66296" w:rsidRDefault="00E66296" w:rsidP="001C734F">
      <w:pPr>
        <w:widowControl w:val="0"/>
        <w:autoSpaceDE w:val="0"/>
        <w:autoSpaceDN w:val="0"/>
        <w:adjustRightInd w:val="0"/>
        <w:rPr>
          <w:b/>
          <w:smallCaps/>
        </w:rPr>
      </w:pPr>
    </w:p>
    <w:p w14:paraId="305144F1" w14:textId="38CE9091" w:rsidR="00FD1404" w:rsidRPr="000C0613" w:rsidRDefault="00FD1404" w:rsidP="00FD1404">
      <w:pPr>
        <w:keepNext/>
        <w:keepLines/>
        <w:spacing w:line="360" w:lineRule="auto"/>
        <w:jc w:val="center"/>
      </w:pPr>
      <w:r w:rsidRPr="00020E3B">
        <w:t xml:space="preserve">Gráfico </w:t>
      </w:r>
      <w:r>
        <w:t>A</w:t>
      </w:r>
      <w:r w:rsidRPr="00020E3B">
        <w:t>4</w:t>
      </w:r>
      <w:r>
        <w:t xml:space="preserve"> - RMPE pós/</w:t>
      </w:r>
      <w:proofErr w:type="spellStart"/>
      <w:r>
        <w:t>pré</w:t>
      </w:r>
      <w:proofErr w:type="spellEnd"/>
      <w:r>
        <w:t>-</w:t>
      </w:r>
      <w:r w:rsidRPr="000C0613">
        <w:t>intervenção</w:t>
      </w:r>
    </w:p>
    <w:p w14:paraId="0D3FA97E" w14:textId="5F028EEA" w:rsidR="00E66296" w:rsidRDefault="003C2EB2" w:rsidP="00B43A15">
      <w:pPr>
        <w:widowControl w:val="0"/>
        <w:autoSpaceDE w:val="0"/>
        <w:autoSpaceDN w:val="0"/>
        <w:adjustRightInd w:val="0"/>
        <w:jc w:val="center"/>
        <w:rPr>
          <w:b/>
          <w:smallCaps/>
        </w:rPr>
      </w:pPr>
      <w:bookmarkStart w:id="21" w:name="_GoBack"/>
      <w:r>
        <w:rPr>
          <w:b/>
          <w:smallCaps/>
          <w:noProof/>
        </w:rPr>
        <w:drawing>
          <wp:inline distT="0" distB="0" distL="0" distR="0" wp14:anchorId="00319E00" wp14:editId="0F4D2A69">
            <wp:extent cx="5808268" cy="3393849"/>
            <wp:effectExtent l="0" t="0" r="254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20">
                      <a:extLst>
                        <a:ext uri="{28A0092B-C50C-407E-A947-70E740481C1C}">
                          <a14:useLocalDpi xmlns:a14="http://schemas.microsoft.com/office/drawing/2010/main" val="0"/>
                        </a:ext>
                      </a:extLst>
                    </a:blip>
                    <a:stretch>
                      <a:fillRect/>
                    </a:stretch>
                  </pic:blipFill>
                  <pic:spPr>
                    <a:xfrm>
                      <a:off x="0" y="0"/>
                      <a:ext cx="5821310" cy="3401470"/>
                    </a:xfrm>
                    <a:prstGeom prst="rect">
                      <a:avLst/>
                    </a:prstGeom>
                  </pic:spPr>
                </pic:pic>
              </a:graphicData>
            </a:graphic>
          </wp:inline>
        </w:drawing>
      </w:r>
      <w:bookmarkEnd w:id="21"/>
    </w:p>
    <w:p w14:paraId="53993014" w14:textId="7788DACD" w:rsidR="00E66296" w:rsidRDefault="00D874AC" w:rsidP="001C734F">
      <w:pPr>
        <w:widowControl w:val="0"/>
        <w:autoSpaceDE w:val="0"/>
        <w:autoSpaceDN w:val="0"/>
        <w:adjustRightInd w:val="0"/>
        <w:rPr>
          <w:b/>
          <w:smallCaps/>
        </w:rPr>
      </w:pPr>
      <w:r>
        <w:rPr>
          <w:noProof/>
          <w:sz w:val="20"/>
          <w:szCs w:val="20"/>
        </w:rPr>
        <w:t xml:space="preserve">                  </w:t>
      </w:r>
      <w:r w:rsidR="002364FE" w:rsidRPr="002364FE">
        <w:rPr>
          <w:noProof/>
          <w:sz w:val="20"/>
          <w:szCs w:val="20"/>
        </w:rPr>
        <w:t>Fonte: Elaboração Própria</w:t>
      </w:r>
    </w:p>
    <w:p w14:paraId="35D974AC" w14:textId="77777777" w:rsidR="00E66296" w:rsidRDefault="00E66296" w:rsidP="001C734F">
      <w:pPr>
        <w:widowControl w:val="0"/>
        <w:autoSpaceDE w:val="0"/>
        <w:autoSpaceDN w:val="0"/>
        <w:adjustRightInd w:val="0"/>
        <w:rPr>
          <w:b/>
          <w:smallCaps/>
        </w:rPr>
      </w:pPr>
    </w:p>
    <w:p w14:paraId="428D7CAB" w14:textId="77777777" w:rsidR="00B43A15" w:rsidRDefault="00B43A15" w:rsidP="00290949">
      <w:pPr>
        <w:pStyle w:val="Ttulo1"/>
        <w:rPr>
          <w:rFonts w:ascii="Times New Roman" w:hAnsi="Times New Roman" w:cs="Times New Roman"/>
          <w:b w:val="0"/>
          <w:smallCaps/>
          <w:color w:val="auto"/>
          <w:sz w:val="24"/>
          <w:szCs w:val="24"/>
        </w:rPr>
      </w:pPr>
      <w:bookmarkStart w:id="22" w:name="_Toc51774604"/>
    </w:p>
    <w:p w14:paraId="6BB0C827" w14:textId="60116A4D" w:rsidR="00E66296" w:rsidRPr="004A2475" w:rsidRDefault="003542ED" w:rsidP="00290949">
      <w:pPr>
        <w:pStyle w:val="Ttulo1"/>
        <w:rPr>
          <w:rFonts w:ascii="Times New Roman" w:hAnsi="Times New Roman" w:cs="Times New Roman"/>
          <w:b w:val="0"/>
          <w:smallCaps/>
          <w:color w:val="auto"/>
          <w:sz w:val="24"/>
          <w:szCs w:val="24"/>
        </w:rPr>
      </w:pPr>
      <w:r w:rsidRPr="004A2475">
        <w:rPr>
          <w:rFonts w:ascii="Times New Roman" w:hAnsi="Times New Roman" w:cs="Times New Roman"/>
          <w:b w:val="0"/>
          <w:smallCaps/>
          <w:color w:val="auto"/>
          <w:sz w:val="24"/>
          <w:szCs w:val="24"/>
        </w:rPr>
        <w:t xml:space="preserve">APÊNDICE B </w:t>
      </w:r>
      <w:r w:rsidR="00E66296" w:rsidRPr="004A2475">
        <w:rPr>
          <w:rFonts w:ascii="Times New Roman" w:hAnsi="Times New Roman" w:cs="Times New Roman"/>
          <w:b w:val="0"/>
          <w:smallCaps/>
          <w:color w:val="auto"/>
          <w:sz w:val="24"/>
          <w:szCs w:val="24"/>
        </w:rPr>
        <w:t>– Testes de permutação com o ano de 2012 como intervenção</w:t>
      </w:r>
      <w:bookmarkEnd w:id="22"/>
    </w:p>
    <w:p w14:paraId="43F6ED46" w14:textId="77777777" w:rsidR="00E66296" w:rsidRDefault="00E66296" w:rsidP="001C734F">
      <w:pPr>
        <w:widowControl w:val="0"/>
        <w:autoSpaceDE w:val="0"/>
        <w:autoSpaceDN w:val="0"/>
        <w:adjustRightInd w:val="0"/>
        <w:rPr>
          <w:b/>
          <w:smallCaps/>
        </w:rPr>
      </w:pPr>
    </w:p>
    <w:p w14:paraId="51D6750B" w14:textId="6F71A409" w:rsidR="00732193" w:rsidRPr="00732193" w:rsidRDefault="00732193" w:rsidP="00732193">
      <w:pPr>
        <w:widowControl w:val="0"/>
        <w:autoSpaceDE w:val="0"/>
        <w:autoSpaceDN w:val="0"/>
        <w:adjustRightInd w:val="0"/>
        <w:ind w:firstLine="851"/>
        <w:jc w:val="both"/>
      </w:pPr>
      <w:r w:rsidRPr="00732193">
        <w:t xml:space="preserve">Neste teste adicional, foi realizado o mesmo experimento apresentado na dissertação original, </w:t>
      </w:r>
      <w:r>
        <w:t>porém, o ano da intervenção é 2012.</w:t>
      </w:r>
      <w:r w:rsidR="003A6084">
        <w:t xml:space="preserve"> O resultado também é no sentido de afirmação do texto original da dissertação, com os testes de placebo e RMSPE significativos após 2012.</w:t>
      </w:r>
    </w:p>
    <w:p w14:paraId="021D4071" w14:textId="77777777" w:rsidR="00E66296" w:rsidRDefault="00E66296" w:rsidP="001C734F">
      <w:pPr>
        <w:widowControl w:val="0"/>
        <w:autoSpaceDE w:val="0"/>
        <w:autoSpaceDN w:val="0"/>
        <w:adjustRightInd w:val="0"/>
        <w:rPr>
          <w:b/>
          <w:smallCaps/>
        </w:rPr>
      </w:pPr>
    </w:p>
    <w:p w14:paraId="373DDCD5" w14:textId="77777777" w:rsidR="00E66296" w:rsidRDefault="00E66296" w:rsidP="001C734F">
      <w:pPr>
        <w:widowControl w:val="0"/>
        <w:autoSpaceDE w:val="0"/>
        <w:autoSpaceDN w:val="0"/>
        <w:adjustRightInd w:val="0"/>
        <w:rPr>
          <w:b/>
          <w:smallCaps/>
        </w:rPr>
      </w:pPr>
    </w:p>
    <w:p w14:paraId="08145C78" w14:textId="77777777" w:rsidR="00E66296" w:rsidRDefault="00E66296" w:rsidP="001C734F">
      <w:pPr>
        <w:widowControl w:val="0"/>
        <w:autoSpaceDE w:val="0"/>
        <w:autoSpaceDN w:val="0"/>
        <w:adjustRightInd w:val="0"/>
        <w:rPr>
          <w:b/>
          <w:smallCaps/>
        </w:rPr>
      </w:pPr>
    </w:p>
    <w:p w14:paraId="1B5DA3B1" w14:textId="77777777" w:rsidR="00E66296" w:rsidRDefault="00E66296" w:rsidP="001C734F">
      <w:pPr>
        <w:widowControl w:val="0"/>
        <w:autoSpaceDE w:val="0"/>
        <w:autoSpaceDN w:val="0"/>
        <w:adjustRightInd w:val="0"/>
        <w:rPr>
          <w:b/>
          <w:smallCaps/>
        </w:rPr>
      </w:pPr>
    </w:p>
    <w:p w14:paraId="4A673195" w14:textId="77777777" w:rsidR="00E66296" w:rsidRDefault="00E66296" w:rsidP="001C734F">
      <w:pPr>
        <w:widowControl w:val="0"/>
        <w:autoSpaceDE w:val="0"/>
        <w:autoSpaceDN w:val="0"/>
        <w:adjustRightInd w:val="0"/>
        <w:rPr>
          <w:b/>
          <w:smallCaps/>
        </w:rPr>
      </w:pPr>
    </w:p>
    <w:p w14:paraId="31FDA927" w14:textId="1D26E942" w:rsidR="00BB6BC4" w:rsidRDefault="00F723C4" w:rsidP="00BB6BC4">
      <w:pPr>
        <w:jc w:val="center"/>
      </w:pPr>
      <w:r>
        <w:t>Gráfico B</w:t>
      </w:r>
      <w:r w:rsidR="00BB6BC4">
        <w:t>1 - Comparação número de fusões e aquisições do Brasil sintético com sua unidade sintética</w:t>
      </w:r>
    </w:p>
    <w:p w14:paraId="29D91400" w14:textId="1D75C29D" w:rsidR="00F723C4" w:rsidRDefault="00F723C4" w:rsidP="00BB6BC4">
      <w:pPr>
        <w:jc w:val="center"/>
      </w:pPr>
    </w:p>
    <w:p w14:paraId="50A6B1A2" w14:textId="49B7C8D1" w:rsidR="00F723C4" w:rsidRDefault="002364FE" w:rsidP="00BB6BC4">
      <w:pPr>
        <w:jc w:val="center"/>
      </w:pPr>
      <w:r>
        <w:rPr>
          <w:noProof/>
        </w:rPr>
        <w:drawing>
          <wp:inline distT="0" distB="0" distL="0" distR="0" wp14:anchorId="2A9FD437" wp14:editId="509D1719">
            <wp:extent cx="5400040" cy="2372995"/>
            <wp:effectExtent l="0" t="0" r="0" b="825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12.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2372995"/>
                    </a:xfrm>
                    <a:prstGeom prst="rect">
                      <a:avLst/>
                    </a:prstGeom>
                  </pic:spPr>
                </pic:pic>
              </a:graphicData>
            </a:graphic>
          </wp:inline>
        </w:drawing>
      </w:r>
    </w:p>
    <w:p w14:paraId="25F97749" w14:textId="35D2EADC" w:rsidR="00F723C4" w:rsidRDefault="00D874AC" w:rsidP="00D874AC">
      <w:pPr>
        <w:rPr>
          <w:noProof/>
          <w:sz w:val="20"/>
          <w:szCs w:val="20"/>
        </w:rPr>
      </w:pPr>
      <w:r>
        <w:rPr>
          <w:noProof/>
          <w:sz w:val="20"/>
          <w:szCs w:val="20"/>
        </w:rPr>
        <w:t xml:space="preserve">                 </w:t>
      </w:r>
      <w:r w:rsidR="002364FE" w:rsidRPr="002364FE">
        <w:rPr>
          <w:noProof/>
          <w:sz w:val="20"/>
          <w:szCs w:val="20"/>
        </w:rPr>
        <w:t>Fonte: Elaboração Própria</w:t>
      </w:r>
    </w:p>
    <w:p w14:paraId="12E6A84A" w14:textId="77777777" w:rsidR="00D874AC" w:rsidRPr="000C0613" w:rsidRDefault="00D874AC" w:rsidP="00BB6BC4">
      <w:pPr>
        <w:jc w:val="center"/>
      </w:pPr>
    </w:p>
    <w:p w14:paraId="6B4F1BCD" w14:textId="189873AB" w:rsidR="00BB6BC4" w:rsidRDefault="00F723C4" w:rsidP="004701A5">
      <w:pPr>
        <w:keepNext/>
        <w:keepLines/>
        <w:autoSpaceDE w:val="0"/>
        <w:autoSpaceDN w:val="0"/>
        <w:adjustRightInd w:val="0"/>
      </w:pPr>
      <w:r>
        <w:lastRenderedPageBreak/>
        <w:t>Gráfico B</w:t>
      </w:r>
      <w:r w:rsidR="00BB6BC4">
        <w:t>2 – Diferença entre o número de fusões e aquisições entre o Brasil e sua unidade sintética</w:t>
      </w:r>
    </w:p>
    <w:p w14:paraId="6E61E06B" w14:textId="77777777" w:rsidR="00F723C4" w:rsidRDefault="00F723C4" w:rsidP="004701A5">
      <w:pPr>
        <w:keepNext/>
        <w:keepLines/>
        <w:autoSpaceDE w:val="0"/>
        <w:autoSpaceDN w:val="0"/>
        <w:adjustRightInd w:val="0"/>
      </w:pPr>
    </w:p>
    <w:p w14:paraId="3BEB4BDA" w14:textId="77777777" w:rsidR="00F723C4" w:rsidRDefault="00F723C4" w:rsidP="004701A5">
      <w:pPr>
        <w:keepNext/>
        <w:keepLines/>
        <w:autoSpaceDE w:val="0"/>
        <w:autoSpaceDN w:val="0"/>
        <w:adjustRightInd w:val="0"/>
      </w:pPr>
    </w:p>
    <w:p w14:paraId="4CC9C216" w14:textId="77777777" w:rsidR="00F723C4" w:rsidRDefault="00F723C4" w:rsidP="004701A5">
      <w:pPr>
        <w:keepNext/>
        <w:keepLines/>
        <w:autoSpaceDE w:val="0"/>
        <w:autoSpaceDN w:val="0"/>
        <w:adjustRightInd w:val="0"/>
      </w:pPr>
    </w:p>
    <w:p w14:paraId="7327A24D" w14:textId="30463731" w:rsidR="00F723C4" w:rsidRDefault="00F723C4" w:rsidP="004701A5">
      <w:pPr>
        <w:keepNext/>
        <w:keepLines/>
        <w:autoSpaceDE w:val="0"/>
        <w:autoSpaceDN w:val="0"/>
        <w:adjustRightInd w:val="0"/>
      </w:pPr>
      <w:r>
        <w:rPr>
          <w:noProof/>
        </w:rPr>
        <w:drawing>
          <wp:inline distT="0" distB="0" distL="0" distR="0" wp14:anchorId="10C01650" wp14:editId="7124DE60">
            <wp:extent cx="5400040" cy="2372995"/>
            <wp:effectExtent l="0" t="0" r="0" b="825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12gap.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2372995"/>
                    </a:xfrm>
                    <a:prstGeom prst="rect">
                      <a:avLst/>
                    </a:prstGeom>
                  </pic:spPr>
                </pic:pic>
              </a:graphicData>
            </a:graphic>
          </wp:inline>
        </w:drawing>
      </w:r>
    </w:p>
    <w:p w14:paraId="528A5BC8" w14:textId="064B541E" w:rsidR="00F723C4" w:rsidRDefault="00D874AC" w:rsidP="004701A5">
      <w:pPr>
        <w:keepNext/>
        <w:keepLines/>
        <w:autoSpaceDE w:val="0"/>
        <w:autoSpaceDN w:val="0"/>
        <w:adjustRightInd w:val="0"/>
      </w:pPr>
      <w:r>
        <w:rPr>
          <w:noProof/>
          <w:sz w:val="20"/>
          <w:szCs w:val="20"/>
        </w:rPr>
        <w:t xml:space="preserve">                 </w:t>
      </w:r>
      <w:r w:rsidR="002364FE" w:rsidRPr="002364FE">
        <w:rPr>
          <w:noProof/>
          <w:sz w:val="20"/>
          <w:szCs w:val="20"/>
        </w:rPr>
        <w:t>Fonte: Elaboração Própria</w:t>
      </w:r>
    </w:p>
    <w:p w14:paraId="20EFF295" w14:textId="77777777" w:rsidR="00F723C4" w:rsidRDefault="00F723C4" w:rsidP="00BB6BC4">
      <w:pPr>
        <w:widowControl w:val="0"/>
        <w:autoSpaceDE w:val="0"/>
        <w:autoSpaceDN w:val="0"/>
        <w:adjustRightInd w:val="0"/>
      </w:pPr>
    </w:p>
    <w:p w14:paraId="3039F953" w14:textId="77777777" w:rsidR="00F723C4" w:rsidRDefault="00F723C4" w:rsidP="00BB6BC4">
      <w:pPr>
        <w:widowControl w:val="0"/>
        <w:autoSpaceDE w:val="0"/>
        <w:autoSpaceDN w:val="0"/>
        <w:adjustRightInd w:val="0"/>
      </w:pPr>
    </w:p>
    <w:p w14:paraId="3B1EABA9" w14:textId="77777777" w:rsidR="00F723C4" w:rsidRDefault="00F723C4" w:rsidP="00BB6BC4">
      <w:pPr>
        <w:widowControl w:val="0"/>
        <w:autoSpaceDE w:val="0"/>
        <w:autoSpaceDN w:val="0"/>
        <w:adjustRightInd w:val="0"/>
      </w:pPr>
    </w:p>
    <w:p w14:paraId="54EA711F" w14:textId="35C28101" w:rsidR="00BB6BC4" w:rsidRDefault="00F723C4" w:rsidP="00BB6BC4">
      <w:pPr>
        <w:keepNext/>
        <w:keepLines/>
        <w:spacing w:line="360" w:lineRule="auto"/>
        <w:jc w:val="center"/>
      </w:pPr>
      <w:r>
        <w:lastRenderedPageBreak/>
        <w:t>Gráfico B</w:t>
      </w:r>
      <w:r w:rsidR="00BB6BC4">
        <w:t>3</w:t>
      </w:r>
      <w:r w:rsidR="00BB6BC4" w:rsidRPr="000C0613">
        <w:t xml:space="preserve"> </w:t>
      </w:r>
      <w:r w:rsidR="00BB6BC4">
        <w:t>–</w:t>
      </w:r>
      <w:r w:rsidR="00BB6BC4" w:rsidRPr="000C0613">
        <w:t xml:space="preserve"> </w:t>
      </w:r>
      <w:r w:rsidR="00BB6BC4">
        <w:t>Teste de placebo entre o Brasil e suas unidades de controle</w:t>
      </w:r>
    </w:p>
    <w:p w14:paraId="437076F6" w14:textId="77777777" w:rsidR="00F723C4" w:rsidRDefault="00F723C4" w:rsidP="00BB6BC4">
      <w:pPr>
        <w:keepNext/>
        <w:keepLines/>
        <w:spacing w:line="360" w:lineRule="auto"/>
        <w:jc w:val="center"/>
      </w:pPr>
    </w:p>
    <w:p w14:paraId="4C908B77" w14:textId="347BEDB8" w:rsidR="00F723C4" w:rsidRDefault="00F723C4" w:rsidP="00D874AC">
      <w:pPr>
        <w:keepNext/>
        <w:keepLines/>
        <w:jc w:val="center"/>
      </w:pPr>
      <w:r>
        <w:rPr>
          <w:noProof/>
        </w:rPr>
        <w:drawing>
          <wp:inline distT="0" distB="0" distL="0" distR="0" wp14:anchorId="115B6E88" wp14:editId="1587C15E">
            <wp:extent cx="5400040" cy="2793365"/>
            <wp:effectExtent l="0" t="0" r="0" b="69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12pl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793365"/>
                    </a:xfrm>
                    <a:prstGeom prst="rect">
                      <a:avLst/>
                    </a:prstGeom>
                  </pic:spPr>
                </pic:pic>
              </a:graphicData>
            </a:graphic>
          </wp:inline>
        </w:drawing>
      </w:r>
    </w:p>
    <w:p w14:paraId="604334BD" w14:textId="61EE193E" w:rsidR="00F723C4" w:rsidRDefault="00D874AC" w:rsidP="00D874AC">
      <w:pPr>
        <w:keepNext/>
        <w:keepLines/>
      </w:pPr>
      <w:r>
        <w:rPr>
          <w:noProof/>
          <w:sz w:val="20"/>
          <w:szCs w:val="20"/>
        </w:rPr>
        <w:t xml:space="preserve">              </w:t>
      </w:r>
      <w:r w:rsidR="002364FE" w:rsidRPr="002364FE">
        <w:rPr>
          <w:noProof/>
          <w:sz w:val="20"/>
          <w:szCs w:val="20"/>
        </w:rPr>
        <w:t>Fonte: Elaboração Própria</w:t>
      </w:r>
    </w:p>
    <w:p w14:paraId="0D4B0EB4" w14:textId="77777777" w:rsidR="00F723C4" w:rsidRDefault="00F723C4" w:rsidP="00BB6BC4">
      <w:pPr>
        <w:keepNext/>
        <w:keepLines/>
        <w:spacing w:line="360" w:lineRule="auto"/>
        <w:jc w:val="center"/>
      </w:pPr>
    </w:p>
    <w:p w14:paraId="137FD347" w14:textId="77777777" w:rsidR="00F723C4" w:rsidRPr="000C0613" w:rsidRDefault="00F723C4" w:rsidP="00BB6BC4">
      <w:pPr>
        <w:keepNext/>
        <w:keepLines/>
        <w:spacing w:line="360" w:lineRule="auto"/>
        <w:jc w:val="center"/>
      </w:pPr>
    </w:p>
    <w:p w14:paraId="41029099" w14:textId="67130FFB" w:rsidR="00BB6BC4" w:rsidRPr="000C0613" w:rsidRDefault="00BB6BC4" w:rsidP="00BB6BC4">
      <w:pPr>
        <w:keepNext/>
        <w:keepLines/>
        <w:spacing w:line="360" w:lineRule="auto"/>
        <w:jc w:val="center"/>
      </w:pPr>
      <w:r w:rsidRPr="00020E3B">
        <w:t xml:space="preserve">Gráfico </w:t>
      </w:r>
      <w:r w:rsidR="00F723C4">
        <w:t>B</w:t>
      </w:r>
      <w:r w:rsidRPr="00020E3B">
        <w:t>4</w:t>
      </w:r>
      <w:r>
        <w:t xml:space="preserve"> - RMPE pós/</w:t>
      </w:r>
      <w:proofErr w:type="spellStart"/>
      <w:r>
        <w:t>pré</w:t>
      </w:r>
      <w:proofErr w:type="spellEnd"/>
      <w:r>
        <w:t>-</w:t>
      </w:r>
      <w:r w:rsidRPr="000C0613">
        <w:t>intervenção</w:t>
      </w:r>
    </w:p>
    <w:p w14:paraId="49DBB76A" w14:textId="0DC679EE" w:rsidR="00E66296" w:rsidRDefault="00F723C4" w:rsidP="00DD4B28">
      <w:pPr>
        <w:widowControl w:val="0"/>
        <w:autoSpaceDE w:val="0"/>
        <w:autoSpaceDN w:val="0"/>
        <w:adjustRightInd w:val="0"/>
        <w:rPr>
          <w:b/>
          <w:smallCaps/>
        </w:rPr>
      </w:pPr>
      <w:r>
        <w:rPr>
          <w:b/>
          <w:smallCaps/>
          <w:noProof/>
        </w:rPr>
        <w:drawing>
          <wp:inline distT="0" distB="0" distL="0" distR="0" wp14:anchorId="1240569C" wp14:editId="2FA5B439">
            <wp:extent cx="5400040" cy="279336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rsmp.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793365"/>
                    </a:xfrm>
                    <a:prstGeom prst="rect">
                      <a:avLst/>
                    </a:prstGeom>
                  </pic:spPr>
                </pic:pic>
              </a:graphicData>
            </a:graphic>
          </wp:inline>
        </w:drawing>
      </w:r>
    </w:p>
    <w:p w14:paraId="69474243" w14:textId="14B3D67A" w:rsidR="00E66296" w:rsidRDefault="00D874AC" w:rsidP="00D874AC">
      <w:pPr>
        <w:widowControl w:val="0"/>
        <w:autoSpaceDE w:val="0"/>
        <w:autoSpaceDN w:val="0"/>
        <w:adjustRightInd w:val="0"/>
        <w:rPr>
          <w:b/>
          <w:smallCaps/>
        </w:rPr>
      </w:pPr>
      <w:r>
        <w:rPr>
          <w:noProof/>
          <w:sz w:val="20"/>
          <w:szCs w:val="20"/>
        </w:rPr>
        <w:t xml:space="preserve">                          </w:t>
      </w:r>
      <w:r w:rsidR="002364FE" w:rsidRPr="002364FE">
        <w:rPr>
          <w:noProof/>
          <w:sz w:val="20"/>
          <w:szCs w:val="20"/>
        </w:rPr>
        <w:t>Fonte: Elaboração Própria</w:t>
      </w:r>
    </w:p>
    <w:p w14:paraId="000E0C32" w14:textId="77777777" w:rsidR="00E66296" w:rsidRDefault="00E66296" w:rsidP="00D874AC">
      <w:pPr>
        <w:widowControl w:val="0"/>
        <w:autoSpaceDE w:val="0"/>
        <w:autoSpaceDN w:val="0"/>
        <w:adjustRightInd w:val="0"/>
        <w:rPr>
          <w:b/>
          <w:smallCaps/>
        </w:rPr>
      </w:pPr>
    </w:p>
    <w:p w14:paraId="55CEE329" w14:textId="77777777" w:rsidR="00E66296" w:rsidRDefault="00E66296" w:rsidP="001C734F">
      <w:pPr>
        <w:widowControl w:val="0"/>
        <w:autoSpaceDE w:val="0"/>
        <w:autoSpaceDN w:val="0"/>
        <w:adjustRightInd w:val="0"/>
        <w:rPr>
          <w:b/>
          <w:smallCaps/>
        </w:rPr>
      </w:pPr>
    </w:p>
    <w:p w14:paraId="200E9F9C" w14:textId="77777777" w:rsidR="00E66296" w:rsidRDefault="00E66296" w:rsidP="001C734F">
      <w:pPr>
        <w:widowControl w:val="0"/>
        <w:autoSpaceDE w:val="0"/>
        <w:autoSpaceDN w:val="0"/>
        <w:adjustRightInd w:val="0"/>
        <w:rPr>
          <w:b/>
          <w:smallCaps/>
        </w:rPr>
      </w:pPr>
    </w:p>
    <w:p w14:paraId="5311615D" w14:textId="77777777" w:rsidR="00E66296" w:rsidRDefault="00E66296" w:rsidP="001C734F">
      <w:pPr>
        <w:widowControl w:val="0"/>
        <w:autoSpaceDE w:val="0"/>
        <w:autoSpaceDN w:val="0"/>
        <w:adjustRightInd w:val="0"/>
        <w:rPr>
          <w:b/>
          <w:smallCaps/>
        </w:rPr>
      </w:pPr>
    </w:p>
    <w:p w14:paraId="2A54E513" w14:textId="77777777" w:rsidR="00E66296" w:rsidRDefault="00E66296" w:rsidP="001C734F">
      <w:pPr>
        <w:widowControl w:val="0"/>
        <w:autoSpaceDE w:val="0"/>
        <w:autoSpaceDN w:val="0"/>
        <w:adjustRightInd w:val="0"/>
        <w:rPr>
          <w:b/>
          <w:smallCaps/>
        </w:rPr>
      </w:pPr>
    </w:p>
    <w:p w14:paraId="0DE944D2" w14:textId="77777777" w:rsidR="00E66296" w:rsidRDefault="00E66296" w:rsidP="001C734F">
      <w:pPr>
        <w:widowControl w:val="0"/>
        <w:autoSpaceDE w:val="0"/>
        <w:autoSpaceDN w:val="0"/>
        <w:adjustRightInd w:val="0"/>
        <w:rPr>
          <w:b/>
          <w:smallCaps/>
        </w:rPr>
      </w:pPr>
    </w:p>
    <w:p w14:paraId="04E9CE83" w14:textId="16DDDE30" w:rsidR="00E66296" w:rsidRPr="004A2475" w:rsidRDefault="007B1145" w:rsidP="00290949">
      <w:pPr>
        <w:pStyle w:val="Ttulo1"/>
        <w:rPr>
          <w:rFonts w:ascii="Times New Roman" w:hAnsi="Times New Roman" w:cs="Times New Roman"/>
          <w:b w:val="0"/>
          <w:smallCaps/>
          <w:color w:val="auto"/>
          <w:sz w:val="24"/>
          <w:szCs w:val="24"/>
        </w:rPr>
      </w:pPr>
      <w:bookmarkStart w:id="23" w:name="_Toc51774605"/>
      <w:r w:rsidRPr="004A2475">
        <w:rPr>
          <w:rFonts w:ascii="Times New Roman" w:hAnsi="Times New Roman" w:cs="Times New Roman"/>
          <w:b w:val="0"/>
          <w:smallCaps/>
          <w:color w:val="auto"/>
          <w:sz w:val="24"/>
          <w:szCs w:val="24"/>
        </w:rPr>
        <w:lastRenderedPageBreak/>
        <w:t>APÊNDICE C</w:t>
      </w:r>
      <w:r w:rsidR="003542ED" w:rsidRPr="004A2475">
        <w:rPr>
          <w:rFonts w:ascii="Times New Roman" w:hAnsi="Times New Roman" w:cs="Times New Roman"/>
          <w:b w:val="0"/>
          <w:smallCaps/>
          <w:color w:val="auto"/>
          <w:sz w:val="24"/>
          <w:szCs w:val="24"/>
        </w:rPr>
        <w:t xml:space="preserve"> </w:t>
      </w:r>
      <w:r w:rsidR="00E66296" w:rsidRPr="004A2475">
        <w:rPr>
          <w:rFonts w:ascii="Times New Roman" w:hAnsi="Times New Roman" w:cs="Times New Roman"/>
          <w:b w:val="0"/>
          <w:smallCaps/>
          <w:color w:val="auto"/>
          <w:sz w:val="24"/>
          <w:szCs w:val="24"/>
        </w:rPr>
        <w:t>– Testes de permutação como os países em desenvolvimento</w:t>
      </w:r>
      <w:bookmarkEnd w:id="23"/>
      <w:r w:rsidR="00E66296" w:rsidRPr="004A2475">
        <w:rPr>
          <w:rFonts w:ascii="Times New Roman" w:hAnsi="Times New Roman" w:cs="Times New Roman"/>
          <w:b w:val="0"/>
          <w:smallCaps/>
          <w:color w:val="auto"/>
          <w:sz w:val="24"/>
          <w:szCs w:val="24"/>
        </w:rPr>
        <w:t xml:space="preserve"> </w:t>
      </w:r>
    </w:p>
    <w:p w14:paraId="603CA9B7" w14:textId="77777777" w:rsidR="00E66296" w:rsidRDefault="00E66296" w:rsidP="001C734F">
      <w:pPr>
        <w:widowControl w:val="0"/>
        <w:autoSpaceDE w:val="0"/>
        <w:autoSpaceDN w:val="0"/>
        <w:adjustRightInd w:val="0"/>
        <w:rPr>
          <w:b/>
          <w:smallCaps/>
        </w:rPr>
      </w:pPr>
    </w:p>
    <w:p w14:paraId="5D02B259" w14:textId="3F75C9B7" w:rsidR="00E66296" w:rsidRDefault="002C602A" w:rsidP="00EE49C9">
      <w:pPr>
        <w:widowControl w:val="0"/>
        <w:autoSpaceDE w:val="0"/>
        <w:autoSpaceDN w:val="0"/>
        <w:adjustRightInd w:val="0"/>
        <w:ind w:firstLine="851"/>
        <w:jc w:val="both"/>
        <w:rPr>
          <w:b/>
          <w:smallCaps/>
        </w:rPr>
      </w:pPr>
      <w:r w:rsidRPr="00732193">
        <w:t xml:space="preserve">Neste teste adicional, </w:t>
      </w:r>
      <w:r>
        <w:t>o método de controle sintético foi</w:t>
      </w:r>
      <w:r w:rsidR="00EE49C9">
        <w:t xml:space="preserve"> aplicado aos países emergentes ou em desenvolvimento. Aqui há resultados diferentes do texto original. Na Razão MSPE o Brasil apresenta um parâmetro menor que o Egito e a África do Sul, ficando em terceiro na ordenação do indicador em questão.</w:t>
      </w:r>
    </w:p>
    <w:p w14:paraId="1E8F8AE6" w14:textId="77777777" w:rsidR="00E66296" w:rsidRDefault="00E66296" w:rsidP="001C734F">
      <w:pPr>
        <w:widowControl w:val="0"/>
        <w:autoSpaceDE w:val="0"/>
        <w:autoSpaceDN w:val="0"/>
        <w:adjustRightInd w:val="0"/>
        <w:rPr>
          <w:b/>
          <w:smallCaps/>
        </w:rPr>
      </w:pPr>
    </w:p>
    <w:p w14:paraId="1C101678" w14:textId="77777777" w:rsidR="00E66296" w:rsidRDefault="00E66296" w:rsidP="001C734F">
      <w:pPr>
        <w:widowControl w:val="0"/>
        <w:autoSpaceDE w:val="0"/>
        <w:autoSpaceDN w:val="0"/>
        <w:adjustRightInd w:val="0"/>
        <w:rPr>
          <w:b/>
          <w:smallCaps/>
        </w:rPr>
      </w:pPr>
    </w:p>
    <w:p w14:paraId="75E5D909" w14:textId="77777777" w:rsidR="00732193" w:rsidRDefault="00732193" w:rsidP="00732193">
      <w:pPr>
        <w:widowControl w:val="0"/>
        <w:autoSpaceDE w:val="0"/>
        <w:autoSpaceDN w:val="0"/>
        <w:adjustRightInd w:val="0"/>
        <w:rPr>
          <w:b/>
          <w:smallCaps/>
        </w:rPr>
      </w:pPr>
    </w:p>
    <w:p w14:paraId="608BCF11" w14:textId="4AD3683A" w:rsidR="00E66296" w:rsidRDefault="008330E7" w:rsidP="00732193">
      <w:pPr>
        <w:spacing w:line="360" w:lineRule="auto"/>
        <w:jc w:val="center"/>
        <w:rPr>
          <w:b/>
          <w:smallCaps/>
        </w:rPr>
      </w:pPr>
      <w:r>
        <w:t xml:space="preserve">Gráfico </w:t>
      </w:r>
      <w:r w:rsidR="007B1145">
        <w:t>C</w:t>
      </w:r>
      <w:r w:rsidR="00732193">
        <w:t>1 - Comparação número de fusões e aquisições do Brasil sintético com sua unidade sintética</w:t>
      </w:r>
    </w:p>
    <w:p w14:paraId="6B3A1BAC" w14:textId="6F2F6628" w:rsidR="00E66296" w:rsidRDefault="00732193" w:rsidP="00D874AC">
      <w:pPr>
        <w:widowControl w:val="0"/>
        <w:autoSpaceDE w:val="0"/>
        <w:autoSpaceDN w:val="0"/>
        <w:adjustRightInd w:val="0"/>
        <w:rPr>
          <w:b/>
          <w:smallCaps/>
        </w:rPr>
      </w:pPr>
      <w:r>
        <w:rPr>
          <w:b/>
          <w:smallCaps/>
          <w:noProof/>
        </w:rPr>
        <w:drawing>
          <wp:inline distT="0" distB="0" distL="0" distR="0" wp14:anchorId="086F11D5" wp14:editId="686758EB">
            <wp:extent cx="5400040" cy="2477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2477135"/>
                    </a:xfrm>
                    <a:prstGeom prst="rect">
                      <a:avLst/>
                    </a:prstGeom>
                  </pic:spPr>
                </pic:pic>
              </a:graphicData>
            </a:graphic>
          </wp:inline>
        </w:drawing>
      </w:r>
    </w:p>
    <w:p w14:paraId="48CE7750" w14:textId="4EBAFDA2" w:rsidR="002364FE" w:rsidRDefault="00D874AC" w:rsidP="00D874AC">
      <w:pPr>
        <w:widowControl w:val="0"/>
        <w:autoSpaceDE w:val="0"/>
        <w:autoSpaceDN w:val="0"/>
        <w:adjustRightInd w:val="0"/>
        <w:rPr>
          <w:noProof/>
          <w:sz w:val="20"/>
          <w:szCs w:val="20"/>
        </w:rPr>
      </w:pPr>
      <w:r>
        <w:rPr>
          <w:noProof/>
          <w:sz w:val="20"/>
          <w:szCs w:val="20"/>
        </w:rPr>
        <w:t xml:space="preserve">                  </w:t>
      </w:r>
      <w:r w:rsidR="002364FE" w:rsidRPr="002364FE">
        <w:rPr>
          <w:noProof/>
          <w:sz w:val="20"/>
          <w:szCs w:val="20"/>
        </w:rPr>
        <w:t>Fonte: Elaboração Própria</w:t>
      </w:r>
    </w:p>
    <w:p w14:paraId="048DB57B" w14:textId="77777777" w:rsidR="002364FE" w:rsidRDefault="002364FE" w:rsidP="00732193">
      <w:pPr>
        <w:widowControl w:val="0"/>
        <w:autoSpaceDE w:val="0"/>
        <w:autoSpaceDN w:val="0"/>
        <w:adjustRightInd w:val="0"/>
        <w:jc w:val="center"/>
      </w:pPr>
    </w:p>
    <w:p w14:paraId="0B29B9DA" w14:textId="124EAEC8" w:rsidR="00732193" w:rsidRDefault="008330E7" w:rsidP="00732193">
      <w:pPr>
        <w:widowControl w:val="0"/>
        <w:autoSpaceDE w:val="0"/>
        <w:autoSpaceDN w:val="0"/>
        <w:adjustRightInd w:val="0"/>
        <w:jc w:val="center"/>
        <w:rPr>
          <w:b/>
          <w:smallCaps/>
        </w:rPr>
      </w:pPr>
      <w:r>
        <w:t xml:space="preserve">Gráfico </w:t>
      </w:r>
      <w:r w:rsidR="007B1145">
        <w:t>C</w:t>
      </w:r>
      <w:r w:rsidR="00732193">
        <w:t>2 – Diferença entre o número de fusões e aquisições entre o Brasil e sua unidade sintética</w:t>
      </w:r>
    </w:p>
    <w:p w14:paraId="4CA2E346" w14:textId="77777777" w:rsidR="00E66296" w:rsidRDefault="00E66296" w:rsidP="001C734F">
      <w:pPr>
        <w:widowControl w:val="0"/>
        <w:autoSpaceDE w:val="0"/>
        <w:autoSpaceDN w:val="0"/>
        <w:adjustRightInd w:val="0"/>
        <w:rPr>
          <w:b/>
          <w:smallCaps/>
        </w:rPr>
      </w:pPr>
    </w:p>
    <w:p w14:paraId="73FA3DA2" w14:textId="5F176C0F" w:rsidR="00E66296" w:rsidRDefault="00732193" w:rsidP="002364FE">
      <w:pPr>
        <w:widowControl w:val="0"/>
        <w:autoSpaceDE w:val="0"/>
        <w:autoSpaceDN w:val="0"/>
        <w:adjustRightInd w:val="0"/>
        <w:rPr>
          <w:b/>
          <w:smallCaps/>
        </w:rPr>
      </w:pPr>
      <w:r>
        <w:rPr>
          <w:b/>
          <w:smallCaps/>
          <w:noProof/>
        </w:rPr>
        <w:drawing>
          <wp:inline distT="0" distB="0" distL="0" distR="0" wp14:anchorId="20995404" wp14:editId="4FBA6299">
            <wp:extent cx="5400040" cy="2486660"/>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2.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2486660"/>
                    </a:xfrm>
                    <a:prstGeom prst="rect">
                      <a:avLst/>
                    </a:prstGeom>
                  </pic:spPr>
                </pic:pic>
              </a:graphicData>
            </a:graphic>
          </wp:inline>
        </w:drawing>
      </w:r>
    </w:p>
    <w:p w14:paraId="07AD91BF" w14:textId="30D69BD3" w:rsidR="00E66296" w:rsidRDefault="002364FE" w:rsidP="002364FE">
      <w:pPr>
        <w:widowControl w:val="0"/>
        <w:autoSpaceDE w:val="0"/>
        <w:autoSpaceDN w:val="0"/>
        <w:adjustRightInd w:val="0"/>
        <w:rPr>
          <w:b/>
          <w:smallCaps/>
        </w:rPr>
      </w:pPr>
      <w:r>
        <w:rPr>
          <w:noProof/>
          <w:sz w:val="20"/>
          <w:szCs w:val="20"/>
        </w:rPr>
        <w:t xml:space="preserve">                </w:t>
      </w:r>
      <w:r w:rsidRPr="002364FE">
        <w:rPr>
          <w:noProof/>
          <w:sz w:val="20"/>
          <w:szCs w:val="20"/>
        </w:rPr>
        <w:t>Fonte: Elaboração Própria</w:t>
      </w:r>
    </w:p>
    <w:p w14:paraId="11E37D4A" w14:textId="77777777" w:rsidR="00E66296" w:rsidRDefault="00E66296" w:rsidP="002364FE">
      <w:pPr>
        <w:widowControl w:val="0"/>
        <w:autoSpaceDE w:val="0"/>
        <w:autoSpaceDN w:val="0"/>
        <w:adjustRightInd w:val="0"/>
        <w:rPr>
          <w:b/>
          <w:smallCaps/>
        </w:rPr>
      </w:pPr>
    </w:p>
    <w:p w14:paraId="47681D85" w14:textId="77777777" w:rsidR="00E66296" w:rsidRDefault="00E66296" w:rsidP="002364FE">
      <w:pPr>
        <w:widowControl w:val="0"/>
        <w:autoSpaceDE w:val="0"/>
        <w:autoSpaceDN w:val="0"/>
        <w:adjustRightInd w:val="0"/>
        <w:rPr>
          <w:b/>
          <w:smallCaps/>
        </w:rPr>
      </w:pPr>
    </w:p>
    <w:p w14:paraId="6B357F45" w14:textId="77777777" w:rsidR="00E66296" w:rsidRDefault="00E66296" w:rsidP="001C734F">
      <w:pPr>
        <w:widowControl w:val="0"/>
        <w:autoSpaceDE w:val="0"/>
        <w:autoSpaceDN w:val="0"/>
        <w:adjustRightInd w:val="0"/>
        <w:rPr>
          <w:b/>
          <w:smallCaps/>
        </w:rPr>
      </w:pPr>
    </w:p>
    <w:p w14:paraId="588995DE" w14:textId="77777777" w:rsidR="00E66296" w:rsidRDefault="00E66296" w:rsidP="001C734F">
      <w:pPr>
        <w:widowControl w:val="0"/>
        <w:autoSpaceDE w:val="0"/>
        <w:autoSpaceDN w:val="0"/>
        <w:adjustRightInd w:val="0"/>
        <w:rPr>
          <w:b/>
          <w:smallCaps/>
        </w:rPr>
      </w:pPr>
    </w:p>
    <w:p w14:paraId="03882932" w14:textId="77777777" w:rsidR="00E66296" w:rsidRDefault="00E66296" w:rsidP="001C734F">
      <w:pPr>
        <w:widowControl w:val="0"/>
        <w:autoSpaceDE w:val="0"/>
        <w:autoSpaceDN w:val="0"/>
        <w:adjustRightInd w:val="0"/>
        <w:rPr>
          <w:b/>
          <w:smallCaps/>
        </w:rPr>
      </w:pPr>
    </w:p>
    <w:p w14:paraId="4CFE9566" w14:textId="77777777" w:rsidR="00732193" w:rsidRDefault="00732193" w:rsidP="001C734F">
      <w:pPr>
        <w:widowControl w:val="0"/>
        <w:autoSpaceDE w:val="0"/>
        <w:autoSpaceDN w:val="0"/>
        <w:adjustRightInd w:val="0"/>
        <w:rPr>
          <w:b/>
          <w:smallCaps/>
        </w:rPr>
      </w:pPr>
    </w:p>
    <w:p w14:paraId="5DB655BA" w14:textId="77777777" w:rsidR="00732193" w:rsidRDefault="00732193" w:rsidP="001C734F">
      <w:pPr>
        <w:widowControl w:val="0"/>
        <w:autoSpaceDE w:val="0"/>
        <w:autoSpaceDN w:val="0"/>
        <w:adjustRightInd w:val="0"/>
        <w:rPr>
          <w:b/>
          <w:smallCaps/>
        </w:rPr>
      </w:pPr>
    </w:p>
    <w:p w14:paraId="20615EA8" w14:textId="19DAE70F" w:rsidR="00732193" w:rsidRPr="000C0613" w:rsidRDefault="008330E7" w:rsidP="00732193">
      <w:pPr>
        <w:keepNext/>
        <w:keepLines/>
        <w:spacing w:line="360" w:lineRule="auto"/>
        <w:jc w:val="center"/>
      </w:pPr>
      <w:r>
        <w:t xml:space="preserve">Gráfico </w:t>
      </w:r>
      <w:r w:rsidR="007B1145">
        <w:t>C</w:t>
      </w:r>
      <w:r w:rsidR="00732193">
        <w:t>3</w:t>
      </w:r>
      <w:r w:rsidR="00732193" w:rsidRPr="000C0613">
        <w:t xml:space="preserve"> </w:t>
      </w:r>
      <w:r w:rsidR="00732193">
        <w:t>–</w:t>
      </w:r>
      <w:r w:rsidR="00732193" w:rsidRPr="000C0613">
        <w:t xml:space="preserve"> </w:t>
      </w:r>
      <w:r w:rsidR="00732193">
        <w:t>Teste de placebo entre o Brasil e suas unidades de controle</w:t>
      </w:r>
    </w:p>
    <w:p w14:paraId="37039B16" w14:textId="77777777" w:rsidR="00732193" w:rsidRDefault="00732193" w:rsidP="001C734F">
      <w:pPr>
        <w:widowControl w:val="0"/>
        <w:autoSpaceDE w:val="0"/>
        <w:autoSpaceDN w:val="0"/>
        <w:adjustRightInd w:val="0"/>
        <w:rPr>
          <w:b/>
          <w:smallCaps/>
        </w:rPr>
      </w:pPr>
    </w:p>
    <w:p w14:paraId="18E2AD75" w14:textId="77777777" w:rsidR="00E66296" w:rsidRDefault="00E66296" w:rsidP="001C734F">
      <w:pPr>
        <w:widowControl w:val="0"/>
        <w:autoSpaceDE w:val="0"/>
        <w:autoSpaceDN w:val="0"/>
        <w:adjustRightInd w:val="0"/>
        <w:rPr>
          <w:b/>
          <w:smallCaps/>
        </w:rPr>
      </w:pPr>
    </w:p>
    <w:p w14:paraId="139394F7" w14:textId="3DED1856" w:rsidR="00E66296" w:rsidRDefault="00A425AB" w:rsidP="002364FE">
      <w:pPr>
        <w:widowControl w:val="0"/>
        <w:autoSpaceDE w:val="0"/>
        <w:autoSpaceDN w:val="0"/>
        <w:adjustRightInd w:val="0"/>
        <w:rPr>
          <w:b/>
          <w:smallCaps/>
        </w:rPr>
      </w:pPr>
      <w:r>
        <w:rPr>
          <w:b/>
          <w:smallCaps/>
          <w:noProof/>
        </w:rPr>
        <w:drawing>
          <wp:inline distT="0" distB="0" distL="0" distR="0" wp14:anchorId="4BCB7C33" wp14:editId="3DD046FA">
            <wp:extent cx="5400040" cy="27076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3.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707640"/>
                    </a:xfrm>
                    <a:prstGeom prst="rect">
                      <a:avLst/>
                    </a:prstGeom>
                  </pic:spPr>
                </pic:pic>
              </a:graphicData>
            </a:graphic>
          </wp:inline>
        </w:drawing>
      </w:r>
    </w:p>
    <w:p w14:paraId="12AD2FBF" w14:textId="14B1E88B" w:rsidR="00732193" w:rsidRDefault="002364FE" w:rsidP="002364FE">
      <w:pPr>
        <w:widowControl w:val="0"/>
        <w:autoSpaceDE w:val="0"/>
        <w:autoSpaceDN w:val="0"/>
        <w:adjustRightInd w:val="0"/>
        <w:rPr>
          <w:noProof/>
          <w:sz w:val="20"/>
          <w:szCs w:val="20"/>
        </w:rPr>
      </w:pPr>
      <w:r>
        <w:rPr>
          <w:noProof/>
          <w:sz w:val="20"/>
          <w:szCs w:val="20"/>
        </w:rPr>
        <w:t xml:space="preserve">          </w:t>
      </w:r>
      <w:r w:rsidRPr="002364FE">
        <w:rPr>
          <w:noProof/>
          <w:sz w:val="20"/>
          <w:szCs w:val="20"/>
        </w:rPr>
        <w:t>Fonte: Elaboração Própria</w:t>
      </w:r>
    </w:p>
    <w:p w14:paraId="0832D9DE" w14:textId="77777777" w:rsidR="002364FE" w:rsidRDefault="002364FE" w:rsidP="002364FE">
      <w:pPr>
        <w:widowControl w:val="0"/>
        <w:autoSpaceDE w:val="0"/>
        <w:autoSpaceDN w:val="0"/>
        <w:adjustRightInd w:val="0"/>
        <w:rPr>
          <w:b/>
          <w:smallCaps/>
        </w:rPr>
      </w:pPr>
    </w:p>
    <w:p w14:paraId="081B197B" w14:textId="698D236C" w:rsidR="00732193" w:rsidRPr="000C0613" w:rsidRDefault="00732193" w:rsidP="00732193">
      <w:pPr>
        <w:keepNext/>
        <w:keepLines/>
        <w:spacing w:line="360" w:lineRule="auto"/>
        <w:jc w:val="center"/>
      </w:pPr>
      <w:r w:rsidRPr="00020E3B">
        <w:t xml:space="preserve">Gráfico </w:t>
      </w:r>
      <w:r w:rsidR="007B1145">
        <w:t>C</w:t>
      </w:r>
      <w:r w:rsidRPr="00020E3B">
        <w:t>4</w:t>
      </w:r>
      <w:r w:rsidR="001538E1">
        <w:t xml:space="preserve"> - MS</w:t>
      </w:r>
      <w:r>
        <w:t>PE pós/</w:t>
      </w:r>
      <w:proofErr w:type="spellStart"/>
      <w:r>
        <w:t>pré</w:t>
      </w:r>
      <w:proofErr w:type="spellEnd"/>
      <w:r>
        <w:t>-</w:t>
      </w:r>
      <w:r w:rsidRPr="000C0613">
        <w:t>intervenção</w:t>
      </w:r>
    </w:p>
    <w:p w14:paraId="79128457" w14:textId="77777777" w:rsidR="00E66296" w:rsidRDefault="00E66296" w:rsidP="001C734F">
      <w:pPr>
        <w:widowControl w:val="0"/>
        <w:autoSpaceDE w:val="0"/>
        <w:autoSpaceDN w:val="0"/>
        <w:adjustRightInd w:val="0"/>
        <w:rPr>
          <w:b/>
          <w:smallCaps/>
        </w:rPr>
      </w:pPr>
    </w:p>
    <w:p w14:paraId="4E1A5288" w14:textId="785A43E5" w:rsidR="00E66296" w:rsidRDefault="00A425AB" w:rsidP="002364FE">
      <w:pPr>
        <w:widowControl w:val="0"/>
        <w:autoSpaceDE w:val="0"/>
        <w:autoSpaceDN w:val="0"/>
        <w:adjustRightInd w:val="0"/>
        <w:rPr>
          <w:b/>
          <w:smallCaps/>
        </w:rPr>
      </w:pPr>
      <w:r>
        <w:rPr>
          <w:b/>
          <w:smallCaps/>
          <w:noProof/>
        </w:rPr>
        <w:drawing>
          <wp:inline distT="0" distB="0" distL="0" distR="0" wp14:anchorId="39EB998F" wp14:editId="7BD5CF50">
            <wp:extent cx="5400040" cy="3253105"/>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4.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253105"/>
                    </a:xfrm>
                    <a:prstGeom prst="rect">
                      <a:avLst/>
                    </a:prstGeom>
                  </pic:spPr>
                </pic:pic>
              </a:graphicData>
            </a:graphic>
          </wp:inline>
        </w:drawing>
      </w:r>
    </w:p>
    <w:p w14:paraId="0E62C0FE" w14:textId="34E2289E" w:rsidR="00E66296" w:rsidRDefault="002364FE" w:rsidP="002364FE">
      <w:pPr>
        <w:widowControl w:val="0"/>
        <w:autoSpaceDE w:val="0"/>
        <w:autoSpaceDN w:val="0"/>
        <w:adjustRightInd w:val="0"/>
        <w:rPr>
          <w:noProof/>
          <w:sz w:val="20"/>
          <w:szCs w:val="20"/>
        </w:rPr>
      </w:pPr>
      <w:r>
        <w:rPr>
          <w:noProof/>
          <w:sz w:val="20"/>
          <w:szCs w:val="20"/>
        </w:rPr>
        <w:t xml:space="preserve">             </w:t>
      </w:r>
      <w:r w:rsidRPr="002364FE">
        <w:rPr>
          <w:noProof/>
          <w:sz w:val="20"/>
          <w:szCs w:val="20"/>
        </w:rPr>
        <w:t>Fonte: Elaboração Própria</w:t>
      </w:r>
    </w:p>
    <w:p w14:paraId="0B892296" w14:textId="77777777" w:rsidR="002364FE" w:rsidRDefault="002364FE" w:rsidP="001C734F">
      <w:pPr>
        <w:widowControl w:val="0"/>
        <w:autoSpaceDE w:val="0"/>
        <w:autoSpaceDN w:val="0"/>
        <w:adjustRightInd w:val="0"/>
        <w:rPr>
          <w:b/>
          <w:smallCaps/>
        </w:rPr>
      </w:pPr>
    </w:p>
    <w:p w14:paraId="35FBC355" w14:textId="2E5530C2" w:rsidR="00082A36" w:rsidRDefault="002C602A" w:rsidP="00B8609A">
      <w:pPr>
        <w:widowControl w:val="0"/>
        <w:autoSpaceDE w:val="0"/>
        <w:autoSpaceDN w:val="0"/>
        <w:adjustRightInd w:val="0"/>
        <w:jc w:val="both"/>
        <w:rPr>
          <w:b/>
          <w:smallCaps/>
        </w:rPr>
      </w:pPr>
      <w:r w:rsidRPr="002C602A">
        <w:rPr>
          <w:b/>
        </w:rPr>
        <w:t>Observação:</w:t>
      </w:r>
      <w:r w:rsidRPr="002C602A">
        <w:t xml:space="preserve"> Embora o modelo possa ser aplicado com alguns dados faltantes, a variável de interesse do modelo não poderá conter valores não disponíveis no período </w:t>
      </w:r>
      <w:proofErr w:type="spellStart"/>
      <w:r w:rsidRPr="002C602A">
        <w:t>pr</w:t>
      </w:r>
      <w:r>
        <w:t>é</w:t>
      </w:r>
      <w:proofErr w:type="spellEnd"/>
      <w:r>
        <w:t>-</w:t>
      </w:r>
      <w:r w:rsidRPr="002C602A">
        <w:t xml:space="preserve">intervenção. </w:t>
      </w:r>
      <w:r w:rsidR="000E17DF">
        <w:t>Em virtude disso, utilizou-se uma imputação de médias nos valores não disponíveis em alguns países.</w:t>
      </w:r>
    </w:p>
    <w:sectPr w:rsidR="00082A36" w:rsidSect="009156FC">
      <w:headerReference w:type="default" r:id="rId29"/>
      <w:footerReference w:type="default" r:id="rId30"/>
      <w:pgSz w:w="11906" w:h="16838"/>
      <w:pgMar w:top="1417" w:right="1701" w:bottom="1417" w:left="1701" w:header="708" w:footer="708"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A40EC9" w15:done="0"/>
  <w15:commentEx w15:paraId="0D913756" w15:done="0"/>
  <w15:commentEx w15:paraId="10267EB9" w15:done="0"/>
  <w15:commentEx w15:paraId="50306DB0" w15:done="0"/>
  <w15:commentEx w15:paraId="34173CB8" w15:done="0"/>
  <w15:commentEx w15:paraId="60AF9D52" w15:done="0"/>
  <w15:commentEx w15:paraId="7A1E954B" w15:done="0"/>
  <w15:commentEx w15:paraId="28A145EF" w15:done="0"/>
  <w15:commentEx w15:paraId="0B7C2DB8" w15:done="0"/>
  <w15:commentEx w15:paraId="49A85B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3E86" w16cex:dateUtc="2020-09-28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A40EC9" w16cid:durableId="23217D76"/>
  <w16cid:commentId w16cid:paraId="0D913756" w16cid:durableId="23217D77"/>
  <w16cid:commentId w16cid:paraId="10267EB9" w16cid:durableId="231C3E86"/>
  <w16cid:commentId w16cid:paraId="50306DB0" w16cid:durableId="23217D79"/>
  <w16cid:commentId w16cid:paraId="34173CB8" w16cid:durableId="23217D7A"/>
  <w16cid:commentId w16cid:paraId="60AF9D52" w16cid:durableId="23217D7B"/>
  <w16cid:commentId w16cid:paraId="7A1E954B" w16cid:durableId="23217D7C"/>
  <w16cid:commentId w16cid:paraId="28A145EF" w16cid:durableId="23217D7D"/>
  <w16cid:commentId w16cid:paraId="0B7C2DB8" w16cid:durableId="23217D7E"/>
  <w16cid:commentId w16cid:paraId="49A85B01" w16cid:durableId="23217D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F5D01" w14:textId="77777777" w:rsidR="006B1E3D" w:rsidRDefault="006B1E3D" w:rsidP="008350D5">
      <w:r>
        <w:separator/>
      </w:r>
    </w:p>
  </w:endnote>
  <w:endnote w:type="continuationSeparator" w:id="0">
    <w:p w14:paraId="729CC6FA" w14:textId="77777777" w:rsidR="006B1E3D" w:rsidRDefault="006B1E3D" w:rsidP="0083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2FD98" w14:textId="77777777" w:rsidR="00B0029B" w:rsidRDefault="00B0029B" w:rsidP="0071425A">
    <w:pPr>
      <w:pStyle w:val="Rodap"/>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983050"/>
      <w:docPartObj>
        <w:docPartGallery w:val="Page Numbers (Bottom of Page)"/>
        <w:docPartUnique/>
      </w:docPartObj>
    </w:sdtPr>
    <w:sdtEndPr/>
    <w:sdtContent>
      <w:p w14:paraId="3C7588DD" w14:textId="77777777" w:rsidR="00B0029B" w:rsidRDefault="00B0029B">
        <w:pPr>
          <w:pStyle w:val="Rodap"/>
          <w:jc w:val="right"/>
        </w:pPr>
        <w:r>
          <w:fldChar w:fldCharType="begin"/>
        </w:r>
        <w:r>
          <w:instrText>PAGE   \* MERGEFORMAT</w:instrText>
        </w:r>
        <w:r>
          <w:fldChar w:fldCharType="separate"/>
        </w:r>
        <w:r w:rsidR="00B43A15">
          <w:rPr>
            <w:noProof/>
          </w:rPr>
          <w:t>27</w:t>
        </w:r>
        <w:r>
          <w:fldChar w:fldCharType="end"/>
        </w:r>
      </w:p>
    </w:sdtContent>
  </w:sdt>
  <w:p w14:paraId="041064EC" w14:textId="77777777" w:rsidR="00B0029B" w:rsidRDefault="00B0029B" w:rsidP="0071425A">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18D1A" w14:textId="77777777" w:rsidR="006B1E3D" w:rsidRDefault="006B1E3D" w:rsidP="008350D5">
      <w:r>
        <w:separator/>
      </w:r>
    </w:p>
  </w:footnote>
  <w:footnote w:type="continuationSeparator" w:id="0">
    <w:p w14:paraId="0E74C469" w14:textId="77777777" w:rsidR="006B1E3D" w:rsidRDefault="006B1E3D" w:rsidP="00835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1B925" w14:textId="77777777" w:rsidR="00B0029B" w:rsidRDefault="00B0029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419F"/>
    <w:multiLevelType w:val="multilevel"/>
    <w:tmpl w:val="D81E9A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544739B"/>
    <w:multiLevelType w:val="hybridMultilevel"/>
    <w:tmpl w:val="AC220D40"/>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20644352"/>
    <w:multiLevelType w:val="hybridMultilevel"/>
    <w:tmpl w:val="B4A6E3C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3341AB"/>
    <w:multiLevelType w:val="hybridMultilevel"/>
    <w:tmpl w:val="F93E733C"/>
    <w:lvl w:ilvl="0" w:tplc="88B065E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483B10"/>
    <w:multiLevelType w:val="hybridMultilevel"/>
    <w:tmpl w:val="402E7564"/>
    <w:lvl w:ilvl="0" w:tplc="04160017">
      <w:start w:val="1"/>
      <w:numFmt w:val="lowerLetter"/>
      <w:lvlText w:val="%1)"/>
      <w:lvlJc w:val="left"/>
      <w:pPr>
        <w:ind w:left="1628" w:hanging="360"/>
      </w:pPr>
    </w:lvl>
    <w:lvl w:ilvl="1" w:tplc="04160019" w:tentative="1">
      <w:start w:val="1"/>
      <w:numFmt w:val="lowerLetter"/>
      <w:lvlText w:val="%2."/>
      <w:lvlJc w:val="left"/>
      <w:pPr>
        <w:ind w:left="2348" w:hanging="360"/>
      </w:pPr>
    </w:lvl>
    <w:lvl w:ilvl="2" w:tplc="0416001B" w:tentative="1">
      <w:start w:val="1"/>
      <w:numFmt w:val="lowerRoman"/>
      <w:lvlText w:val="%3."/>
      <w:lvlJc w:val="right"/>
      <w:pPr>
        <w:ind w:left="3068" w:hanging="180"/>
      </w:pPr>
    </w:lvl>
    <w:lvl w:ilvl="3" w:tplc="0416000F" w:tentative="1">
      <w:start w:val="1"/>
      <w:numFmt w:val="decimal"/>
      <w:lvlText w:val="%4."/>
      <w:lvlJc w:val="left"/>
      <w:pPr>
        <w:ind w:left="3788" w:hanging="360"/>
      </w:pPr>
    </w:lvl>
    <w:lvl w:ilvl="4" w:tplc="04160019" w:tentative="1">
      <w:start w:val="1"/>
      <w:numFmt w:val="lowerLetter"/>
      <w:lvlText w:val="%5."/>
      <w:lvlJc w:val="left"/>
      <w:pPr>
        <w:ind w:left="4508" w:hanging="360"/>
      </w:pPr>
    </w:lvl>
    <w:lvl w:ilvl="5" w:tplc="0416001B" w:tentative="1">
      <w:start w:val="1"/>
      <w:numFmt w:val="lowerRoman"/>
      <w:lvlText w:val="%6."/>
      <w:lvlJc w:val="right"/>
      <w:pPr>
        <w:ind w:left="5228" w:hanging="180"/>
      </w:pPr>
    </w:lvl>
    <w:lvl w:ilvl="6" w:tplc="0416000F" w:tentative="1">
      <w:start w:val="1"/>
      <w:numFmt w:val="decimal"/>
      <w:lvlText w:val="%7."/>
      <w:lvlJc w:val="left"/>
      <w:pPr>
        <w:ind w:left="5948" w:hanging="360"/>
      </w:pPr>
    </w:lvl>
    <w:lvl w:ilvl="7" w:tplc="04160019" w:tentative="1">
      <w:start w:val="1"/>
      <w:numFmt w:val="lowerLetter"/>
      <w:lvlText w:val="%8."/>
      <w:lvlJc w:val="left"/>
      <w:pPr>
        <w:ind w:left="6668" w:hanging="360"/>
      </w:pPr>
    </w:lvl>
    <w:lvl w:ilvl="8" w:tplc="0416001B" w:tentative="1">
      <w:start w:val="1"/>
      <w:numFmt w:val="lowerRoman"/>
      <w:lvlText w:val="%9."/>
      <w:lvlJc w:val="right"/>
      <w:pPr>
        <w:ind w:left="7388" w:hanging="180"/>
      </w:pPr>
    </w:lvl>
  </w:abstractNum>
  <w:abstractNum w:abstractNumId="5">
    <w:nsid w:val="3B235F0A"/>
    <w:multiLevelType w:val="multilevel"/>
    <w:tmpl w:val="9EB885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0CE6C5B"/>
    <w:multiLevelType w:val="hybridMultilevel"/>
    <w:tmpl w:val="EE141F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EA97E05"/>
    <w:multiLevelType w:val="hybridMultilevel"/>
    <w:tmpl w:val="CF908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0F809CB"/>
    <w:multiLevelType w:val="multilevel"/>
    <w:tmpl w:val="58AE9F06"/>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57906676"/>
    <w:multiLevelType w:val="hybridMultilevel"/>
    <w:tmpl w:val="3844EBA2"/>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nsid w:val="5B5221F5"/>
    <w:multiLevelType w:val="multilevel"/>
    <w:tmpl w:val="F42CFE2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41E0F9B"/>
    <w:multiLevelType w:val="hybridMultilevel"/>
    <w:tmpl w:val="B90C734C"/>
    <w:lvl w:ilvl="0" w:tplc="8B34E08E">
      <w:start w:val="1"/>
      <w:numFmt w:val="bullet"/>
      <w:lvlText w:val="•"/>
      <w:lvlJc w:val="left"/>
      <w:pPr>
        <w:tabs>
          <w:tab w:val="num" w:pos="720"/>
        </w:tabs>
        <w:ind w:left="720" w:hanging="360"/>
      </w:pPr>
      <w:rPr>
        <w:rFonts w:ascii="Times New Roman" w:hAnsi="Times New Roman" w:hint="default"/>
      </w:rPr>
    </w:lvl>
    <w:lvl w:ilvl="1" w:tplc="4754CC1C" w:tentative="1">
      <w:start w:val="1"/>
      <w:numFmt w:val="bullet"/>
      <w:lvlText w:val="•"/>
      <w:lvlJc w:val="left"/>
      <w:pPr>
        <w:tabs>
          <w:tab w:val="num" w:pos="1440"/>
        </w:tabs>
        <w:ind w:left="1440" w:hanging="360"/>
      </w:pPr>
      <w:rPr>
        <w:rFonts w:ascii="Times New Roman" w:hAnsi="Times New Roman" w:hint="default"/>
      </w:rPr>
    </w:lvl>
    <w:lvl w:ilvl="2" w:tplc="C92E9A92" w:tentative="1">
      <w:start w:val="1"/>
      <w:numFmt w:val="bullet"/>
      <w:lvlText w:val="•"/>
      <w:lvlJc w:val="left"/>
      <w:pPr>
        <w:tabs>
          <w:tab w:val="num" w:pos="2160"/>
        </w:tabs>
        <w:ind w:left="2160" w:hanging="360"/>
      </w:pPr>
      <w:rPr>
        <w:rFonts w:ascii="Times New Roman" w:hAnsi="Times New Roman" w:hint="default"/>
      </w:rPr>
    </w:lvl>
    <w:lvl w:ilvl="3" w:tplc="3EA83D1A" w:tentative="1">
      <w:start w:val="1"/>
      <w:numFmt w:val="bullet"/>
      <w:lvlText w:val="•"/>
      <w:lvlJc w:val="left"/>
      <w:pPr>
        <w:tabs>
          <w:tab w:val="num" w:pos="2880"/>
        </w:tabs>
        <w:ind w:left="2880" w:hanging="360"/>
      </w:pPr>
      <w:rPr>
        <w:rFonts w:ascii="Times New Roman" w:hAnsi="Times New Roman" w:hint="default"/>
      </w:rPr>
    </w:lvl>
    <w:lvl w:ilvl="4" w:tplc="6D48CEDC" w:tentative="1">
      <w:start w:val="1"/>
      <w:numFmt w:val="bullet"/>
      <w:lvlText w:val="•"/>
      <w:lvlJc w:val="left"/>
      <w:pPr>
        <w:tabs>
          <w:tab w:val="num" w:pos="3600"/>
        </w:tabs>
        <w:ind w:left="3600" w:hanging="360"/>
      </w:pPr>
      <w:rPr>
        <w:rFonts w:ascii="Times New Roman" w:hAnsi="Times New Roman" w:hint="default"/>
      </w:rPr>
    </w:lvl>
    <w:lvl w:ilvl="5" w:tplc="85DA9CCE" w:tentative="1">
      <w:start w:val="1"/>
      <w:numFmt w:val="bullet"/>
      <w:lvlText w:val="•"/>
      <w:lvlJc w:val="left"/>
      <w:pPr>
        <w:tabs>
          <w:tab w:val="num" w:pos="4320"/>
        </w:tabs>
        <w:ind w:left="4320" w:hanging="360"/>
      </w:pPr>
      <w:rPr>
        <w:rFonts w:ascii="Times New Roman" w:hAnsi="Times New Roman" w:hint="default"/>
      </w:rPr>
    </w:lvl>
    <w:lvl w:ilvl="6" w:tplc="0DC82C0A" w:tentative="1">
      <w:start w:val="1"/>
      <w:numFmt w:val="bullet"/>
      <w:lvlText w:val="•"/>
      <w:lvlJc w:val="left"/>
      <w:pPr>
        <w:tabs>
          <w:tab w:val="num" w:pos="5040"/>
        </w:tabs>
        <w:ind w:left="5040" w:hanging="360"/>
      </w:pPr>
      <w:rPr>
        <w:rFonts w:ascii="Times New Roman" w:hAnsi="Times New Roman" w:hint="default"/>
      </w:rPr>
    </w:lvl>
    <w:lvl w:ilvl="7" w:tplc="C9A8BE7A" w:tentative="1">
      <w:start w:val="1"/>
      <w:numFmt w:val="bullet"/>
      <w:lvlText w:val="•"/>
      <w:lvlJc w:val="left"/>
      <w:pPr>
        <w:tabs>
          <w:tab w:val="num" w:pos="5760"/>
        </w:tabs>
        <w:ind w:left="5760" w:hanging="360"/>
      </w:pPr>
      <w:rPr>
        <w:rFonts w:ascii="Times New Roman" w:hAnsi="Times New Roman" w:hint="default"/>
      </w:rPr>
    </w:lvl>
    <w:lvl w:ilvl="8" w:tplc="FB28C2E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0C33321"/>
    <w:multiLevelType w:val="hybridMultilevel"/>
    <w:tmpl w:val="6AC818D8"/>
    <w:lvl w:ilvl="0" w:tplc="04160017">
      <w:start w:val="1"/>
      <w:numFmt w:val="lowerLetter"/>
      <w:lvlText w:val="%1)"/>
      <w:lvlJc w:val="left"/>
      <w:pPr>
        <w:ind w:left="1440" w:hanging="360"/>
      </w:pPr>
      <w:rPr>
        <w:rFont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2"/>
  </w:num>
  <w:num w:numId="4">
    <w:abstractNumId w:val="2"/>
  </w:num>
  <w:num w:numId="5">
    <w:abstractNumId w:val="3"/>
  </w:num>
  <w:num w:numId="6">
    <w:abstractNumId w:val="5"/>
  </w:num>
  <w:num w:numId="7">
    <w:abstractNumId w:val="1"/>
  </w:num>
  <w:num w:numId="8">
    <w:abstractNumId w:val="10"/>
  </w:num>
  <w:num w:numId="9">
    <w:abstractNumId w:val="11"/>
  </w:num>
  <w:num w:numId="10">
    <w:abstractNumId w:val="4"/>
  </w:num>
  <w:num w:numId="11">
    <w:abstractNumId w:val="9"/>
  </w:num>
  <w:num w:numId="12">
    <w:abstractNumId w:val="8"/>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onardo Monasterio">
    <w15:presenceInfo w15:providerId="Windows Live" w15:userId="c63c5429e171b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A54"/>
    <w:rsid w:val="00000BFA"/>
    <w:rsid w:val="00001D22"/>
    <w:rsid w:val="000064B7"/>
    <w:rsid w:val="0001162C"/>
    <w:rsid w:val="000179A9"/>
    <w:rsid w:val="00020BC8"/>
    <w:rsid w:val="00020E3B"/>
    <w:rsid w:val="0002327B"/>
    <w:rsid w:val="0003326F"/>
    <w:rsid w:val="00034DE7"/>
    <w:rsid w:val="00041A54"/>
    <w:rsid w:val="00043848"/>
    <w:rsid w:val="00052606"/>
    <w:rsid w:val="00057B25"/>
    <w:rsid w:val="000638D4"/>
    <w:rsid w:val="000643D5"/>
    <w:rsid w:val="00064837"/>
    <w:rsid w:val="00064F84"/>
    <w:rsid w:val="000676F4"/>
    <w:rsid w:val="00071BCA"/>
    <w:rsid w:val="00081688"/>
    <w:rsid w:val="00081BB4"/>
    <w:rsid w:val="00082A36"/>
    <w:rsid w:val="000873CB"/>
    <w:rsid w:val="00091CA6"/>
    <w:rsid w:val="000949AA"/>
    <w:rsid w:val="00094AF5"/>
    <w:rsid w:val="000A57F9"/>
    <w:rsid w:val="000B01C6"/>
    <w:rsid w:val="000B042C"/>
    <w:rsid w:val="000B308A"/>
    <w:rsid w:val="000B46E3"/>
    <w:rsid w:val="000C0613"/>
    <w:rsid w:val="000C216F"/>
    <w:rsid w:val="000C2ED8"/>
    <w:rsid w:val="000D11D6"/>
    <w:rsid w:val="000D2DAF"/>
    <w:rsid w:val="000D30E9"/>
    <w:rsid w:val="000D3272"/>
    <w:rsid w:val="000D5630"/>
    <w:rsid w:val="000D685B"/>
    <w:rsid w:val="000D6AD7"/>
    <w:rsid w:val="000E1428"/>
    <w:rsid w:val="000E17DF"/>
    <w:rsid w:val="000E7DF7"/>
    <w:rsid w:val="000F068E"/>
    <w:rsid w:val="000F0B09"/>
    <w:rsid w:val="00107B5C"/>
    <w:rsid w:val="00113B7D"/>
    <w:rsid w:val="00114984"/>
    <w:rsid w:val="00116B0B"/>
    <w:rsid w:val="001227E6"/>
    <w:rsid w:val="001241E3"/>
    <w:rsid w:val="00125289"/>
    <w:rsid w:val="001253A6"/>
    <w:rsid w:val="0012684B"/>
    <w:rsid w:val="00130C82"/>
    <w:rsid w:val="00134E9E"/>
    <w:rsid w:val="00146978"/>
    <w:rsid w:val="00150702"/>
    <w:rsid w:val="00151CF8"/>
    <w:rsid w:val="001524FE"/>
    <w:rsid w:val="00152D7E"/>
    <w:rsid w:val="001538E1"/>
    <w:rsid w:val="00153F41"/>
    <w:rsid w:val="00155A06"/>
    <w:rsid w:val="00157518"/>
    <w:rsid w:val="00160125"/>
    <w:rsid w:val="0016215B"/>
    <w:rsid w:val="0016786B"/>
    <w:rsid w:val="00170CF5"/>
    <w:rsid w:val="001740B9"/>
    <w:rsid w:val="001744FF"/>
    <w:rsid w:val="00180998"/>
    <w:rsid w:val="00180FBD"/>
    <w:rsid w:val="001914AF"/>
    <w:rsid w:val="00192D4E"/>
    <w:rsid w:val="001932D4"/>
    <w:rsid w:val="0019687E"/>
    <w:rsid w:val="00196C73"/>
    <w:rsid w:val="00197255"/>
    <w:rsid w:val="001A3167"/>
    <w:rsid w:val="001B20E4"/>
    <w:rsid w:val="001B3398"/>
    <w:rsid w:val="001B4209"/>
    <w:rsid w:val="001B72F2"/>
    <w:rsid w:val="001C031A"/>
    <w:rsid w:val="001C734F"/>
    <w:rsid w:val="001C78CB"/>
    <w:rsid w:val="001D22D7"/>
    <w:rsid w:val="001D2ACC"/>
    <w:rsid w:val="001D5C71"/>
    <w:rsid w:val="001E0C06"/>
    <w:rsid w:val="001E1E62"/>
    <w:rsid w:val="001E5CB1"/>
    <w:rsid w:val="001F0EC2"/>
    <w:rsid w:val="001F2D22"/>
    <w:rsid w:val="001F4CA6"/>
    <w:rsid w:val="001F7120"/>
    <w:rsid w:val="00203EBB"/>
    <w:rsid w:val="00211DFE"/>
    <w:rsid w:val="0021671A"/>
    <w:rsid w:val="00220967"/>
    <w:rsid w:val="00221FC9"/>
    <w:rsid w:val="00222165"/>
    <w:rsid w:val="00225832"/>
    <w:rsid w:val="00232F6C"/>
    <w:rsid w:val="0023310A"/>
    <w:rsid w:val="002361D8"/>
    <w:rsid w:val="002364FE"/>
    <w:rsid w:val="00236F61"/>
    <w:rsid w:val="0024002F"/>
    <w:rsid w:val="002418C2"/>
    <w:rsid w:val="00241D7D"/>
    <w:rsid w:val="002428A2"/>
    <w:rsid w:val="002447FF"/>
    <w:rsid w:val="002452A5"/>
    <w:rsid w:val="00251F6D"/>
    <w:rsid w:val="00251FF0"/>
    <w:rsid w:val="00266B66"/>
    <w:rsid w:val="00271296"/>
    <w:rsid w:val="00274BB0"/>
    <w:rsid w:val="00274D71"/>
    <w:rsid w:val="00276272"/>
    <w:rsid w:val="0028539A"/>
    <w:rsid w:val="00285DE9"/>
    <w:rsid w:val="00290949"/>
    <w:rsid w:val="002A349E"/>
    <w:rsid w:val="002A36D7"/>
    <w:rsid w:val="002A4ADF"/>
    <w:rsid w:val="002B58E2"/>
    <w:rsid w:val="002C309C"/>
    <w:rsid w:val="002C442C"/>
    <w:rsid w:val="002C602A"/>
    <w:rsid w:val="002C66B7"/>
    <w:rsid w:val="002D01CD"/>
    <w:rsid w:val="002D2427"/>
    <w:rsid w:val="002D5B25"/>
    <w:rsid w:val="002E1E54"/>
    <w:rsid w:val="002E2147"/>
    <w:rsid w:val="002E2A91"/>
    <w:rsid w:val="002E2E40"/>
    <w:rsid w:val="002F0180"/>
    <w:rsid w:val="002F2111"/>
    <w:rsid w:val="002F4220"/>
    <w:rsid w:val="002F45B4"/>
    <w:rsid w:val="003037B8"/>
    <w:rsid w:val="0031285B"/>
    <w:rsid w:val="00316882"/>
    <w:rsid w:val="0031698E"/>
    <w:rsid w:val="003276D4"/>
    <w:rsid w:val="0033290C"/>
    <w:rsid w:val="00332B6C"/>
    <w:rsid w:val="00335E72"/>
    <w:rsid w:val="00340693"/>
    <w:rsid w:val="00340F6B"/>
    <w:rsid w:val="00341FEE"/>
    <w:rsid w:val="00342D28"/>
    <w:rsid w:val="00343927"/>
    <w:rsid w:val="0034596F"/>
    <w:rsid w:val="0034629C"/>
    <w:rsid w:val="003467D2"/>
    <w:rsid w:val="00346D6F"/>
    <w:rsid w:val="00347FBC"/>
    <w:rsid w:val="00353375"/>
    <w:rsid w:val="003542ED"/>
    <w:rsid w:val="003542F9"/>
    <w:rsid w:val="003548C9"/>
    <w:rsid w:val="003572CB"/>
    <w:rsid w:val="00363624"/>
    <w:rsid w:val="0036470B"/>
    <w:rsid w:val="00366306"/>
    <w:rsid w:val="00367361"/>
    <w:rsid w:val="003842BA"/>
    <w:rsid w:val="00384F18"/>
    <w:rsid w:val="00386542"/>
    <w:rsid w:val="0039383D"/>
    <w:rsid w:val="003A102F"/>
    <w:rsid w:val="003A1BA7"/>
    <w:rsid w:val="003A403C"/>
    <w:rsid w:val="003A6084"/>
    <w:rsid w:val="003B0253"/>
    <w:rsid w:val="003B0862"/>
    <w:rsid w:val="003B26D5"/>
    <w:rsid w:val="003C2E88"/>
    <w:rsid w:val="003C2EB2"/>
    <w:rsid w:val="003C41E2"/>
    <w:rsid w:val="003C7E62"/>
    <w:rsid w:val="003D01F2"/>
    <w:rsid w:val="003D0312"/>
    <w:rsid w:val="003D1886"/>
    <w:rsid w:val="003D1DA4"/>
    <w:rsid w:val="003D1F2C"/>
    <w:rsid w:val="003D22E7"/>
    <w:rsid w:val="003D24C5"/>
    <w:rsid w:val="003D27D7"/>
    <w:rsid w:val="003D3790"/>
    <w:rsid w:val="003D52E8"/>
    <w:rsid w:val="003D6582"/>
    <w:rsid w:val="003D68D4"/>
    <w:rsid w:val="003E266D"/>
    <w:rsid w:val="003E33DE"/>
    <w:rsid w:val="003E53A9"/>
    <w:rsid w:val="003F0923"/>
    <w:rsid w:val="003F4AFC"/>
    <w:rsid w:val="0040249B"/>
    <w:rsid w:val="004035E8"/>
    <w:rsid w:val="00410301"/>
    <w:rsid w:val="0041156F"/>
    <w:rsid w:val="00416DFF"/>
    <w:rsid w:val="00426964"/>
    <w:rsid w:val="0042731C"/>
    <w:rsid w:val="004306B9"/>
    <w:rsid w:val="00433B9E"/>
    <w:rsid w:val="0043782D"/>
    <w:rsid w:val="00444D65"/>
    <w:rsid w:val="00450D6A"/>
    <w:rsid w:val="00451598"/>
    <w:rsid w:val="00453AE2"/>
    <w:rsid w:val="00455066"/>
    <w:rsid w:val="00457B52"/>
    <w:rsid w:val="00460844"/>
    <w:rsid w:val="00462B2E"/>
    <w:rsid w:val="00462B60"/>
    <w:rsid w:val="00464561"/>
    <w:rsid w:val="00466F0D"/>
    <w:rsid w:val="004701A5"/>
    <w:rsid w:val="0047119F"/>
    <w:rsid w:val="00472C85"/>
    <w:rsid w:val="00475C20"/>
    <w:rsid w:val="00477019"/>
    <w:rsid w:val="00486B70"/>
    <w:rsid w:val="00487C04"/>
    <w:rsid w:val="00490E59"/>
    <w:rsid w:val="00492AC4"/>
    <w:rsid w:val="00492FEE"/>
    <w:rsid w:val="004932EC"/>
    <w:rsid w:val="004965C7"/>
    <w:rsid w:val="00497740"/>
    <w:rsid w:val="004A0C7C"/>
    <w:rsid w:val="004A2475"/>
    <w:rsid w:val="004A5094"/>
    <w:rsid w:val="004A5813"/>
    <w:rsid w:val="004A665C"/>
    <w:rsid w:val="004B0117"/>
    <w:rsid w:val="004B1762"/>
    <w:rsid w:val="004B234F"/>
    <w:rsid w:val="004B3209"/>
    <w:rsid w:val="004B3838"/>
    <w:rsid w:val="004B6298"/>
    <w:rsid w:val="004B76AA"/>
    <w:rsid w:val="004B7918"/>
    <w:rsid w:val="004C0BA0"/>
    <w:rsid w:val="004C4D86"/>
    <w:rsid w:val="004D225C"/>
    <w:rsid w:val="004D32E4"/>
    <w:rsid w:val="004D3CF1"/>
    <w:rsid w:val="004D411E"/>
    <w:rsid w:val="004D588A"/>
    <w:rsid w:val="004D5A00"/>
    <w:rsid w:val="004D5E21"/>
    <w:rsid w:val="004D5F72"/>
    <w:rsid w:val="004E50BC"/>
    <w:rsid w:val="004E53B6"/>
    <w:rsid w:val="004E7E51"/>
    <w:rsid w:val="004F4025"/>
    <w:rsid w:val="004F6C23"/>
    <w:rsid w:val="00501683"/>
    <w:rsid w:val="005065C9"/>
    <w:rsid w:val="0051140E"/>
    <w:rsid w:val="00512A7D"/>
    <w:rsid w:val="00514456"/>
    <w:rsid w:val="00516343"/>
    <w:rsid w:val="005240AF"/>
    <w:rsid w:val="0052776E"/>
    <w:rsid w:val="00527B1B"/>
    <w:rsid w:val="00531B2B"/>
    <w:rsid w:val="005374A2"/>
    <w:rsid w:val="00537BBE"/>
    <w:rsid w:val="005402EF"/>
    <w:rsid w:val="0054477C"/>
    <w:rsid w:val="0055175D"/>
    <w:rsid w:val="0055338F"/>
    <w:rsid w:val="00554C11"/>
    <w:rsid w:val="005658AE"/>
    <w:rsid w:val="0056742B"/>
    <w:rsid w:val="00567776"/>
    <w:rsid w:val="00576F7B"/>
    <w:rsid w:val="005800BD"/>
    <w:rsid w:val="005803B3"/>
    <w:rsid w:val="0058201C"/>
    <w:rsid w:val="00582A6B"/>
    <w:rsid w:val="005857A4"/>
    <w:rsid w:val="00585CE8"/>
    <w:rsid w:val="00591DC5"/>
    <w:rsid w:val="00595D80"/>
    <w:rsid w:val="00595E49"/>
    <w:rsid w:val="0059696D"/>
    <w:rsid w:val="005A04A0"/>
    <w:rsid w:val="005A0A2E"/>
    <w:rsid w:val="005A2870"/>
    <w:rsid w:val="005C18B5"/>
    <w:rsid w:val="005C19C2"/>
    <w:rsid w:val="005C38AD"/>
    <w:rsid w:val="005C3CAA"/>
    <w:rsid w:val="005D0162"/>
    <w:rsid w:val="005D6176"/>
    <w:rsid w:val="005E1C74"/>
    <w:rsid w:val="005E5C69"/>
    <w:rsid w:val="005E7455"/>
    <w:rsid w:val="005F0E77"/>
    <w:rsid w:val="005F1B74"/>
    <w:rsid w:val="005F2FA9"/>
    <w:rsid w:val="005F4CD0"/>
    <w:rsid w:val="00600245"/>
    <w:rsid w:val="006004B0"/>
    <w:rsid w:val="00602D4E"/>
    <w:rsid w:val="00611AFA"/>
    <w:rsid w:val="00614649"/>
    <w:rsid w:val="006156EE"/>
    <w:rsid w:val="00615DEF"/>
    <w:rsid w:val="00615ED9"/>
    <w:rsid w:val="00616FA3"/>
    <w:rsid w:val="006172B1"/>
    <w:rsid w:val="006206C6"/>
    <w:rsid w:val="00623557"/>
    <w:rsid w:val="00626626"/>
    <w:rsid w:val="00626D71"/>
    <w:rsid w:val="00631973"/>
    <w:rsid w:val="00633820"/>
    <w:rsid w:val="006338F2"/>
    <w:rsid w:val="00644A06"/>
    <w:rsid w:val="00647EB3"/>
    <w:rsid w:val="0065067E"/>
    <w:rsid w:val="00651756"/>
    <w:rsid w:val="0065557F"/>
    <w:rsid w:val="00657311"/>
    <w:rsid w:val="00657D08"/>
    <w:rsid w:val="00660576"/>
    <w:rsid w:val="006721BB"/>
    <w:rsid w:val="00672FDB"/>
    <w:rsid w:val="00673D81"/>
    <w:rsid w:val="00675B17"/>
    <w:rsid w:val="00677070"/>
    <w:rsid w:val="00677598"/>
    <w:rsid w:val="006808BA"/>
    <w:rsid w:val="00680F44"/>
    <w:rsid w:val="00682251"/>
    <w:rsid w:val="006861D0"/>
    <w:rsid w:val="00686227"/>
    <w:rsid w:val="00686AD1"/>
    <w:rsid w:val="00692658"/>
    <w:rsid w:val="00693D44"/>
    <w:rsid w:val="00696C88"/>
    <w:rsid w:val="00697611"/>
    <w:rsid w:val="006A0DF5"/>
    <w:rsid w:val="006A4447"/>
    <w:rsid w:val="006B1E3D"/>
    <w:rsid w:val="006B3154"/>
    <w:rsid w:val="006C1857"/>
    <w:rsid w:val="006C4D46"/>
    <w:rsid w:val="006C580A"/>
    <w:rsid w:val="006C620B"/>
    <w:rsid w:val="006D1B91"/>
    <w:rsid w:val="006D5425"/>
    <w:rsid w:val="006E3CAE"/>
    <w:rsid w:val="006E5436"/>
    <w:rsid w:val="006F3444"/>
    <w:rsid w:val="006F3639"/>
    <w:rsid w:val="006F3ED8"/>
    <w:rsid w:val="006F676B"/>
    <w:rsid w:val="00700478"/>
    <w:rsid w:val="0070273E"/>
    <w:rsid w:val="00702A51"/>
    <w:rsid w:val="007069E9"/>
    <w:rsid w:val="0071425A"/>
    <w:rsid w:val="007227FB"/>
    <w:rsid w:val="00725F87"/>
    <w:rsid w:val="0073186F"/>
    <w:rsid w:val="00732193"/>
    <w:rsid w:val="00732363"/>
    <w:rsid w:val="00733187"/>
    <w:rsid w:val="007364FD"/>
    <w:rsid w:val="00736C74"/>
    <w:rsid w:val="00736E39"/>
    <w:rsid w:val="007402EC"/>
    <w:rsid w:val="00742920"/>
    <w:rsid w:val="00744399"/>
    <w:rsid w:val="00745EE0"/>
    <w:rsid w:val="00750308"/>
    <w:rsid w:val="00751403"/>
    <w:rsid w:val="007525FB"/>
    <w:rsid w:val="007601AC"/>
    <w:rsid w:val="00760E03"/>
    <w:rsid w:val="00761854"/>
    <w:rsid w:val="007637ED"/>
    <w:rsid w:val="00780B30"/>
    <w:rsid w:val="00783770"/>
    <w:rsid w:val="007873C5"/>
    <w:rsid w:val="00791147"/>
    <w:rsid w:val="00792ACD"/>
    <w:rsid w:val="0079423B"/>
    <w:rsid w:val="007952E3"/>
    <w:rsid w:val="007A3F17"/>
    <w:rsid w:val="007A6F7A"/>
    <w:rsid w:val="007A7A30"/>
    <w:rsid w:val="007B03EC"/>
    <w:rsid w:val="007B0C88"/>
    <w:rsid w:val="007B1145"/>
    <w:rsid w:val="007B4460"/>
    <w:rsid w:val="007B759B"/>
    <w:rsid w:val="007C2541"/>
    <w:rsid w:val="007C4519"/>
    <w:rsid w:val="007C4EE1"/>
    <w:rsid w:val="007C6FD8"/>
    <w:rsid w:val="007C7A39"/>
    <w:rsid w:val="007D19F1"/>
    <w:rsid w:val="007D46C1"/>
    <w:rsid w:val="007D5DB6"/>
    <w:rsid w:val="007D65E0"/>
    <w:rsid w:val="007D7548"/>
    <w:rsid w:val="007E2CEB"/>
    <w:rsid w:val="007E5B65"/>
    <w:rsid w:val="007E76DF"/>
    <w:rsid w:val="008019E2"/>
    <w:rsid w:val="00805048"/>
    <w:rsid w:val="008111D9"/>
    <w:rsid w:val="008122C3"/>
    <w:rsid w:val="00823A54"/>
    <w:rsid w:val="00826B0B"/>
    <w:rsid w:val="00827F0A"/>
    <w:rsid w:val="00832D6C"/>
    <w:rsid w:val="008330E7"/>
    <w:rsid w:val="00833A33"/>
    <w:rsid w:val="00834A5B"/>
    <w:rsid w:val="00835097"/>
    <w:rsid w:val="008350D5"/>
    <w:rsid w:val="008354A9"/>
    <w:rsid w:val="00837A47"/>
    <w:rsid w:val="00837ACC"/>
    <w:rsid w:val="00846E24"/>
    <w:rsid w:val="008476A6"/>
    <w:rsid w:val="008507A9"/>
    <w:rsid w:val="00851412"/>
    <w:rsid w:val="00852C0E"/>
    <w:rsid w:val="008633C2"/>
    <w:rsid w:val="00863560"/>
    <w:rsid w:val="00865026"/>
    <w:rsid w:val="008722EC"/>
    <w:rsid w:val="00876B7F"/>
    <w:rsid w:val="008806D0"/>
    <w:rsid w:val="00882CCB"/>
    <w:rsid w:val="00884DF5"/>
    <w:rsid w:val="008901F6"/>
    <w:rsid w:val="00890233"/>
    <w:rsid w:val="008902A5"/>
    <w:rsid w:val="008918B3"/>
    <w:rsid w:val="00892CB1"/>
    <w:rsid w:val="00892D8F"/>
    <w:rsid w:val="00894AA6"/>
    <w:rsid w:val="008A3056"/>
    <w:rsid w:val="008A4F44"/>
    <w:rsid w:val="008A5A1E"/>
    <w:rsid w:val="008B56AE"/>
    <w:rsid w:val="008C7A00"/>
    <w:rsid w:val="008D699B"/>
    <w:rsid w:val="008E04D5"/>
    <w:rsid w:val="008E1A54"/>
    <w:rsid w:val="008E3FB8"/>
    <w:rsid w:val="008F02B2"/>
    <w:rsid w:val="008F1913"/>
    <w:rsid w:val="008F4558"/>
    <w:rsid w:val="008F5FAE"/>
    <w:rsid w:val="00906B80"/>
    <w:rsid w:val="009136B9"/>
    <w:rsid w:val="009156FC"/>
    <w:rsid w:val="0091731D"/>
    <w:rsid w:val="00922905"/>
    <w:rsid w:val="00925443"/>
    <w:rsid w:val="009265B6"/>
    <w:rsid w:val="00931259"/>
    <w:rsid w:val="00932DA6"/>
    <w:rsid w:val="00933C4C"/>
    <w:rsid w:val="00933FBD"/>
    <w:rsid w:val="00934F34"/>
    <w:rsid w:val="009371F3"/>
    <w:rsid w:val="009373F2"/>
    <w:rsid w:val="0093761F"/>
    <w:rsid w:val="0094218E"/>
    <w:rsid w:val="009423FF"/>
    <w:rsid w:val="00943A69"/>
    <w:rsid w:val="00944B88"/>
    <w:rsid w:val="009453DB"/>
    <w:rsid w:val="00946C5F"/>
    <w:rsid w:val="00950868"/>
    <w:rsid w:val="00951810"/>
    <w:rsid w:val="00957A67"/>
    <w:rsid w:val="00962402"/>
    <w:rsid w:val="009633E9"/>
    <w:rsid w:val="00963746"/>
    <w:rsid w:val="00965CBE"/>
    <w:rsid w:val="009661BB"/>
    <w:rsid w:val="009703C8"/>
    <w:rsid w:val="0097736A"/>
    <w:rsid w:val="009811E9"/>
    <w:rsid w:val="00984030"/>
    <w:rsid w:val="009A4148"/>
    <w:rsid w:val="009A58A2"/>
    <w:rsid w:val="009A7613"/>
    <w:rsid w:val="009A7DF6"/>
    <w:rsid w:val="009B0738"/>
    <w:rsid w:val="009B3002"/>
    <w:rsid w:val="009D127B"/>
    <w:rsid w:val="009D3341"/>
    <w:rsid w:val="009D3D09"/>
    <w:rsid w:val="009D724D"/>
    <w:rsid w:val="009D7A4D"/>
    <w:rsid w:val="009E1CD3"/>
    <w:rsid w:val="009E1F43"/>
    <w:rsid w:val="009E3610"/>
    <w:rsid w:val="009E7B8F"/>
    <w:rsid w:val="009F00B7"/>
    <w:rsid w:val="00A06513"/>
    <w:rsid w:val="00A1184F"/>
    <w:rsid w:val="00A11EBA"/>
    <w:rsid w:val="00A11FF6"/>
    <w:rsid w:val="00A1650E"/>
    <w:rsid w:val="00A16746"/>
    <w:rsid w:val="00A171F6"/>
    <w:rsid w:val="00A24DE1"/>
    <w:rsid w:val="00A31A4C"/>
    <w:rsid w:val="00A365F3"/>
    <w:rsid w:val="00A36C98"/>
    <w:rsid w:val="00A425AB"/>
    <w:rsid w:val="00A430F9"/>
    <w:rsid w:val="00A4536D"/>
    <w:rsid w:val="00A47052"/>
    <w:rsid w:val="00A60200"/>
    <w:rsid w:val="00A61B09"/>
    <w:rsid w:val="00A62C2A"/>
    <w:rsid w:val="00A712AD"/>
    <w:rsid w:val="00A7226A"/>
    <w:rsid w:val="00A84333"/>
    <w:rsid w:val="00A86244"/>
    <w:rsid w:val="00A92130"/>
    <w:rsid w:val="00A93381"/>
    <w:rsid w:val="00A94CE7"/>
    <w:rsid w:val="00A956A9"/>
    <w:rsid w:val="00A97DF6"/>
    <w:rsid w:val="00AA20C1"/>
    <w:rsid w:val="00AA6FD6"/>
    <w:rsid w:val="00AB13BA"/>
    <w:rsid w:val="00AB3AEB"/>
    <w:rsid w:val="00AB541A"/>
    <w:rsid w:val="00AB6FDF"/>
    <w:rsid w:val="00AC0118"/>
    <w:rsid w:val="00AC2BD9"/>
    <w:rsid w:val="00AC333F"/>
    <w:rsid w:val="00AD05EE"/>
    <w:rsid w:val="00AE0298"/>
    <w:rsid w:val="00AE30AD"/>
    <w:rsid w:val="00AE4F88"/>
    <w:rsid w:val="00AE5464"/>
    <w:rsid w:val="00AF4701"/>
    <w:rsid w:val="00AF4840"/>
    <w:rsid w:val="00B0029B"/>
    <w:rsid w:val="00B0295D"/>
    <w:rsid w:val="00B0442B"/>
    <w:rsid w:val="00B07E49"/>
    <w:rsid w:val="00B10DF0"/>
    <w:rsid w:val="00B135B7"/>
    <w:rsid w:val="00B141AC"/>
    <w:rsid w:val="00B176AB"/>
    <w:rsid w:val="00B21005"/>
    <w:rsid w:val="00B2420F"/>
    <w:rsid w:val="00B25B79"/>
    <w:rsid w:val="00B2718C"/>
    <w:rsid w:val="00B3079E"/>
    <w:rsid w:val="00B403AF"/>
    <w:rsid w:val="00B40E76"/>
    <w:rsid w:val="00B43633"/>
    <w:rsid w:val="00B43A15"/>
    <w:rsid w:val="00B43BC3"/>
    <w:rsid w:val="00B50FE9"/>
    <w:rsid w:val="00B52F92"/>
    <w:rsid w:val="00B55CE2"/>
    <w:rsid w:val="00B63FCB"/>
    <w:rsid w:val="00B7336C"/>
    <w:rsid w:val="00B73634"/>
    <w:rsid w:val="00B841A2"/>
    <w:rsid w:val="00B84AE4"/>
    <w:rsid w:val="00B8609A"/>
    <w:rsid w:val="00B86752"/>
    <w:rsid w:val="00B97834"/>
    <w:rsid w:val="00BA112C"/>
    <w:rsid w:val="00BA116B"/>
    <w:rsid w:val="00BA2169"/>
    <w:rsid w:val="00BA356D"/>
    <w:rsid w:val="00BA4FA8"/>
    <w:rsid w:val="00BB16CD"/>
    <w:rsid w:val="00BB1ED2"/>
    <w:rsid w:val="00BB293A"/>
    <w:rsid w:val="00BB6BC4"/>
    <w:rsid w:val="00BC06F8"/>
    <w:rsid w:val="00BC2AB8"/>
    <w:rsid w:val="00BC3730"/>
    <w:rsid w:val="00BD2D8A"/>
    <w:rsid w:val="00BE19FC"/>
    <w:rsid w:val="00BE3A0D"/>
    <w:rsid w:val="00BE579F"/>
    <w:rsid w:val="00BF0752"/>
    <w:rsid w:val="00BF1F47"/>
    <w:rsid w:val="00BF2565"/>
    <w:rsid w:val="00BF673B"/>
    <w:rsid w:val="00BF7092"/>
    <w:rsid w:val="00BF7229"/>
    <w:rsid w:val="00C02D16"/>
    <w:rsid w:val="00C04C6F"/>
    <w:rsid w:val="00C06A9D"/>
    <w:rsid w:val="00C0723C"/>
    <w:rsid w:val="00C07D74"/>
    <w:rsid w:val="00C12017"/>
    <w:rsid w:val="00C15837"/>
    <w:rsid w:val="00C2008B"/>
    <w:rsid w:val="00C20997"/>
    <w:rsid w:val="00C22C2C"/>
    <w:rsid w:val="00C25817"/>
    <w:rsid w:val="00C322CE"/>
    <w:rsid w:val="00C36D7E"/>
    <w:rsid w:val="00C45409"/>
    <w:rsid w:val="00C51777"/>
    <w:rsid w:val="00C51EF1"/>
    <w:rsid w:val="00C52B65"/>
    <w:rsid w:val="00C5403F"/>
    <w:rsid w:val="00C55FA1"/>
    <w:rsid w:val="00C570E0"/>
    <w:rsid w:val="00C6027C"/>
    <w:rsid w:val="00C6061D"/>
    <w:rsid w:val="00C609C8"/>
    <w:rsid w:val="00C615D9"/>
    <w:rsid w:val="00C61DC2"/>
    <w:rsid w:val="00C62432"/>
    <w:rsid w:val="00C63699"/>
    <w:rsid w:val="00C6416F"/>
    <w:rsid w:val="00C643CD"/>
    <w:rsid w:val="00C71CD2"/>
    <w:rsid w:val="00C73564"/>
    <w:rsid w:val="00C75B5E"/>
    <w:rsid w:val="00C77C4E"/>
    <w:rsid w:val="00C80BC8"/>
    <w:rsid w:val="00C81CF8"/>
    <w:rsid w:val="00C82D6D"/>
    <w:rsid w:val="00C86828"/>
    <w:rsid w:val="00C87CDE"/>
    <w:rsid w:val="00C929C5"/>
    <w:rsid w:val="00C943B4"/>
    <w:rsid w:val="00C95D8C"/>
    <w:rsid w:val="00C96142"/>
    <w:rsid w:val="00CA12F9"/>
    <w:rsid w:val="00CA2EBD"/>
    <w:rsid w:val="00CA6464"/>
    <w:rsid w:val="00CB2C55"/>
    <w:rsid w:val="00CB4CD3"/>
    <w:rsid w:val="00CB5BBD"/>
    <w:rsid w:val="00CB734F"/>
    <w:rsid w:val="00CC6D7B"/>
    <w:rsid w:val="00CD29BE"/>
    <w:rsid w:val="00CD4A1E"/>
    <w:rsid w:val="00CD786E"/>
    <w:rsid w:val="00CE3EDD"/>
    <w:rsid w:val="00CE6C8B"/>
    <w:rsid w:val="00CE6CCF"/>
    <w:rsid w:val="00CE77DE"/>
    <w:rsid w:val="00CF1E25"/>
    <w:rsid w:val="00CF4D87"/>
    <w:rsid w:val="00CF4E4B"/>
    <w:rsid w:val="00CF516A"/>
    <w:rsid w:val="00CF5A40"/>
    <w:rsid w:val="00D012D6"/>
    <w:rsid w:val="00D04977"/>
    <w:rsid w:val="00D1269B"/>
    <w:rsid w:val="00D16F43"/>
    <w:rsid w:val="00D20C2A"/>
    <w:rsid w:val="00D268B5"/>
    <w:rsid w:val="00D34A4B"/>
    <w:rsid w:val="00D44AC5"/>
    <w:rsid w:val="00D47C89"/>
    <w:rsid w:val="00D50716"/>
    <w:rsid w:val="00D50AB7"/>
    <w:rsid w:val="00D51E39"/>
    <w:rsid w:val="00D6258B"/>
    <w:rsid w:val="00D635CC"/>
    <w:rsid w:val="00D64FCD"/>
    <w:rsid w:val="00D665AB"/>
    <w:rsid w:val="00D67FED"/>
    <w:rsid w:val="00D7203D"/>
    <w:rsid w:val="00D80371"/>
    <w:rsid w:val="00D8199B"/>
    <w:rsid w:val="00D874AC"/>
    <w:rsid w:val="00D87FF8"/>
    <w:rsid w:val="00D935BF"/>
    <w:rsid w:val="00D94EF7"/>
    <w:rsid w:val="00D96F9C"/>
    <w:rsid w:val="00DA03E0"/>
    <w:rsid w:val="00DA0FE0"/>
    <w:rsid w:val="00DA2626"/>
    <w:rsid w:val="00DA496B"/>
    <w:rsid w:val="00DA4A02"/>
    <w:rsid w:val="00DA5470"/>
    <w:rsid w:val="00DA5639"/>
    <w:rsid w:val="00DB31EF"/>
    <w:rsid w:val="00DB67D4"/>
    <w:rsid w:val="00DB68B1"/>
    <w:rsid w:val="00DC339C"/>
    <w:rsid w:val="00DC5475"/>
    <w:rsid w:val="00DC66D7"/>
    <w:rsid w:val="00DD1B4A"/>
    <w:rsid w:val="00DD34F6"/>
    <w:rsid w:val="00DD38B1"/>
    <w:rsid w:val="00DD4B28"/>
    <w:rsid w:val="00DE2213"/>
    <w:rsid w:val="00DE2235"/>
    <w:rsid w:val="00DE2FD6"/>
    <w:rsid w:val="00DE38EF"/>
    <w:rsid w:val="00DE5035"/>
    <w:rsid w:val="00DE7946"/>
    <w:rsid w:val="00DF622E"/>
    <w:rsid w:val="00DF65E0"/>
    <w:rsid w:val="00E01ADF"/>
    <w:rsid w:val="00E0297C"/>
    <w:rsid w:val="00E03979"/>
    <w:rsid w:val="00E03B1E"/>
    <w:rsid w:val="00E0477F"/>
    <w:rsid w:val="00E04906"/>
    <w:rsid w:val="00E04F9E"/>
    <w:rsid w:val="00E058AD"/>
    <w:rsid w:val="00E05D60"/>
    <w:rsid w:val="00E07742"/>
    <w:rsid w:val="00E14440"/>
    <w:rsid w:val="00E15F80"/>
    <w:rsid w:val="00E17BCA"/>
    <w:rsid w:val="00E217BC"/>
    <w:rsid w:val="00E219DD"/>
    <w:rsid w:val="00E30769"/>
    <w:rsid w:val="00E30E73"/>
    <w:rsid w:val="00E32890"/>
    <w:rsid w:val="00E33F13"/>
    <w:rsid w:val="00E34E96"/>
    <w:rsid w:val="00E43176"/>
    <w:rsid w:val="00E47CBE"/>
    <w:rsid w:val="00E47EAA"/>
    <w:rsid w:val="00E5029F"/>
    <w:rsid w:val="00E513FA"/>
    <w:rsid w:val="00E514D4"/>
    <w:rsid w:val="00E52F4A"/>
    <w:rsid w:val="00E55137"/>
    <w:rsid w:val="00E56585"/>
    <w:rsid w:val="00E571E2"/>
    <w:rsid w:val="00E57647"/>
    <w:rsid w:val="00E63CE3"/>
    <w:rsid w:val="00E650EE"/>
    <w:rsid w:val="00E66296"/>
    <w:rsid w:val="00E679B1"/>
    <w:rsid w:val="00E67BCD"/>
    <w:rsid w:val="00E700FF"/>
    <w:rsid w:val="00E70DBC"/>
    <w:rsid w:val="00E719DC"/>
    <w:rsid w:val="00E73394"/>
    <w:rsid w:val="00E801CE"/>
    <w:rsid w:val="00E834B2"/>
    <w:rsid w:val="00E8696B"/>
    <w:rsid w:val="00E87CD0"/>
    <w:rsid w:val="00E91C39"/>
    <w:rsid w:val="00E927DD"/>
    <w:rsid w:val="00E935CE"/>
    <w:rsid w:val="00E945F9"/>
    <w:rsid w:val="00E94A1F"/>
    <w:rsid w:val="00E95009"/>
    <w:rsid w:val="00E97A3E"/>
    <w:rsid w:val="00EA17C4"/>
    <w:rsid w:val="00EA575C"/>
    <w:rsid w:val="00EB001D"/>
    <w:rsid w:val="00EC08A0"/>
    <w:rsid w:val="00EC130C"/>
    <w:rsid w:val="00EC3BDF"/>
    <w:rsid w:val="00EC4B8D"/>
    <w:rsid w:val="00EC5A9D"/>
    <w:rsid w:val="00EC6B54"/>
    <w:rsid w:val="00ED34D8"/>
    <w:rsid w:val="00ED4339"/>
    <w:rsid w:val="00ED53E4"/>
    <w:rsid w:val="00ED6ADF"/>
    <w:rsid w:val="00EE49C9"/>
    <w:rsid w:val="00EE5A7E"/>
    <w:rsid w:val="00EF0A8B"/>
    <w:rsid w:val="00EF2C27"/>
    <w:rsid w:val="00EF2D93"/>
    <w:rsid w:val="00F00384"/>
    <w:rsid w:val="00F00876"/>
    <w:rsid w:val="00F011EE"/>
    <w:rsid w:val="00F015A1"/>
    <w:rsid w:val="00F04B42"/>
    <w:rsid w:val="00F1195E"/>
    <w:rsid w:val="00F2097C"/>
    <w:rsid w:val="00F329B6"/>
    <w:rsid w:val="00F32C0D"/>
    <w:rsid w:val="00F35A0C"/>
    <w:rsid w:val="00F40231"/>
    <w:rsid w:val="00F46F93"/>
    <w:rsid w:val="00F47E90"/>
    <w:rsid w:val="00F50C9A"/>
    <w:rsid w:val="00F530C1"/>
    <w:rsid w:val="00F56726"/>
    <w:rsid w:val="00F56759"/>
    <w:rsid w:val="00F57CA4"/>
    <w:rsid w:val="00F57E91"/>
    <w:rsid w:val="00F61CC4"/>
    <w:rsid w:val="00F626E1"/>
    <w:rsid w:val="00F64084"/>
    <w:rsid w:val="00F66F83"/>
    <w:rsid w:val="00F70C5C"/>
    <w:rsid w:val="00F723C4"/>
    <w:rsid w:val="00F7275A"/>
    <w:rsid w:val="00F730D0"/>
    <w:rsid w:val="00F74C10"/>
    <w:rsid w:val="00F81F6B"/>
    <w:rsid w:val="00F8441E"/>
    <w:rsid w:val="00F876B0"/>
    <w:rsid w:val="00F87EEA"/>
    <w:rsid w:val="00F87F1B"/>
    <w:rsid w:val="00F9070F"/>
    <w:rsid w:val="00F91290"/>
    <w:rsid w:val="00F92C29"/>
    <w:rsid w:val="00F94546"/>
    <w:rsid w:val="00F95EF4"/>
    <w:rsid w:val="00F97934"/>
    <w:rsid w:val="00FA1894"/>
    <w:rsid w:val="00FA56A9"/>
    <w:rsid w:val="00FB0827"/>
    <w:rsid w:val="00FB11B1"/>
    <w:rsid w:val="00FB15ED"/>
    <w:rsid w:val="00FB1A7E"/>
    <w:rsid w:val="00FB4DE1"/>
    <w:rsid w:val="00FB662D"/>
    <w:rsid w:val="00FB691E"/>
    <w:rsid w:val="00FC0BE0"/>
    <w:rsid w:val="00FC1459"/>
    <w:rsid w:val="00FC3F3A"/>
    <w:rsid w:val="00FC513A"/>
    <w:rsid w:val="00FC57F1"/>
    <w:rsid w:val="00FC589B"/>
    <w:rsid w:val="00FC5FA8"/>
    <w:rsid w:val="00FC701F"/>
    <w:rsid w:val="00FC71A6"/>
    <w:rsid w:val="00FC7B70"/>
    <w:rsid w:val="00FC7ECC"/>
    <w:rsid w:val="00FD1404"/>
    <w:rsid w:val="00FD2795"/>
    <w:rsid w:val="00FE1C76"/>
    <w:rsid w:val="00FE2D67"/>
    <w:rsid w:val="00FE3AD9"/>
    <w:rsid w:val="00FE55EC"/>
    <w:rsid w:val="00FE6A69"/>
    <w:rsid w:val="00FE7CE9"/>
    <w:rsid w:val="00FF25DC"/>
    <w:rsid w:val="00FF35D9"/>
    <w:rsid w:val="00FF7C0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85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57"/>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2909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528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fontstyle01">
    <w:name w:val="fontstyle01"/>
    <w:basedOn w:val="Fontepargpadro"/>
    <w:rsid w:val="00673D81"/>
    <w:rPr>
      <w:rFonts w:ascii="ArialMT" w:hAnsi="ArialMT" w:hint="default"/>
      <w:b w:val="0"/>
      <w:bCs w:val="0"/>
      <w:i w:val="0"/>
      <w:iCs w:val="0"/>
      <w:color w:val="000000"/>
      <w:sz w:val="24"/>
      <w:szCs w:val="24"/>
    </w:rPr>
  </w:style>
  <w:style w:type="paragraph" w:styleId="Textodebalo">
    <w:name w:val="Balloon Text"/>
    <w:basedOn w:val="Normal"/>
    <w:link w:val="TextodebaloChar"/>
    <w:uiPriority w:val="99"/>
    <w:semiHidden/>
    <w:unhideWhenUsed/>
    <w:rsid w:val="00B73634"/>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B73634"/>
    <w:rPr>
      <w:rFonts w:ascii="Tahoma" w:hAnsi="Tahoma" w:cs="Tahoma"/>
      <w:sz w:val="16"/>
      <w:szCs w:val="16"/>
    </w:rPr>
  </w:style>
  <w:style w:type="character" w:styleId="TextodoEspaoReservado">
    <w:name w:val="Placeholder Text"/>
    <w:basedOn w:val="Fontepargpadro"/>
    <w:uiPriority w:val="99"/>
    <w:semiHidden/>
    <w:rsid w:val="00B73634"/>
    <w:rPr>
      <w:color w:val="808080"/>
    </w:rPr>
  </w:style>
  <w:style w:type="table" w:styleId="Tabelacomgrade">
    <w:name w:val="Table Grid"/>
    <w:basedOn w:val="Tabelanormal"/>
    <w:uiPriority w:val="59"/>
    <w:rsid w:val="002A3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D3790"/>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D3790"/>
  </w:style>
  <w:style w:type="paragraph" w:styleId="Rodap">
    <w:name w:val="footer"/>
    <w:basedOn w:val="Normal"/>
    <w:link w:val="RodapChar"/>
    <w:uiPriority w:val="99"/>
    <w:unhideWhenUsed/>
    <w:rsid w:val="003D3790"/>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D3790"/>
  </w:style>
  <w:style w:type="character" w:customStyle="1" w:styleId="gd15mcfceub">
    <w:name w:val="gd15mcfceub"/>
    <w:basedOn w:val="Fontepargpadro"/>
    <w:rsid w:val="00081BB4"/>
  </w:style>
  <w:style w:type="character" w:styleId="nfase">
    <w:name w:val="Emphasis"/>
    <w:basedOn w:val="Fontepargpadro"/>
    <w:uiPriority w:val="20"/>
    <w:qFormat/>
    <w:rsid w:val="00951810"/>
    <w:rPr>
      <w:i/>
      <w:iCs/>
    </w:rPr>
  </w:style>
  <w:style w:type="character" w:styleId="Forte">
    <w:name w:val="Strong"/>
    <w:basedOn w:val="Fontepargpadro"/>
    <w:uiPriority w:val="22"/>
    <w:qFormat/>
    <w:rsid w:val="00FB15ED"/>
    <w:rPr>
      <w:b/>
      <w:bCs/>
    </w:rPr>
  </w:style>
  <w:style w:type="character" w:styleId="Hyperlink">
    <w:name w:val="Hyperlink"/>
    <w:basedOn w:val="Fontepargpadro"/>
    <w:uiPriority w:val="99"/>
    <w:unhideWhenUsed/>
    <w:rsid w:val="006C1857"/>
    <w:rPr>
      <w:color w:val="0000FF"/>
      <w:u w:val="single"/>
    </w:rPr>
  </w:style>
  <w:style w:type="character" w:styleId="Refdecomentrio">
    <w:name w:val="annotation reference"/>
    <w:basedOn w:val="Fontepargpadro"/>
    <w:uiPriority w:val="99"/>
    <w:semiHidden/>
    <w:unhideWhenUsed/>
    <w:rsid w:val="001D5C71"/>
    <w:rPr>
      <w:sz w:val="18"/>
      <w:szCs w:val="18"/>
    </w:rPr>
  </w:style>
  <w:style w:type="paragraph" w:styleId="Textodecomentrio">
    <w:name w:val="annotation text"/>
    <w:basedOn w:val="Normal"/>
    <w:link w:val="TextodecomentrioChar"/>
    <w:uiPriority w:val="99"/>
    <w:semiHidden/>
    <w:unhideWhenUsed/>
    <w:rsid w:val="001D5C71"/>
  </w:style>
  <w:style w:type="character" w:customStyle="1" w:styleId="TextodecomentrioChar">
    <w:name w:val="Texto de comentário Char"/>
    <w:basedOn w:val="Fontepargpadro"/>
    <w:link w:val="Textodecomentrio"/>
    <w:uiPriority w:val="99"/>
    <w:semiHidden/>
    <w:rsid w:val="001D5C71"/>
    <w:rPr>
      <w:rFonts w:ascii="Times New Roman" w:eastAsia="Times New Roman" w:hAnsi="Times New Roman"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1D5C71"/>
    <w:rPr>
      <w:b/>
      <w:bCs/>
      <w:sz w:val="20"/>
      <w:szCs w:val="20"/>
    </w:rPr>
  </w:style>
  <w:style w:type="character" w:customStyle="1" w:styleId="AssuntodocomentrioChar">
    <w:name w:val="Assunto do comentário Char"/>
    <w:basedOn w:val="TextodecomentrioChar"/>
    <w:link w:val="Assuntodocomentrio"/>
    <w:uiPriority w:val="99"/>
    <w:semiHidden/>
    <w:rsid w:val="001D5C71"/>
    <w:rPr>
      <w:rFonts w:ascii="Times New Roman" w:eastAsia="Times New Roman" w:hAnsi="Times New Roman" w:cs="Times New Roman"/>
      <w:b/>
      <w:bCs/>
      <w:sz w:val="20"/>
      <w:szCs w:val="20"/>
      <w:lang w:eastAsia="pt-BR"/>
    </w:rPr>
  </w:style>
  <w:style w:type="paragraph" w:styleId="Reviso">
    <w:name w:val="Revision"/>
    <w:hidden/>
    <w:uiPriority w:val="99"/>
    <w:semiHidden/>
    <w:rsid w:val="005C38AD"/>
    <w:pPr>
      <w:spacing w:after="0"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363624"/>
  </w:style>
  <w:style w:type="paragraph" w:customStyle="1" w:styleId="parag2">
    <w:name w:val="parag2"/>
    <w:basedOn w:val="Normal"/>
    <w:rsid w:val="00732363"/>
    <w:pPr>
      <w:spacing w:before="100" w:beforeAutospacing="1" w:after="100" w:afterAutospacing="1"/>
    </w:pPr>
  </w:style>
  <w:style w:type="character" w:customStyle="1" w:styleId="Ttulo1Char">
    <w:name w:val="Título 1 Char"/>
    <w:basedOn w:val="Fontepargpadro"/>
    <w:link w:val="Ttulo1"/>
    <w:uiPriority w:val="9"/>
    <w:rsid w:val="00290949"/>
    <w:rPr>
      <w:rFonts w:asciiTheme="majorHAnsi" w:eastAsiaTheme="majorEastAsia" w:hAnsiTheme="majorHAnsi" w:cstheme="majorBidi"/>
      <w:b/>
      <w:bCs/>
      <w:color w:val="365F91" w:themeColor="accent1" w:themeShade="BF"/>
      <w:sz w:val="28"/>
      <w:szCs w:val="28"/>
      <w:lang w:eastAsia="pt-BR"/>
    </w:rPr>
  </w:style>
  <w:style w:type="paragraph" w:styleId="CabealhodoSumrio">
    <w:name w:val="TOC Heading"/>
    <w:basedOn w:val="Ttulo1"/>
    <w:next w:val="Normal"/>
    <w:uiPriority w:val="39"/>
    <w:semiHidden/>
    <w:unhideWhenUsed/>
    <w:qFormat/>
    <w:rsid w:val="00290949"/>
    <w:pPr>
      <w:spacing w:line="276" w:lineRule="auto"/>
      <w:outlineLvl w:val="9"/>
    </w:pPr>
  </w:style>
  <w:style w:type="paragraph" w:styleId="Sumrio1">
    <w:name w:val="toc 1"/>
    <w:basedOn w:val="Normal"/>
    <w:next w:val="Normal"/>
    <w:autoRedefine/>
    <w:uiPriority w:val="39"/>
    <w:unhideWhenUsed/>
    <w:rsid w:val="00290949"/>
    <w:pPr>
      <w:spacing w:after="100"/>
    </w:pPr>
  </w:style>
  <w:style w:type="paragraph" w:styleId="Sumrio2">
    <w:name w:val="toc 2"/>
    <w:basedOn w:val="Normal"/>
    <w:next w:val="Normal"/>
    <w:autoRedefine/>
    <w:uiPriority w:val="39"/>
    <w:unhideWhenUsed/>
    <w:rsid w:val="00290949"/>
    <w:pPr>
      <w:spacing w:after="100"/>
      <w:ind w:left="240"/>
    </w:pPr>
  </w:style>
  <w:style w:type="paragraph" w:styleId="Legenda">
    <w:name w:val="caption"/>
    <w:basedOn w:val="Normal"/>
    <w:next w:val="Normal"/>
    <w:uiPriority w:val="35"/>
    <w:unhideWhenUsed/>
    <w:qFormat/>
    <w:rsid w:val="00A62C2A"/>
    <w:pPr>
      <w:spacing w:after="200"/>
    </w:pPr>
    <w:rPr>
      <w:b/>
      <w:bCs/>
      <w:szCs w:val="18"/>
    </w:rPr>
  </w:style>
  <w:style w:type="paragraph" w:styleId="ndicedeilustraes">
    <w:name w:val="table of figures"/>
    <w:basedOn w:val="Normal"/>
    <w:next w:val="Normal"/>
    <w:uiPriority w:val="99"/>
    <w:unhideWhenUsed/>
    <w:rsid w:val="00E67BCD"/>
  </w:style>
  <w:style w:type="character" w:customStyle="1" w:styleId="fontstyle21">
    <w:name w:val="fontstyle21"/>
    <w:basedOn w:val="Fontepargpadro"/>
    <w:rsid w:val="00410301"/>
    <w:rPr>
      <w:rFonts w:ascii="TimesNewRomanPS-ItalicMT" w:hAnsi="TimesNewRomanPS-ItalicMT" w:hint="default"/>
      <w:b w:val="0"/>
      <w:bCs w:val="0"/>
      <w:i/>
      <w:iCs/>
      <w:color w:val="000000"/>
      <w:sz w:val="24"/>
      <w:szCs w:val="24"/>
    </w:rPr>
  </w:style>
  <w:style w:type="character" w:customStyle="1" w:styleId="vhqudtyelxqknvzkxcjct">
    <w:name w:val="vhqudtyelxqknvzkxcjct"/>
    <w:basedOn w:val="Fontepargpadro"/>
    <w:rsid w:val="00BD2D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57"/>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2909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528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fontstyle01">
    <w:name w:val="fontstyle01"/>
    <w:basedOn w:val="Fontepargpadro"/>
    <w:rsid w:val="00673D81"/>
    <w:rPr>
      <w:rFonts w:ascii="ArialMT" w:hAnsi="ArialMT" w:hint="default"/>
      <w:b w:val="0"/>
      <w:bCs w:val="0"/>
      <w:i w:val="0"/>
      <w:iCs w:val="0"/>
      <w:color w:val="000000"/>
      <w:sz w:val="24"/>
      <w:szCs w:val="24"/>
    </w:rPr>
  </w:style>
  <w:style w:type="paragraph" w:styleId="Textodebalo">
    <w:name w:val="Balloon Text"/>
    <w:basedOn w:val="Normal"/>
    <w:link w:val="TextodebaloChar"/>
    <w:uiPriority w:val="99"/>
    <w:semiHidden/>
    <w:unhideWhenUsed/>
    <w:rsid w:val="00B73634"/>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B73634"/>
    <w:rPr>
      <w:rFonts w:ascii="Tahoma" w:hAnsi="Tahoma" w:cs="Tahoma"/>
      <w:sz w:val="16"/>
      <w:szCs w:val="16"/>
    </w:rPr>
  </w:style>
  <w:style w:type="character" w:styleId="TextodoEspaoReservado">
    <w:name w:val="Placeholder Text"/>
    <w:basedOn w:val="Fontepargpadro"/>
    <w:uiPriority w:val="99"/>
    <w:semiHidden/>
    <w:rsid w:val="00B73634"/>
    <w:rPr>
      <w:color w:val="808080"/>
    </w:rPr>
  </w:style>
  <w:style w:type="table" w:styleId="Tabelacomgrade">
    <w:name w:val="Table Grid"/>
    <w:basedOn w:val="Tabelanormal"/>
    <w:uiPriority w:val="59"/>
    <w:rsid w:val="002A3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D3790"/>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D3790"/>
  </w:style>
  <w:style w:type="paragraph" w:styleId="Rodap">
    <w:name w:val="footer"/>
    <w:basedOn w:val="Normal"/>
    <w:link w:val="RodapChar"/>
    <w:uiPriority w:val="99"/>
    <w:unhideWhenUsed/>
    <w:rsid w:val="003D3790"/>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D3790"/>
  </w:style>
  <w:style w:type="character" w:customStyle="1" w:styleId="gd15mcfceub">
    <w:name w:val="gd15mcfceub"/>
    <w:basedOn w:val="Fontepargpadro"/>
    <w:rsid w:val="00081BB4"/>
  </w:style>
  <w:style w:type="character" w:styleId="nfase">
    <w:name w:val="Emphasis"/>
    <w:basedOn w:val="Fontepargpadro"/>
    <w:uiPriority w:val="20"/>
    <w:qFormat/>
    <w:rsid w:val="00951810"/>
    <w:rPr>
      <w:i/>
      <w:iCs/>
    </w:rPr>
  </w:style>
  <w:style w:type="character" w:styleId="Forte">
    <w:name w:val="Strong"/>
    <w:basedOn w:val="Fontepargpadro"/>
    <w:uiPriority w:val="22"/>
    <w:qFormat/>
    <w:rsid w:val="00FB15ED"/>
    <w:rPr>
      <w:b/>
      <w:bCs/>
    </w:rPr>
  </w:style>
  <w:style w:type="character" w:styleId="Hyperlink">
    <w:name w:val="Hyperlink"/>
    <w:basedOn w:val="Fontepargpadro"/>
    <w:uiPriority w:val="99"/>
    <w:unhideWhenUsed/>
    <w:rsid w:val="006C1857"/>
    <w:rPr>
      <w:color w:val="0000FF"/>
      <w:u w:val="single"/>
    </w:rPr>
  </w:style>
  <w:style w:type="character" w:styleId="Refdecomentrio">
    <w:name w:val="annotation reference"/>
    <w:basedOn w:val="Fontepargpadro"/>
    <w:uiPriority w:val="99"/>
    <w:semiHidden/>
    <w:unhideWhenUsed/>
    <w:rsid w:val="001D5C71"/>
    <w:rPr>
      <w:sz w:val="18"/>
      <w:szCs w:val="18"/>
    </w:rPr>
  </w:style>
  <w:style w:type="paragraph" w:styleId="Textodecomentrio">
    <w:name w:val="annotation text"/>
    <w:basedOn w:val="Normal"/>
    <w:link w:val="TextodecomentrioChar"/>
    <w:uiPriority w:val="99"/>
    <w:semiHidden/>
    <w:unhideWhenUsed/>
    <w:rsid w:val="001D5C71"/>
  </w:style>
  <w:style w:type="character" w:customStyle="1" w:styleId="TextodecomentrioChar">
    <w:name w:val="Texto de comentário Char"/>
    <w:basedOn w:val="Fontepargpadro"/>
    <w:link w:val="Textodecomentrio"/>
    <w:uiPriority w:val="99"/>
    <w:semiHidden/>
    <w:rsid w:val="001D5C71"/>
    <w:rPr>
      <w:rFonts w:ascii="Times New Roman" w:eastAsia="Times New Roman" w:hAnsi="Times New Roman" w:cs="Times New Roman"/>
      <w:sz w:val="24"/>
      <w:szCs w:val="24"/>
      <w:lang w:eastAsia="pt-BR"/>
    </w:rPr>
  </w:style>
  <w:style w:type="paragraph" w:styleId="Assuntodocomentrio">
    <w:name w:val="annotation subject"/>
    <w:basedOn w:val="Textodecomentrio"/>
    <w:next w:val="Textodecomentrio"/>
    <w:link w:val="AssuntodocomentrioChar"/>
    <w:uiPriority w:val="99"/>
    <w:semiHidden/>
    <w:unhideWhenUsed/>
    <w:rsid w:val="001D5C71"/>
    <w:rPr>
      <w:b/>
      <w:bCs/>
      <w:sz w:val="20"/>
      <w:szCs w:val="20"/>
    </w:rPr>
  </w:style>
  <w:style w:type="character" w:customStyle="1" w:styleId="AssuntodocomentrioChar">
    <w:name w:val="Assunto do comentário Char"/>
    <w:basedOn w:val="TextodecomentrioChar"/>
    <w:link w:val="Assuntodocomentrio"/>
    <w:uiPriority w:val="99"/>
    <w:semiHidden/>
    <w:rsid w:val="001D5C71"/>
    <w:rPr>
      <w:rFonts w:ascii="Times New Roman" w:eastAsia="Times New Roman" w:hAnsi="Times New Roman" w:cs="Times New Roman"/>
      <w:b/>
      <w:bCs/>
      <w:sz w:val="20"/>
      <w:szCs w:val="20"/>
      <w:lang w:eastAsia="pt-BR"/>
    </w:rPr>
  </w:style>
  <w:style w:type="paragraph" w:styleId="Reviso">
    <w:name w:val="Revision"/>
    <w:hidden/>
    <w:uiPriority w:val="99"/>
    <w:semiHidden/>
    <w:rsid w:val="005C38AD"/>
    <w:pPr>
      <w:spacing w:after="0"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363624"/>
  </w:style>
  <w:style w:type="paragraph" w:customStyle="1" w:styleId="parag2">
    <w:name w:val="parag2"/>
    <w:basedOn w:val="Normal"/>
    <w:rsid w:val="00732363"/>
    <w:pPr>
      <w:spacing w:before="100" w:beforeAutospacing="1" w:after="100" w:afterAutospacing="1"/>
    </w:pPr>
  </w:style>
  <w:style w:type="character" w:customStyle="1" w:styleId="Ttulo1Char">
    <w:name w:val="Título 1 Char"/>
    <w:basedOn w:val="Fontepargpadro"/>
    <w:link w:val="Ttulo1"/>
    <w:uiPriority w:val="9"/>
    <w:rsid w:val="00290949"/>
    <w:rPr>
      <w:rFonts w:asciiTheme="majorHAnsi" w:eastAsiaTheme="majorEastAsia" w:hAnsiTheme="majorHAnsi" w:cstheme="majorBidi"/>
      <w:b/>
      <w:bCs/>
      <w:color w:val="365F91" w:themeColor="accent1" w:themeShade="BF"/>
      <w:sz w:val="28"/>
      <w:szCs w:val="28"/>
      <w:lang w:eastAsia="pt-BR"/>
    </w:rPr>
  </w:style>
  <w:style w:type="paragraph" w:styleId="CabealhodoSumrio">
    <w:name w:val="TOC Heading"/>
    <w:basedOn w:val="Ttulo1"/>
    <w:next w:val="Normal"/>
    <w:uiPriority w:val="39"/>
    <w:semiHidden/>
    <w:unhideWhenUsed/>
    <w:qFormat/>
    <w:rsid w:val="00290949"/>
    <w:pPr>
      <w:spacing w:line="276" w:lineRule="auto"/>
      <w:outlineLvl w:val="9"/>
    </w:pPr>
  </w:style>
  <w:style w:type="paragraph" w:styleId="Sumrio1">
    <w:name w:val="toc 1"/>
    <w:basedOn w:val="Normal"/>
    <w:next w:val="Normal"/>
    <w:autoRedefine/>
    <w:uiPriority w:val="39"/>
    <w:unhideWhenUsed/>
    <w:rsid w:val="00290949"/>
    <w:pPr>
      <w:spacing w:after="100"/>
    </w:pPr>
  </w:style>
  <w:style w:type="paragraph" w:styleId="Sumrio2">
    <w:name w:val="toc 2"/>
    <w:basedOn w:val="Normal"/>
    <w:next w:val="Normal"/>
    <w:autoRedefine/>
    <w:uiPriority w:val="39"/>
    <w:unhideWhenUsed/>
    <w:rsid w:val="00290949"/>
    <w:pPr>
      <w:spacing w:after="100"/>
      <w:ind w:left="240"/>
    </w:pPr>
  </w:style>
  <w:style w:type="paragraph" w:styleId="Legenda">
    <w:name w:val="caption"/>
    <w:basedOn w:val="Normal"/>
    <w:next w:val="Normal"/>
    <w:uiPriority w:val="35"/>
    <w:unhideWhenUsed/>
    <w:qFormat/>
    <w:rsid w:val="00A62C2A"/>
    <w:pPr>
      <w:spacing w:after="200"/>
    </w:pPr>
    <w:rPr>
      <w:b/>
      <w:bCs/>
      <w:szCs w:val="18"/>
    </w:rPr>
  </w:style>
  <w:style w:type="paragraph" w:styleId="ndicedeilustraes">
    <w:name w:val="table of figures"/>
    <w:basedOn w:val="Normal"/>
    <w:next w:val="Normal"/>
    <w:uiPriority w:val="99"/>
    <w:unhideWhenUsed/>
    <w:rsid w:val="00E67BCD"/>
  </w:style>
  <w:style w:type="character" w:customStyle="1" w:styleId="fontstyle21">
    <w:name w:val="fontstyle21"/>
    <w:basedOn w:val="Fontepargpadro"/>
    <w:rsid w:val="00410301"/>
    <w:rPr>
      <w:rFonts w:ascii="TimesNewRomanPS-ItalicMT" w:hAnsi="TimesNewRomanPS-ItalicMT" w:hint="default"/>
      <w:b w:val="0"/>
      <w:bCs w:val="0"/>
      <w:i/>
      <w:iCs/>
      <w:color w:val="000000"/>
      <w:sz w:val="24"/>
      <w:szCs w:val="24"/>
    </w:rPr>
  </w:style>
  <w:style w:type="character" w:customStyle="1" w:styleId="vhqudtyelxqknvzkxcjct">
    <w:name w:val="vhqudtyelxqknvzkxcjct"/>
    <w:basedOn w:val="Fontepargpadro"/>
    <w:rsid w:val="00BD2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8977">
      <w:bodyDiv w:val="1"/>
      <w:marLeft w:val="0"/>
      <w:marRight w:val="0"/>
      <w:marTop w:val="0"/>
      <w:marBottom w:val="0"/>
      <w:divBdr>
        <w:top w:val="none" w:sz="0" w:space="0" w:color="auto"/>
        <w:left w:val="none" w:sz="0" w:space="0" w:color="auto"/>
        <w:bottom w:val="none" w:sz="0" w:space="0" w:color="auto"/>
        <w:right w:val="none" w:sz="0" w:space="0" w:color="auto"/>
      </w:divBdr>
    </w:div>
    <w:div w:id="193615911">
      <w:bodyDiv w:val="1"/>
      <w:marLeft w:val="0"/>
      <w:marRight w:val="0"/>
      <w:marTop w:val="0"/>
      <w:marBottom w:val="0"/>
      <w:divBdr>
        <w:top w:val="none" w:sz="0" w:space="0" w:color="auto"/>
        <w:left w:val="none" w:sz="0" w:space="0" w:color="auto"/>
        <w:bottom w:val="none" w:sz="0" w:space="0" w:color="auto"/>
        <w:right w:val="none" w:sz="0" w:space="0" w:color="auto"/>
      </w:divBdr>
    </w:div>
    <w:div w:id="235435193">
      <w:bodyDiv w:val="1"/>
      <w:marLeft w:val="0"/>
      <w:marRight w:val="0"/>
      <w:marTop w:val="0"/>
      <w:marBottom w:val="0"/>
      <w:divBdr>
        <w:top w:val="none" w:sz="0" w:space="0" w:color="auto"/>
        <w:left w:val="none" w:sz="0" w:space="0" w:color="auto"/>
        <w:bottom w:val="none" w:sz="0" w:space="0" w:color="auto"/>
        <w:right w:val="none" w:sz="0" w:space="0" w:color="auto"/>
      </w:divBdr>
      <w:divsChild>
        <w:div w:id="2091853724">
          <w:marLeft w:val="0"/>
          <w:marRight w:val="0"/>
          <w:marTop w:val="0"/>
          <w:marBottom w:val="0"/>
          <w:divBdr>
            <w:top w:val="none" w:sz="0" w:space="0" w:color="auto"/>
            <w:left w:val="none" w:sz="0" w:space="0" w:color="auto"/>
            <w:bottom w:val="none" w:sz="0" w:space="0" w:color="auto"/>
            <w:right w:val="none" w:sz="0" w:space="0" w:color="auto"/>
          </w:divBdr>
          <w:divsChild>
            <w:div w:id="1513256881">
              <w:marLeft w:val="0"/>
              <w:marRight w:val="0"/>
              <w:marTop w:val="0"/>
              <w:marBottom w:val="0"/>
              <w:divBdr>
                <w:top w:val="none" w:sz="0" w:space="0" w:color="auto"/>
                <w:left w:val="none" w:sz="0" w:space="0" w:color="auto"/>
                <w:bottom w:val="none" w:sz="0" w:space="0" w:color="auto"/>
                <w:right w:val="none" w:sz="0" w:space="0" w:color="auto"/>
              </w:divBdr>
              <w:divsChild>
                <w:div w:id="222757947">
                  <w:marLeft w:val="0"/>
                  <w:marRight w:val="0"/>
                  <w:marTop w:val="0"/>
                  <w:marBottom w:val="0"/>
                  <w:divBdr>
                    <w:top w:val="none" w:sz="0" w:space="0" w:color="auto"/>
                    <w:left w:val="none" w:sz="0" w:space="0" w:color="auto"/>
                    <w:bottom w:val="none" w:sz="0" w:space="0" w:color="auto"/>
                    <w:right w:val="none" w:sz="0" w:space="0" w:color="auto"/>
                  </w:divBdr>
                  <w:divsChild>
                    <w:div w:id="156653728">
                      <w:marLeft w:val="0"/>
                      <w:marRight w:val="0"/>
                      <w:marTop w:val="0"/>
                      <w:marBottom w:val="0"/>
                      <w:divBdr>
                        <w:top w:val="none" w:sz="0" w:space="0" w:color="auto"/>
                        <w:left w:val="none" w:sz="0" w:space="0" w:color="auto"/>
                        <w:bottom w:val="none" w:sz="0" w:space="0" w:color="auto"/>
                        <w:right w:val="none" w:sz="0" w:space="0" w:color="auto"/>
                      </w:divBdr>
                      <w:divsChild>
                        <w:div w:id="1877621104">
                          <w:marLeft w:val="0"/>
                          <w:marRight w:val="0"/>
                          <w:marTop w:val="0"/>
                          <w:marBottom w:val="0"/>
                          <w:divBdr>
                            <w:top w:val="none" w:sz="0" w:space="0" w:color="auto"/>
                            <w:left w:val="none" w:sz="0" w:space="0" w:color="auto"/>
                            <w:bottom w:val="none" w:sz="0" w:space="0" w:color="auto"/>
                            <w:right w:val="none" w:sz="0" w:space="0" w:color="auto"/>
                          </w:divBdr>
                          <w:divsChild>
                            <w:div w:id="595481575">
                              <w:marLeft w:val="0"/>
                              <w:marRight w:val="0"/>
                              <w:marTop w:val="0"/>
                              <w:marBottom w:val="0"/>
                              <w:divBdr>
                                <w:top w:val="none" w:sz="0" w:space="0" w:color="auto"/>
                                <w:left w:val="none" w:sz="0" w:space="0" w:color="auto"/>
                                <w:bottom w:val="none" w:sz="0" w:space="0" w:color="auto"/>
                                <w:right w:val="none" w:sz="0" w:space="0" w:color="auto"/>
                              </w:divBdr>
                              <w:divsChild>
                                <w:div w:id="1567952811">
                                  <w:marLeft w:val="0"/>
                                  <w:marRight w:val="0"/>
                                  <w:marTop w:val="0"/>
                                  <w:marBottom w:val="0"/>
                                  <w:divBdr>
                                    <w:top w:val="none" w:sz="0" w:space="0" w:color="auto"/>
                                    <w:left w:val="none" w:sz="0" w:space="0" w:color="auto"/>
                                    <w:bottom w:val="none" w:sz="0" w:space="0" w:color="auto"/>
                                    <w:right w:val="none" w:sz="0" w:space="0" w:color="auto"/>
                                  </w:divBdr>
                                  <w:divsChild>
                                    <w:div w:id="1345979058">
                                      <w:marLeft w:val="0"/>
                                      <w:marRight w:val="0"/>
                                      <w:marTop w:val="0"/>
                                      <w:marBottom w:val="0"/>
                                      <w:divBdr>
                                        <w:top w:val="none" w:sz="0" w:space="0" w:color="auto"/>
                                        <w:left w:val="none" w:sz="0" w:space="0" w:color="auto"/>
                                        <w:bottom w:val="none" w:sz="0" w:space="0" w:color="auto"/>
                                        <w:right w:val="none" w:sz="0" w:space="0" w:color="auto"/>
                                      </w:divBdr>
                                      <w:divsChild>
                                        <w:div w:id="1458909696">
                                          <w:marLeft w:val="0"/>
                                          <w:marRight w:val="0"/>
                                          <w:marTop w:val="0"/>
                                          <w:marBottom w:val="0"/>
                                          <w:divBdr>
                                            <w:top w:val="none" w:sz="0" w:space="0" w:color="auto"/>
                                            <w:left w:val="none" w:sz="0" w:space="0" w:color="auto"/>
                                            <w:bottom w:val="none" w:sz="0" w:space="0" w:color="auto"/>
                                            <w:right w:val="none" w:sz="0" w:space="0" w:color="auto"/>
                                          </w:divBdr>
                                          <w:divsChild>
                                            <w:div w:id="12722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757222">
                  <w:marLeft w:val="0"/>
                  <w:marRight w:val="0"/>
                  <w:marTop w:val="0"/>
                  <w:marBottom w:val="0"/>
                  <w:divBdr>
                    <w:top w:val="none" w:sz="0" w:space="0" w:color="auto"/>
                    <w:left w:val="none" w:sz="0" w:space="0" w:color="auto"/>
                    <w:bottom w:val="none" w:sz="0" w:space="0" w:color="auto"/>
                    <w:right w:val="none" w:sz="0" w:space="0" w:color="auto"/>
                  </w:divBdr>
                  <w:divsChild>
                    <w:div w:id="1287813785">
                      <w:marLeft w:val="0"/>
                      <w:marRight w:val="0"/>
                      <w:marTop w:val="0"/>
                      <w:marBottom w:val="0"/>
                      <w:divBdr>
                        <w:top w:val="none" w:sz="0" w:space="0" w:color="auto"/>
                        <w:left w:val="none" w:sz="0" w:space="0" w:color="auto"/>
                        <w:bottom w:val="none" w:sz="0" w:space="0" w:color="auto"/>
                        <w:right w:val="none" w:sz="0" w:space="0" w:color="auto"/>
                      </w:divBdr>
                      <w:divsChild>
                        <w:div w:id="1137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80605">
      <w:bodyDiv w:val="1"/>
      <w:marLeft w:val="0"/>
      <w:marRight w:val="0"/>
      <w:marTop w:val="0"/>
      <w:marBottom w:val="0"/>
      <w:divBdr>
        <w:top w:val="none" w:sz="0" w:space="0" w:color="auto"/>
        <w:left w:val="none" w:sz="0" w:space="0" w:color="auto"/>
        <w:bottom w:val="none" w:sz="0" w:space="0" w:color="auto"/>
        <w:right w:val="none" w:sz="0" w:space="0" w:color="auto"/>
      </w:divBdr>
    </w:div>
    <w:div w:id="290213940">
      <w:bodyDiv w:val="1"/>
      <w:marLeft w:val="0"/>
      <w:marRight w:val="0"/>
      <w:marTop w:val="0"/>
      <w:marBottom w:val="0"/>
      <w:divBdr>
        <w:top w:val="none" w:sz="0" w:space="0" w:color="auto"/>
        <w:left w:val="none" w:sz="0" w:space="0" w:color="auto"/>
        <w:bottom w:val="none" w:sz="0" w:space="0" w:color="auto"/>
        <w:right w:val="none" w:sz="0" w:space="0" w:color="auto"/>
      </w:divBdr>
    </w:div>
    <w:div w:id="349989383">
      <w:bodyDiv w:val="1"/>
      <w:marLeft w:val="0"/>
      <w:marRight w:val="0"/>
      <w:marTop w:val="0"/>
      <w:marBottom w:val="0"/>
      <w:divBdr>
        <w:top w:val="none" w:sz="0" w:space="0" w:color="auto"/>
        <w:left w:val="none" w:sz="0" w:space="0" w:color="auto"/>
        <w:bottom w:val="none" w:sz="0" w:space="0" w:color="auto"/>
        <w:right w:val="none" w:sz="0" w:space="0" w:color="auto"/>
      </w:divBdr>
    </w:div>
    <w:div w:id="393892214">
      <w:bodyDiv w:val="1"/>
      <w:marLeft w:val="0"/>
      <w:marRight w:val="0"/>
      <w:marTop w:val="0"/>
      <w:marBottom w:val="0"/>
      <w:divBdr>
        <w:top w:val="none" w:sz="0" w:space="0" w:color="auto"/>
        <w:left w:val="none" w:sz="0" w:space="0" w:color="auto"/>
        <w:bottom w:val="none" w:sz="0" w:space="0" w:color="auto"/>
        <w:right w:val="none" w:sz="0" w:space="0" w:color="auto"/>
      </w:divBdr>
    </w:div>
    <w:div w:id="414279388">
      <w:bodyDiv w:val="1"/>
      <w:marLeft w:val="0"/>
      <w:marRight w:val="0"/>
      <w:marTop w:val="0"/>
      <w:marBottom w:val="0"/>
      <w:divBdr>
        <w:top w:val="none" w:sz="0" w:space="0" w:color="auto"/>
        <w:left w:val="none" w:sz="0" w:space="0" w:color="auto"/>
        <w:bottom w:val="none" w:sz="0" w:space="0" w:color="auto"/>
        <w:right w:val="none" w:sz="0" w:space="0" w:color="auto"/>
      </w:divBdr>
    </w:div>
    <w:div w:id="442503580">
      <w:bodyDiv w:val="1"/>
      <w:marLeft w:val="0"/>
      <w:marRight w:val="0"/>
      <w:marTop w:val="0"/>
      <w:marBottom w:val="0"/>
      <w:divBdr>
        <w:top w:val="none" w:sz="0" w:space="0" w:color="auto"/>
        <w:left w:val="none" w:sz="0" w:space="0" w:color="auto"/>
        <w:bottom w:val="none" w:sz="0" w:space="0" w:color="auto"/>
        <w:right w:val="none" w:sz="0" w:space="0" w:color="auto"/>
      </w:divBdr>
    </w:div>
    <w:div w:id="446701159">
      <w:bodyDiv w:val="1"/>
      <w:marLeft w:val="0"/>
      <w:marRight w:val="0"/>
      <w:marTop w:val="0"/>
      <w:marBottom w:val="0"/>
      <w:divBdr>
        <w:top w:val="none" w:sz="0" w:space="0" w:color="auto"/>
        <w:left w:val="none" w:sz="0" w:space="0" w:color="auto"/>
        <w:bottom w:val="none" w:sz="0" w:space="0" w:color="auto"/>
        <w:right w:val="none" w:sz="0" w:space="0" w:color="auto"/>
      </w:divBdr>
    </w:div>
    <w:div w:id="472450980">
      <w:bodyDiv w:val="1"/>
      <w:marLeft w:val="0"/>
      <w:marRight w:val="0"/>
      <w:marTop w:val="0"/>
      <w:marBottom w:val="0"/>
      <w:divBdr>
        <w:top w:val="none" w:sz="0" w:space="0" w:color="auto"/>
        <w:left w:val="none" w:sz="0" w:space="0" w:color="auto"/>
        <w:bottom w:val="none" w:sz="0" w:space="0" w:color="auto"/>
        <w:right w:val="none" w:sz="0" w:space="0" w:color="auto"/>
      </w:divBdr>
      <w:divsChild>
        <w:div w:id="368459421">
          <w:marLeft w:val="0"/>
          <w:marRight w:val="0"/>
          <w:marTop w:val="0"/>
          <w:marBottom w:val="0"/>
          <w:divBdr>
            <w:top w:val="none" w:sz="0" w:space="0" w:color="auto"/>
            <w:left w:val="none" w:sz="0" w:space="0" w:color="auto"/>
            <w:bottom w:val="none" w:sz="0" w:space="0" w:color="auto"/>
            <w:right w:val="none" w:sz="0" w:space="0" w:color="auto"/>
          </w:divBdr>
          <w:divsChild>
            <w:div w:id="1648166656">
              <w:marLeft w:val="0"/>
              <w:marRight w:val="0"/>
              <w:marTop w:val="0"/>
              <w:marBottom w:val="0"/>
              <w:divBdr>
                <w:top w:val="none" w:sz="0" w:space="0" w:color="auto"/>
                <w:left w:val="none" w:sz="0" w:space="0" w:color="auto"/>
                <w:bottom w:val="none" w:sz="0" w:space="0" w:color="auto"/>
                <w:right w:val="none" w:sz="0" w:space="0" w:color="auto"/>
              </w:divBdr>
              <w:divsChild>
                <w:div w:id="1607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1257">
      <w:bodyDiv w:val="1"/>
      <w:marLeft w:val="0"/>
      <w:marRight w:val="0"/>
      <w:marTop w:val="0"/>
      <w:marBottom w:val="0"/>
      <w:divBdr>
        <w:top w:val="none" w:sz="0" w:space="0" w:color="auto"/>
        <w:left w:val="none" w:sz="0" w:space="0" w:color="auto"/>
        <w:bottom w:val="none" w:sz="0" w:space="0" w:color="auto"/>
        <w:right w:val="none" w:sz="0" w:space="0" w:color="auto"/>
      </w:divBdr>
    </w:div>
    <w:div w:id="593822308">
      <w:bodyDiv w:val="1"/>
      <w:marLeft w:val="0"/>
      <w:marRight w:val="0"/>
      <w:marTop w:val="0"/>
      <w:marBottom w:val="0"/>
      <w:divBdr>
        <w:top w:val="none" w:sz="0" w:space="0" w:color="auto"/>
        <w:left w:val="none" w:sz="0" w:space="0" w:color="auto"/>
        <w:bottom w:val="none" w:sz="0" w:space="0" w:color="auto"/>
        <w:right w:val="none" w:sz="0" w:space="0" w:color="auto"/>
      </w:divBdr>
      <w:divsChild>
        <w:div w:id="1276520108">
          <w:marLeft w:val="0"/>
          <w:marRight w:val="0"/>
          <w:marTop w:val="0"/>
          <w:marBottom w:val="0"/>
          <w:divBdr>
            <w:top w:val="none" w:sz="0" w:space="0" w:color="auto"/>
            <w:left w:val="none" w:sz="0" w:space="0" w:color="auto"/>
            <w:bottom w:val="none" w:sz="0" w:space="0" w:color="auto"/>
            <w:right w:val="none" w:sz="0" w:space="0" w:color="auto"/>
          </w:divBdr>
          <w:divsChild>
            <w:div w:id="126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9482">
      <w:bodyDiv w:val="1"/>
      <w:marLeft w:val="0"/>
      <w:marRight w:val="0"/>
      <w:marTop w:val="0"/>
      <w:marBottom w:val="0"/>
      <w:divBdr>
        <w:top w:val="none" w:sz="0" w:space="0" w:color="auto"/>
        <w:left w:val="none" w:sz="0" w:space="0" w:color="auto"/>
        <w:bottom w:val="none" w:sz="0" w:space="0" w:color="auto"/>
        <w:right w:val="none" w:sz="0" w:space="0" w:color="auto"/>
      </w:divBdr>
    </w:div>
    <w:div w:id="804129638">
      <w:bodyDiv w:val="1"/>
      <w:marLeft w:val="0"/>
      <w:marRight w:val="0"/>
      <w:marTop w:val="0"/>
      <w:marBottom w:val="0"/>
      <w:divBdr>
        <w:top w:val="none" w:sz="0" w:space="0" w:color="auto"/>
        <w:left w:val="none" w:sz="0" w:space="0" w:color="auto"/>
        <w:bottom w:val="none" w:sz="0" w:space="0" w:color="auto"/>
        <w:right w:val="none" w:sz="0" w:space="0" w:color="auto"/>
      </w:divBdr>
    </w:div>
    <w:div w:id="864439725">
      <w:bodyDiv w:val="1"/>
      <w:marLeft w:val="0"/>
      <w:marRight w:val="0"/>
      <w:marTop w:val="0"/>
      <w:marBottom w:val="0"/>
      <w:divBdr>
        <w:top w:val="none" w:sz="0" w:space="0" w:color="auto"/>
        <w:left w:val="none" w:sz="0" w:space="0" w:color="auto"/>
        <w:bottom w:val="none" w:sz="0" w:space="0" w:color="auto"/>
        <w:right w:val="none" w:sz="0" w:space="0" w:color="auto"/>
      </w:divBdr>
    </w:div>
    <w:div w:id="873277013">
      <w:bodyDiv w:val="1"/>
      <w:marLeft w:val="0"/>
      <w:marRight w:val="0"/>
      <w:marTop w:val="0"/>
      <w:marBottom w:val="0"/>
      <w:divBdr>
        <w:top w:val="none" w:sz="0" w:space="0" w:color="auto"/>
        <w:left w:val="none" w:sz="0" w:space="0" w:color="auto"/>
        <w:bottom w:val="none" w:sz="0" w:space="0" w:color="auto"/>
        <w:right w:val="none" w:sz="0" w:space="0" w:color="auto"/>
      </w:divBdr>
    </w:div>
    <w:div w:id="887959086">
      <w:bodyDiv w:val="1"/>
      <w:marLeft w:val="0"/>
      <w:marRight w:val="0"/>
      <w:marTop w:val="0"/>
      <w:marBottom w:val="0"/>
      <w:divBdr>
        <w:top w:val="none" w:sz="0" w:space="0" w:color="auto"/>
        <w:left w:val="none" w:sz="0" w:space="0" w:color="auto"/>
        <w:bottom w:val="none" w:sz="0" w:space="0" w:color="auto"/>
        <w:right w:val="none" w:sz="0" w:space="0" w:color="auto"/>
      </w:divBdr>
    </w:div>
    <w:div w:id="981156379">
      <w:bodyDiv w:val="1"/>
      <w:marLeft w:val="0"/>
      <w:marRight w:val="0"/>
      <w:marTop w:val="0"/>
      <w:marBottom w:val="0"/>
      <w:divBdr>
        <w:top w:val="none" w:sz="0" w:space="0" w:color="auto"/>
        <w:left w:val="none" w:sz="0" w:space="0" w:color="auto"/>
        <w:bottom w:val="none" w:sz="0" w:space="0" w:color="auto"/>
        <w:right w:val="none" w:sz="0" w:space="0" w:color="auto"/>
      </w:divBdr>
    </w:div>
    <w:div w:id="990786983">
      <w:bodyDiv w:val="1"/>
      <w:marLeft w:val="0"/>
      <w:marRight w:val="0"/>
      <w:marTop w:val="0"/>
      <w:marBottom w:val="0"/>
      <w:divBdr>
        <w:top w:val="none" w:sz="0" w:space="0" w:color="auto"/>
        <w:left w:val="none" w:sz="0" w:space="0" w:color="auto"/>
        <w:bottom w:val="none" w:sz="0" w:space="0" w:color="auto"/>
        <w:right w:val="none" w:sz="0" w:space="0" w:color="auto"/>
      </w:divBdr>
    </w:div>
    <w:div w:id="1233470946">
      <w:bodyDiv w:val="1"/>
      <w:marLeft w:val="0"/>
      <w:marRight w:val="0"/>
      <w:marTop w:val="0"/>
      <w:marBottom w:val="0"/>
      <w:divBdr>
        <w:top w:val="none" w:sz="0" w:space="0" w:color="auto"/>
        <w:left w:val="none" w:sz="0" w:space="0" w:color="auto"/>
        <w:bottom w:val="none" w:sz="0" w:space="0" w:color="auto"/>
        <w:right w:val="none" w:sz="0" w:space="0" w:color="auto"/>
      </w:divBdr>
      <w:divsChild>
        <w:div w:id="1625768903">
          <w:marLeft w:val="0"/>
          <w:marRight w:val="0"/>
          <w:marTop w:val="0"/>
          <w:marBottom w:val="0"/>
          <w:divBdr>
            <w:top w:val="none" w:sz="0" w:space="0" w:color="auto"/>
            <w:left w:val="none" w:sz="0" w:space="0" w:color="auto"/>
            <w:bottom w:val="none" w:sz="0" w:space="0" w:color="auto"/>
            <w:right w:val="none" w:sz="0" w:space="0" w:color="auto"/>
          </w:divBdr>
          <w:divsChild>
            <w:div w:id="1069116856">
              <w:marLeft w:val="0"/>
              <w:marRight w:val="0"/>
              <w:marTop w:val="0"/>
              <w:marBottom w:val="0"/>
              <w:divBdr>
                <w:top w:val="none" w:sz="0" w:space="0" w:color="auto"/>
                <w:left w:val="none" w:sz="0" w:space="0" w:color="auto"/>
                <w:bottom w:val="none" w:sz="0" w:space="0" w:color="auto"/>
                <w:right w:val="none" w:sz="0" w:space="0" w:color="auto"/>
              </w:divBdr>
              <w:divsChild>
                <w:div w:id="1247887479">
                  <w:marLeft w:val="0"/>
                  <w:marRight w:val="0"/>
                  <w:marTop w:val="0"/>
                  <w:marBottom w:val="0"/>
                  <w:divBdr>
                    <w:top w:val="none" w:sz="0" w:space="0" w:color="auto"/>
                    <w:left w:val="none" w:sz="0" w:space="0" w:color="auto"/>
                    <w:bottom w:val="none" w:sz="0" w:space="0" w:color="auto"/>
                    <w:right w:val="none" w:sz="0" w:space="0" w:color="auto"/>
                  </w:divBdr>
                  <w:divsChild>
                    <w:div w:id="818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54973">
      <w:bodyDiv w:val="1"/>
      <w:marLeft w:val="0"/>
      <w:marRight w:val="0"/>
      <w:marTop w:val="0"/>
      <w:marBottom w:val="0"/>
      <w:divBdr>
        <w:top w:val="none" w:sz="0" w:space="0" w:color="auto"/>
        <w:left w:val="none" w:sz="0" w:space="0" w:color="auto"/>
        <w:bottom w:val="none" w:sz="0" w:space="0" w:color="auto"/>
        <w:right w:val="none" w:sz="0" w:space="0" w:color="auto"/>
      </w:divBdr>
      <w:divsChild>
        <w:div w:id="788472818">
          <w:marLeft w:val="0"/>
          <w:marRight w:val="0"/>
          <w:marTop w:val="0"/>
          <w:marBottom w:val="0"/>
          <w:divBdr>
            <w:top w:val="none" w:sz="0" w:space="0" w:color="auto"/>
            <w:left w:val="none" w:sz="0" w:space="0" w:color="auto"/>
            <w:bottom w:val="none" w:sz="0" w:space="0" w:color="auto"/>
            <w:right w:val="none" w:sz="0" w:space="0" w:color="auto"/>
          </w:divBdr>
          <w:divsChild>
            <w:div w:id="405811635">
              <w:marLeft w:val="0"/>
              <w:marRight w:val="0"/>
              <w:marTop w:val="0"/>
              <w:marBottom w:val="0"/>
              <w:divBdr>
                <w:top w:val="none" w:sz="0" w:space="0" w:color="auto"/>
                <w:left w:val="none" w:sz="0" w:space="0" w:color="auto"/>
                <w:bottom w:val="none" w:sz="0" w:space="0" w:color="auto"/>
                <w:right w:val="none" w:sz="0" w:space="0" w:color="auto"/>
              </w:divBdr>
              <w:divsChild>
                <w:div w:id="1469545254">
                  <w:marLeft w:val="0"/>
                  <w:marRight w:val="0"/>
                  <w:marTop w:val="0"/>
                  <w:marBottom w:val="0"/>
                  <w:divBdr>
                    <w:top w:val="none" w:sz="0" w:space="0" w:color="auto"/>
                    <w:left w:val="none" w:sz="0" w:space="0" w:color="auto"/>
                    <w:bottom w:val="none" w:sz="0" w:space="0" w:color="auto"/>
                    <w:right w:val="none" w:sz="0" w:space="0" w:color="auto"/>
                  </w:divBdr>
                  <w:divsChild>
                    <w:div w:id="1374234719">
                      <w:marLeft w:val="0"/>
                      <w:marRight w:val="0"/>
                      <w:marTop w:val="0"/>
                      <w:marBottom w:val="0"/>
                      <w:divBdr>
                        <w:top w:val="none" w:sz="0" w:space="0" w:color="auto"/>
                        <w:left w:val="none" w:sz="0" w:space="0" w:color="auto"/>
                        <w:bottom w:val="none" w:sz="0" w:space="0" w:color="auto"/>
                        <w:right w:val="none" w:sz="0" w:space="0" w:color="auto"/>
                      </w:divBdr>
                      <w:divsChild>
                        <w:div w:id="421999523">
                          <w:marLeft w:val="0"/>
                          <w:marRight w:val="0"/>
                          <w:marTop w:val="0"/>
                          <w:marBottom w:val="0"/>
                          <w:divBdr>
                            <w:top w:val="none" w:sz="0" w:space="0" w:color="auto"/>
                            <w:left w:val="none" w:sz="0" w:space="0" w:color="auto"/>
                            <w:bottom w:val="none" w:sz="0" w:space="0" w:color="auto"/>
                            <w:right w:val="none" w:sz="0" w:space="0" w:color="auto"/>
                          </w:divBdr>
                          <w:divsChild>
                            <w:div w:id="371424926">
                              <w:marLeft w:val="0"/>
                              <w:marRight w:val="0"/>
                              <w:marTop w:val="0"/>
                              <w:marBottom w:val="0"/>
                              <w:divBdr>
                                <w:top w:val="none" w:sz="0" w:space="0" w:color="auto"/>
                                <w:left w:val="none" w:sz="0" w:space="0" w:color="auto"/>
                                <w:bottom w:val="none" w:sz="0" w:space="0" w:color="auto"/>
                                <w:right w:val="none" w:sz="0" w:space="0" w:color="auto"/>
                              </w:divBdr>
                              <w:divsChild>
                                <w:div w:id="1642464637">
                                  <w:marLeft w:val="0"/>
                                  <w:marRight w:val="0"/>
                                  <w:marTop w:val="0"/>
                                  <w:marBottom w:val="0"/>
                                  <w:divBdr>
                                    <w:top w:val="none" w:sz="0" w:space="0" w:color="auto"/>
                                    <w:left w:val="none" w:sz="0" w:space="0" w:color="auto"/>
                                    <w:bottom w:val="none" w:sz="0" w:space="0" w:color="auto"/>
                                    <w:right w:val="none" w:sz="0" w:space="0" w:color="auto"/>
                                  </w:divBdr>
                                  <w:divsChild>
                                    <w:div w:id="656955187">
                                      <w:marLeft w:val="0"/>
                                      <w:marRight w:val="0"/>
                                      <w:marTop w:val="0"/>
                                      <w:marBottom w:val="0"/>
                                      <w:divBdr>
                                        <w:top w:val="none" w:sz="0" w:space="0" w:color="auto"/>
                                        <w:left w:val="none" w:sz="0" w:space="0" w:color="auto"/>
                                        <w:bottom w:val="none" w:sz="0" w:space="0" w:color="auto"/>
                                        <w:right w:val="none" w:sz="0" w:space="0" w:color="auto"/>
                                      </w:divBdr>
                                      <w:divsChild>
                                        <w:div w:id="2125922862">
                                          <w:marLeft w:val="0"/>
                                          <w:marRight w:val="0"/>
                                          <w:marTop w:val="0"/>
                                          <w:marBottom w:val="0"/>
                                          <w:divBdr>
                                            <w:top w:val="none" w:sz="0" w:space="0" w:color="auto"/>
                                            <w:left w:val="none" w:sz="0" w:space="0" w:color="auto"/>
                                            <w:bottom w:val="none" w:sz="0" w:space="0" w:color="auto"/>
                                            <w:right w:val="none" w:sz="0" w:space="0" w:color="auto"/>
                                          </w:divBdr>
                                          <w:divsChild>
                                            <w:div w:id="1729717332">
                                              <w:marLeft w:val="0"/>
                                              <w:marRight w:val="0"/>
                                              <w:marTop w:val="0"/>
                                              <w:marBottom w:val="0"/>
                                              <w:divBdr>
                                                <w:top w:val="none" w:sz="0" w:space="0" w:color="auto"/>
                                                <w:left w:val="none" w:sz="0" w:space="0" w:color="auto"/>
                                                <w:bottom w:val="none" w:sz="0" w:space="0" w:color="auto"/>
                                                <w:right w:val="none" w:sz="0" w:space="0" w:color="auto"/>
                                              </w:divBdr>
                                              <w:divsChild>
                                                <w:div w:id="1261988801">
                                                  <w:marLeft w:val="0"/>
                                                  <w:marRight w:val="0"/>
                                                  <w:marTop w:val="0"/>
                                                  <w:marBottom w:val="0"/>
                                                  <w:divBdr>
                                                    <w:top w:val="none" w:sz="0" w:space="0" w:color="auto"/>
                                                    <w:left w:val="none" w:sz="0" w:space="0" w:color="auto"/>
                                                    <w:bottom w:val="none" w:sz="0" w:space="0" w:color="auto"/>
                                                    <w:right w:val="none" w:sz="0" w:space="0" w:color="auto"/>
                                                  </w:divBdr>
                                                  <w:divsChild>
                                                    <w:div w:id="969702247">
                                                      <w:marLeft w:val="0"/>
                                                      <w:marRight w:val="0"/>
                                                      <w:marTop w:val="0"/>
                                                      <w:marBottom w:val="0"/>
                                                      <w:divBdr>
                                                        <w:top w:val="none" w:sz="0" w:space="0" w:color="auto"/>
                                                        <w:left w:val="none" w:sz="0" w:space="0" w:color="auto"/>
                                                        <w:bottom w:val="none" w:sz="0" w:space="0" w:color="auto"/>
                                                        <w:right w:val="none" w:sz="0" w:space="0" w:color="auto"/>
                                                      </w:divBdr>
                                                      <w:divsChild>
                                                        <w:div w:id="8843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9103">
                                              <w:marLeft w:val="0"/>
                                              <w:marRight w:val="0"/>
                                              <w:marTop w:val="0"/>
                                              <w:marBottom w:val="0"/>
                                              <w:divBdr>
                                                <w:top w:val="none" w:sz="0" w:space="0" w:color="auto"/>
                                                <w:left w:val="none" w:sz="0" w:space="0" w:color="auto"/>
                                                <w:bottom w:val="none" w:sz="0" w:space="0" w:color="auto"/>
                                                <w:right w:val="none" w:sz="0" w:space="0" w:color="auto"/>
                                              </w:divBdr>
                                              <w:divsChild>
                                                <w:div w:id="21096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8701">
                          <w:marLeft w:val="0"/>
                          <w:marRight w:val="0"/>
                          <w:marTop w:val="0"/>
                          <w:marBottom w:val="0"/>
                          <w:divBdr>
                            <w:top w:val="none" w:sz="0" w:space="0" w:color="auto"/>
                            <w:left w:val="none" w:sz="0" w:space="0" w:color="auto"/>
                            <w:bottom w:val="none" w:sz="0" w:space="0" w:color="auto"/>
                            <w:right w:val="none" w:sz="0" w:space="0" w:color="auto"/>
                          </w:divBdr>
                          <w:divsChild>
                            <w:div w:id="1744600256">
                              <w:marLeft w:val="0"/>
                              <w:marRight w:val="300"/>
                              <w:marTop w:val="180"/>
                              <w:marBottom w:val="0"/>
                              <w:divBdr>
                                <w:top w:val="none" w:sz="0" w:space="0" w:color="auto"/>
                                <w:left w:val="none" w:sz="0" w:space="0" w:color="auto"/>
                                <w:bottom w:val="none" w:sz="0" w:space="0" w:color="auto"/>
                                <w:right w:val="none" w:sz="0" w:space="0" w:color="auto"/>
                              </w:divBdr>
                              <w:divsChild>
                                <w:div w:id="1320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79049">
              <w:marLeft w:val="0"/>
              <w:marRight w:val="0"/>
              <w:marTop w:val="0"/>
              <w:marBottom w:val="0"/>
              <w:divBdr>
                <w:top w:val="none" w:sz="0" w:space="0" w:color="auto"/>
                <w:left w:val="none" w:sz="0" w:space="0" w:color="auto"/>
                <w:bottom w:val="none" w:sz="0" w:space="0" w:color="auto"/>
                <w:right w:val="none" w:sz="0" w:space="0" w:color="auto"/>
              </w:divBdr>
              <w:divsChild>
                <w:div w:id="1091660242">
                  <w:marLeft w:val="0"/>
                  <w:marRight w:val="0"/>
                  <w:marTop w:val="0"/>
                  <w:marBottom w:val="0"/>
                  <w:divBdr>
                    <w:top w:val="none" w:sz="0" w:space="0" w:color="auto"/>
                    <w:left w:val="none" w:sz="0" w:space="0" w:color="auto"/>
                    <w:bottom w:val="none" w:sz="0" w:space="0" w:color="auto"/>
                    <w:right w:val="none" w:sz="0" w:space="0" w:color="auto"/>
                  </w:divBdr>
                  <w:divsChild>
                    <w:div w:id="1655522827">
                      <w:marLeft w:val="375"/>
                      <w:marRight w:val="0"/>
                      <w:marTop w:val="0"/>
                      <w:marBottom w:val="0"/>
                      <w:divBdr>
                        <w:top w:val="none" w:sz="0" w:space="0" w:color="auto"/>
                        <w:left w:val="none" w:sz="0" w:space="0" w:color="auto"/>
                        <w:bottom w:val="none" w:sz="0" w:space="0" w:color="auto"/>
                        <w:right w:val="none" w:sz="0" w:space="0" w:color="auto"/>
                      </w:divBdr>
                      <w:divsChild>
                        <w:div w:id="4115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5371">
                  <w:marLeft w:val="0"/>
                  <w:marRight w:val="0"/>
                  <w:marTop w:val="0"/>
                  <w:marBottom w:val="0"/>
                  <w:divBdr>
                    <w:top w:val="none" w:sz="0" w:space="0" w:color="auto"/>
                    <w:left w:val="none" w:sz="0" w:space="0" w:color="auto"/>
                    <w:bottom w:val="none" w:sz="0" w:space="0" w:color="auto"/>
                    <w:right w:val="none" w:sz="0" w:space="0" w:color="auto"/>
                  </w:divBdr>
                  <w:divsChild>
                    <w:div w:id="617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1411">
          <w:marLeft w:val="0"/>
          <w:marRight w:val="0"/>
          <w:marTop w:val="0"/>
          <w:marBottom w:val="0"/>
          <w:divBdr>
            <w:top w:val="none" w:sz="0" w:space="0" w:color="auto"/>
            <w:left w:val="none" w:sz="0" w:space="0" w:color="auto"/>
            <w:bottom w:val="none" w:sz="0" w:space="0" w:color="auto"/>
            <w:right w:val="none" w:sz="0" w:space="0" w:color="auto"/>
          </w:divBdr>
          <w:divsChild>
            <w:div w:id="775759355">
              <w:marLeft w:val="0"/>
              <w:marRight w:val="0"/>
              <w:marTop w:val="0"/>
              <w:marBottom w:val="0"/>
              <w:divBdr>
                <w:top w:val="none" w:sz="0" w:space="0" w:color="auto"/>
                <w:left w:val="none" w:sz="0" w:space="0" w:color="auto"/>
                <w:bottom w:val="none" w:sz="0" w:space="0" w:color="auto"/>
                <w:right w:val="none" w:sz="0" w:space="0" w:color="auto"/>
              </w:divBdr>
              <w:divsChild>
                <w:div w:id="1288001023">
                  <w:marLeft w:val="0"/>
                  <w:marRight w:val="0"/>
                  <w:marTop w:val="0"/>
                  <w:marBottom w:val="0"/>
                  <w:divBdr>
                    <w:top w:val="none" w:sz="0" w:space="0" w:color="auto"/>
                    <w:left w:val="none" w:sz="0" w:space="0" w:color="auto"/>
                    <w:bottom w:val="none" w:sz="0" w:space="0" w:color="auto"/>
                    <w:right w:val="none" w:sz="0" w:space="0" w:color="auto"/>
                  </w:divBdr>
                  <w:divsChild>
                    <w:div w:id="1448156127">
                      <w:marLeft w:val="0"/>
                      <w:marRight w:val="0"/>
                      <w:marTop w:val="0"/>
                      <w:marBottom w:val="0"/>
                      <w:divBdr>
                        <w:top w:val="none" w:sz="0" w:space="0" w:color="auto"/>
                        <w:left w:val="none" w:sz="0" w:space="0" w:color="auto"/>
                        <w:bottom w:val="none" w:sz="0" w:space="0" w:color="auto"/>
                        <w:right w:val="none" w:sz="0" w:space="0" w:color="auto"/>
                      </w:divBdr>
                      <w:divsChild>
                        <w:div w:id="188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28872">
      <w:bodyDiv w:val="1"/>
      <w:marLeft w:val="0"/>
      <w:marRight w:val="0"/>
      <w:marTop w:val="0"/>
      <w:marBottom w:val="0"/>
      <w:divBdr>
        <w:top w:val="none" w:sz="0" w:space="0" w:color="auto"/>
        <w:left w:val="none" w:sz="0" w:space="0" w:color="auto"/>
        <w:bottom w:val="none" w:sz="0" w:space="0" w:color="auto"/>
        <w:right w:val="none" w:sz="0" w:space="0" w:color="auto"/>
      </w:divBdr>
    </w:div>
    <w:div w:id="1380200159">
      <w:bodyDiv w:val="1"/>
      <w:marLeft w:val="0"/>
      <w:marRight w:val="0"/>
      <w:marTop w:val="0"/>
      <w:marBottom w:val="0"/>
      <w:divBdr>
        <w:top w:val="none" w:sz="0" w:space="0" w:color="auto"/>
        <w:left w:val="none" w:sz="0" w:space="0" w:color="auto"/>
        <w:bottom w:val="none" w:sz="0" w:space="0" w:color="auto"/>
        <w:right w:val="none" w:sz="0" w:space="0" w:color="auto"/>
      </w:divBdr>
    </w:div>
    <w:div w:id="1552613803">
      <w:bodyDiv w:val="1"/>
      <w:marLeft w:val="0"/>
      <w:marRight w:val="0"/>
      <w:marTop w:val="0"/>
      <w:marBottom w:val="0"/>
      <w:divBdr>
        <w:top w:val="none" w:sz="0" w:space="0" w:color="auto"/>
        <w:left w:val="none" w:sz="0" w:space="0" w:color="auto"/>
        <w:bottom w:val="none" w:sz="0" w:space="0" w:color="auto"/>
        <w:right w:val="none" w:sz="0" w:space="0" w:color="auto"/>
      </w:divBdr>
    </w:div>
    <w:div w:id="1623413780">
      <w:bodyDiv w:val="1"/>
      <w:marLeft w:val="0"/>
      <w:marRight w:val="0"/>
      <w:marTop w:val="0"/>
      <w:marBottom w:val="0"/>
      <w:divBdr>
        <w:top w:val="none" w:sz="0" w:space="0" w:color="auto"/>
        <w:left w:val="none" w:sz="0" w:space="0" w:color="auto"/>
        <w:bottom w:val="none" w:sz="0" w:space="0" w:color="auto"/>
        <w:right w:val="none" w:sz="0" w:space="0" w:color="auto"/>
      </w:divBdr>
    </w:div>
    <w:div w:id="1630015589">
      <w:bodyDiv w:val="1"/>
      <w:marLeft w:val="0"/>
      <w:marRight w:val="0"/>
      <w:marTop w:val="0"/>
      <w:marBottom w:val="0"/>
      <w:divBdr>
        <w:top w:val="none" w:sz="0" w:space="0" w:color="auto"/>
        <w:left w:val="none" w:sz="0" w:space="0" w:color="auto"/>
        <w:bottom w:val="none" w:sz="0" w:space="0" w:color="auto"/>
        <w:right w:val="none" w:sz="0" w:space="0" w:color="auto"/>
      </w:divBdr>
    </w:div>
    <w:div w:id="1748073964">
      <w:bodyDiv w:val="1"/>
      <w:marLeft w:val="0"/>
      <w:marRight w:val="0"/>
      <w:marTop w:val="0"/>
      <w:marBottom w:val="0"/>
      <w:divBdr>
        <w:top w:val="none" w:sz="0" w:space="0" w:color="auto"/>
        <w:left w:val="none" w:sz="0" w:space="0" w:color="auto"/>
        <w:bottom w:val="none" w:sz="0" w:space="0" w:color="auto"/>
        <w:right w:val="none" w:sz="0" w:space="0" w:color="auto"/>
      </w:divBdr>
    </w:div>
    <w:div w:id="1760321896">
      <w:bodyDiv w:val="1"/>
      <w:marLeft w:val="0"/>
      <w:marRight w:val="0"/>
      <w:marTop w:val="0"/>
      <w:marBottom w:val="0"/>
      <w:divBdr>
        <w:top w:val="none" w:sz="0" w:space="0" w:color="auto"/>
        <w:left w:val="none" w:sz="0" w:space="0" w:color="auto"/>
        <w:bottom w:val="none" w:sz="0" w:space="0" w:color="auto"/>
        <w:right w:val="none" w:sz="0" w:space="0" w:color="auto"/>
      </w:divBdr>
    </w:div>
    <w:div w:id="1789010607">
      <w:bodyDiv w:val="1"/>
      <w:marLeft w:val="0"/>
      <w:marRight w:val="0"/>
      <w:marTop w:val="0"/>
      <w:marBottom w:val="0"/>
      <w:divBdr>
        <w:top w:val="none" w:sz="0" w:space="0" w:color="auto"/>
        <w:left w:val="none" w:sz="0" w:space="0" w:color="auto"/>
        <w:bottom w:val="none" w:sz="0" w:space="0" w:color="auto"/>
        <w:right w:val="none" w:sz="0" w:space="0" w:color="auto"/>
      </w:divBdr>
    </w:div>
    <w:div w:id="1833372163">
      <w:bodyDiv w:val="1"/>
      <w:marLeft w:val="0"/>
      <w:marRight w:val="0"/>
      <w:marTop w:val="0"/>
      <w:marBottom w:val="0"/>
      <w:divBdr>
        <w:top w:val="none" w:sz="0" w:space="0" w:color="auto"/>
        <w:left w:val="none" w:sz="0" w:space="0" w:color="auto"/>
        <w:bottom w:val="none" w:sz="0" w:space="0" w:color="auto"/>
        <w:right w:val="none" w:sz="0" w:space="0" w:color="auto"/>
      </w:divBdr>
    </w:div>
    <w:div w:id="1980500944">
      <w:bodyDiv w:val="1"/>
      <w:marLeft w:val="0"/>
      <w:marRight w:val="0"/>
      <w:marTop w:val="0"/>
      <w:marBottom w:val="0"/>
      <w:divBdr>
        <w:top w:val="none" w:sz="0" w:space="0" w:color="auto"/>
        <w:left w:val="none" w:sz="0" w:space="0" w:color="auto"/>
        <w:bottom w:val="none" w:sz="0" w:space="0" w:color="auto"/>
        <w:right w:val="none" w:sz="0" w:space="0" w:color="auto"/>
      </w:divBdr>
    </w:div>
    <w:div w:id="2020309707">
      <w:bodyDiv w:val="1"/>
      <w:marLeft w:val="0"/>
      <w:marRight w:val="0"/>
      <w:marTop w:val="0"/>
      <w:marBottom w:val="0"/>
      <w:divBdr>
        <w:top w:val="none" w:sz="0" w:space="0" w:color="auto"/>
        <w:left w:val="none" w:sz="0" w:space="0" w:color="auto"/>
        <w:bottom w:val="none" w:sz="0" w:space="0" w:color="auto"/>
        <w:right w:val="none" w:sz="0" w:space="0" w:color="auto"/>
      </w:divBdr>
    </w:div>
    <w:div w:id="2070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32080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29" Type="http://schemas.openxmlformats.org/officeDocument/2006/relationships/header" Target="header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theme" Target="theme/theme1.xml"/><Relationship Id="rId37" Type="http://schemas.microsoft.com/office/2018/08/relationships/commentsExtensible" Target="commentsExtensible.xml"/><Relationship Id="rId40"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5269-4521-47FE-9120-45B8E647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39</Pages>
  <Words>21806</Words>
  <Characters>117754</Characters>
  <Application>Microsoft Office Word</Application>
  <DocSecurity>0</DocSecurity>
  <Lines>981</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27</cp:revision>
  <cp:lastPrinted>2020-11-15T14:31:00Z</cp:lastPrinted>
  <dcterms:created xsi:type="dcterms:W3CDTF">2020-11-21T15:00:00Z</dcterms:created>
  <dcterms:modified xsi:type="dcterms:W3CDTF">2020-11-21T17:47:00Z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http://www.zotero.org/styles/associacao-brasileira-de-normas-tecnicas-ipea</vt:lpwstr>
  </property>
  <property fmtid="{D5CDD505-2E9C-101B-9397-08002B2CF9AE}" pid="15" name="Mendeley Recent Style Name 6_1">
    <vt:lpwstr>Instituto de Pesquisa Econômica Aplicada - ABNT (Portuguese - Brazil)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8b763f40-09ea-31a7-afe6-e1caa9e2ed96</vt:lpwstr>
  </property>
  <property fmtid="{D5CDD505-2E9C-101B-9397-08002B2CF9AE}" pid="24" name="Mendeley Citation Style_1">
    <vt:lpwstr>http://www.zotero.org/styles/associacao-brasileira-de-normas-tecnicas-usp-fmvz</vt:lpwstr>
  </property>
</Properties>
</file>