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INVESTIGACIÓN DE NORMATIVA CONTABLE APLICABLE A SUNGAMES, S.A. DE C.V.</w:t>
      </w:r>
      <w:r w:rsidRPr="006A0BD4">
        <w:rPr>
          <w:i/>
          <w:iCs/>
          <w:lang w:val="es-ES"/>
        </w:rPr>
        <w:t>”</w:t>
      </w:r>
    </w:p>
    <w:p w14:paraId="6E3B9469" w14:textId="77777777" w:rsidR="006A0BD4" w:rsidRPr="006A0BD4" w:rsidRDefault="006A0BD4" w:rsidP="005F2EE5">
      <w:pPr>
        <w:jc w:val="center"/>
        <w:rPr>
          <w:i/>
          <w:iCs/>
          <w:lang w:val="es-ES"/>
        </w:rPr>
      </w:pPr>
    </w:p>
    <w:p w14:paraId="7EB97C5F" w14:textId="1A1752F8" w:rsidR="006A0BD4" w:rsidRPr="006A0BD4" w:rsidRDefault="006A0BD4" w:rsidP="005F2EE5">
      <w:pPr>
        <w:jc w:val="center"/>
        <w:rPr>
          <w:lang w:val="es-ES"/>
        </w:rPr>
      </w:pPr>
      <w:r w:rsidRPr="006A0BD4">
        <w:rPr>
          <w:lang w:val="es-ES"/>
        </w:rPr>
        <w:t>PRESENTADO POR:</w:t>
      </w:r>
    </w:p>
    <w:p w14:paraId="2CE54F02" w14:textId="0BD6B18A" w:rsidR="006A0BD4" w:rsidRPr="006A0BD4" w:rsidRDefault="006A0BD4" w:rsidP="005F2EE5">
      <w:pPr>
        <w:jc w:val="center"/>
        <w:rPr>
          <w:lang w:val="es-ES"/>
        </w:rPr>
      </w:pP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proofErr w:type="gramStart"/>
            <w:r w:rsidRPr="006A0BD4">
              <w:rPr>
                <w:lang w:val="es-ES"/>
              </w:rPr>
              <w:t>CARNET</w:t>
            </w:r>
            <w:proofErr w:type="gramEnd"/>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1085500"/>
      <w:r w:rsidRPr="00F30F2C">
        <w:rPr>
          <w:b/>
          <w:lang w:val="es-SV"/>
        </w:rPr>
        <w:lastRenderedPageBreak/>
        <w:t>TABLA DE CONTENIDO</w:t>
      </w:r>
      <w:bookmarkEnd w:id="0"/>
    </w:p>
    <w:p>
      <w:pPr>
        <w:pStyle w:val="TDC1"/>
        <w:tabs>
          <w:tab w:val="right" w:leader="hyphen" w:pos="9350"/>
        </w:tabs>
        <w:rPr>
          <w:noProof/>
          <w:sz w:val="24"/>
        </w:rPr>
      </w:pPr>
      <w:r>
        <w:rPr>
          <w:lang w:val="es-SV"/>
        </w:rPr>
        <w:fldChar w:fldCharType="begin"/>
      </w:r>
      <w:r>
        <w:rPr>
          <w:lang w:val="es-SV"/>
        </w:rPr>
        <w:instrText xml:space="preserve"> TOC \o "1-3" \h \z \u </w:instrText>
      </w:r>
      <w:r>
        <w:rPr>
          <w:lang w:val="es-SV"/>
        </w:rPr>
        <w:fldChar w:fldCharType="separate"/>
      </w:r>
      <w:hyperlink w:anchor="TocINC100" w:history="1">
        <w:r>
          <w:rPr>
            <w:rStyle w:val="Hipervnculo"/>
            <w:noProof/>
            <w:lang w:val="es-SV"/>
          </w:rPr>
          <w:t xml:space="preserve">Introducción</w:t>
        </w:r>
        <w:r>
          <w:rPr>
            <w:noProof/>
            <w:webHidden/>
          </w:rPr>
          <w:tab/>
        </w:r>
        <w:r>
          <w:rPr>
            <w:noProof/>
            <w:webHidden/>
          </w:rPr>
          <w:fldChar w:fldCharType="begin"/>
        </w:r>
        <w:r>
          <w:rPr>
            <w:noProof/>
            <w:webHidden/>
          </w:rPr>
          <w:instrText xml:space="preserve"> PAGEREF TocINC100 \h </w:instrText>
        </w:r>
        <w:r>
          <w:rPr>
            <w:noProof/>
            <w:webHidden/>
          </w:rPr>
          <w:fldChar w:fldCharType="separate"/>
        </w:r>
        <w:r>
          <w:rPr>
            <w:noProof/>
            <w:webHidden/>
          </w:rPr>
          <w:t>3</w:t>
        </w:r>
        <w:r>
          <w:rPr>
            <w:noProof/>
            <w:webHidden/>
          </w:rPr>
          <w:fldChar w:fldCharType="end"/>
        </w:r>
      </w:hyperlink>
    </w:p>
    <w:p>
      <w:pPr>
        <w:pStyle w:val="TDC1"/>
        <w:tabs>
          <w:tab w:val="right" w:leader="hyphen" w:pos="9350"/>
        </w:tabs>
        <w:rPr>
          <w:noProof/>
          <w:sz w:val="24"/>
        </w:rPr>
      </w:pPr>
      <w:hyperlink w:anchor="TocINC101" w:history="1">
        <w:r>
          <w:rPr>
            <w:rStyle w:val="Hipervnculo"/>
            <w:noProof/>
            <w:lang w:val="es-SV"/>
          </w:rPr>
          <w:t xml:space="preserve">Jerarquía Normativa y Marco Aplicable</w:t>
        </w:r>
        <w:r>
          <w:rPr>
            <w:noProof/>
            <w:webHidden/>
          </w:rPr>
          <w:tab/>
        </w:r>
        <w:r>
          <w:rPr>
            <w:noProof/>
            <w:webHidden/>
          </w:rPr>
          <w:fldChar w:fldCharType="begin"/>
        </w:r>
        <w:r>
          <w:rPr>
            <w:noProof/>
            <w:webHidden/>
          </w:rPr>
          <w:instrText xml:space="preserve"> PAGEREF TocINC101 \h </w:instrText>
        </w:r>
        <w:r>
          <w:rPr>
            <w:noProof/>
            <w:webHidden/>
          </w:rPr>
          <w:fldChar w:fldCharType="separate"/>
        </w:r>
        <w:r>
          <w:rPr>
            <w:noProof/>
            <w:webHidden/>
          </w:rPr>
          <w:t>3</w:t>
        </w:r>
        <w:r>
          <w:rPr>
            <w:noProof/>
            <w:webHidden/>
          </w:rPr>
          <w:fldChar w:fldCharType="end"/>
        </w:r>
      </w:hyperlink>
    </w:p>
    <w:p>
      <w:pPr>
        <w:pStyle w:val="TDC1"/>
        <w:tabs>
          <w:tab w:val="right" w:leader="hyphen" w:pos="9350"/>
        </w:tabs>
        <w:rPr>
          <w:noProof/>
          <w:sz w:val="24"/>
        </w:rPr>
      </w:pPr>
      <w:hyperlink w:anchor="TocINC102" w:history="1">
        <w:r>
          <w:rPr>
            <w:rStyle w:val="Hipervnculo"/>
            <w:noProof/>
            <w:lang w:val="es-SV"/>
          </w:rPr>
          <w:t xml:space="preserve">Código de Comercio: Obligaciones Contables del Comerciante</w:t>
        </w:r>
        <w:r>
          <w:rPr>
            <w:noProof/>
            <w:webHidden/>
          </w:rPr>
          <w:tab/>
        </w:r>
        <w:r>
          <w:rPr>
            <w:noProof/>
            <w:webHidden/>
          </w:rPr>
          <w:fldChar w:fldCharType="begin"/>
        </w:r>
        <w:r>
          <w:rPr>
            <w:noProof/>
            <w:webHidden/>
          </w:rPr>
          <w:instrText xml:space="preserve"> PAGEREF TocINC102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INC103" w:history="1">
        <w:r>
          <w:rPr>
            <w:rStyle w:val="Hipervnculo"/>
            <w:noProof/>
            <w:lang w:val="es-SV"/>
          </w:rPr>
          <w:t xml:space="preserve">Libros y contabilidad formal</w:t>
        </w:r>
        <w:r>
          <w:rPr>
            <w:noProof/>
            <w:webHidden/>
          </w:rPr>
          <w:tab/>
        </w:r>
        <w:r>
          <w:rPr>
            <w:noProof/>
            <w:webHidden/>
          </w:rPr>
          <w:fldChar w:fldCharType="begin"/>
        </w:r>
        <w:r>
          <w:rPr>
            <w:noProof/>
            <w:webHidden/>
          </w:rPr>
          <w:instrText xml:space="preserve"> PAGEREF TocINC103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INC104" w:history="1">
        <w:r>
          <w:rPr>
            <w:rStyle w:val="Hipervnculo"/>
            <w:noProof/>
            <w:lang w:val="es-SV"/>
          </w:rPr>
          <w:t xml:space="preserve">Estados financieros y auditoría externa</w:t>
        </w:r>
        <w:r>
          <w:rPr>
            <w:noProof/>
            <w:webHidden/>
          </w:rPr>
          <w:tab/>
        </w:r>
        <w:r>
          <w:rPr>
            <w:noProof/>
            <w:webHidden/>
          </w:rPr>
          <w:fldChar w:fldCharType="begin"/>
        </w:r>
        <w:r>
          <w:rPr>
            <w:noProof/>
            <w:webHidden/>
          </w:rPr>
          <w:instrText xml:space="preserve"> PAGEREF TocINC104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INC105" w:history="1">
        <w:r>
          <w:rPr>
            <w:rStyle w:val="Hipervnculo"/>
            <w:noProof/>
            <w:lang w:val="es-SV"/>
          </w:rPr>
          <w:t xml:space="preserve">Registro mercantil</w:t>
        </w:r>
        <w:r>
          <w:rPr>
            <w:noProof/>
            <w:webHidden/>
          </w:rPr>
          <w:tab/>
        </w:r>
        <w:r>
          <w:rPr>
            <w:noProof/>
            <w:webHidden/>
          </w:rPr>
          <w:fldChar w:fldCharType="begin"/>
        </w:r>
        <w:r>
          <w:rPr>
            <w:noProof/>
            <w:webHidden/>
          </w:rPr>
          <w:instrText xml:space="preserve"> PAGEREF TocINC105 \h </w:instrText>
        </w:r>
        <w:r>
          <w:rPr>
            <w:noProof/>
            <w:webHidden/>
          </w:rPr>
          <w:fldChar w:fldCharType="separate"/>
        </w:r>
        <w:r>
          <w:rPr>
            <w:noProof/>
            <w:webHidden/>
          </w:rPr>
          <w:t>5</w:t>
        </w:r>
        <w:r>
          <w:rPr>
            <w:noProof/>
            <w:webHidden/>
          </w:rPr>
          <w:fldChar w:fldCharType="end"/>
        </w:r>
      </w:hyperlink>
    </w:p>
    <w:p>
      <w:pPr>
        <w:pStyle w:val="TDC1"/>
        <w:tabs>
          <w:tab w:val="right" w:leader="hyphen" w:pos="9350"/>
        </w:tabs>
        <w:rPr>
          <w:noProof/>
          <w:sz w:val="24"/>
        </w:rPr>
      </w:pPr>
      <w:hyperlink w:anchor="TocINC106" w:history="1">
        <w:r>
          <w:rPr>
            <w:rStyle w:val="Hipervnculo"/>
            <w:noProof/>
            <w:lang w:val="es-SV"/>
          </w:rPr>
          <w:t xml:space="preserve">Código Tributario: Contabilidad Formal y Obligaciones del Contribuyente</w:t>
        </w:r>
        <w:r>
          <w:rPr>
            <w:noProof/>
            <w:webHidden/>
          </w:rPr>
          <w:tab/>
        </w:r>
        <w:r>
          <w:rPr>
            <w:noProof/>
            <w:webHidden/>
          </w:rPr>
          <w:fldChar w:fldCharType="begin"/>
        </w:r>
        <w:r>
          <w:rPr>
            <w:noProof/>
            <w:webHidden/>
          </w:rPr>
          <w:instrText xml:space="preserve"> PAGEREF TocINC106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INC107" w:history="1">
        <w:r>
          <w:rPr>
            <w:rStyle w:val="Hipervnculo"/>
            <w:noProof/>
            <w:lang w:val="es-SV"/>
          </w:rPr>
          <w:t xml:space="preserve">Contabilidad formal</w:t>
        </w:r>
        <w:r>
          <w:rPr>
            <w:noProof/>
            <w:webHidden/>
          </w:rPr>
          <w:tab/>
        </w:r>
        <w:r>
          <w:rPr>
            <w:noProof/>
            <w:webHidden/>
          </w:rPr>
          <w:fldChar w:fldCharType="begin"/>
        </w:r>
        <w:r>
          <w:rPr>
            <w:noProof/>
            <w:webHidden/>
          </w:rPr>
          <w:instrText xml:space="preserve"> PAGEREF TocINC107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INC108" w:history="1">
        <w:r>
          <w:rPr>
            <w:rStyle w:val="Hipervnculo"/>
            <w:noProof/>
            <w:lang w:val="es-SV"/>
          </w:rPr>
          <w:t xml:space="preserve">Obligaciones del contador responsable</w:t>
        </w:r>
        <w:r>
          <w:rPr>
            <w:noProof/>
            <w:webHidden/>
          </w:rPr>
          <w:tab/>
        </w:r>
        <w:r>
          <w:rPr>
            <w:noProof/>
            <w:webHidden/>
          </w:rPr>
          <w:fldChar w:fldCharType="begin"/>
        </w:r>
        <w:r>
          <w:rPr>
            <w:noProof/>
            <w:webHidden/>
          </w:rPr>
          <w:instrText xml:space="preserve"> PAGEREF TocINC108 \h </w:instrText>
        </w:r>
        <w:r>
          <w:rPr>
            <w:noProof/>
            <w:webHidden/>
          </w:rPr>
          <w:fldChar w:fldCharType="separate"/>
        </w:r>
        <w:r>
          <w:rPr>
            <w:noProof/>
            <w:webHidden/>
          </w:rPr>
          <w:t>5</w:t>
        </w:r>
        <w:r>
          <w:rPr>
            <w:noProof/>
            <w:webHidden/>
          </w:rPr>
          <w:fldChar w:fldCharType="end"/>
        </w:r>
      </w:hyperlink>
    </w:p>
    <w:p>
      <w:pPr>
        <w:pStyle w:val="TDC1"/>
        <w:tabs>
          <w:tab w:val="right" w:leader="hyphen" w:pos="9350"/>
        </w:tabs>
        <w:rPr>
          <w:noProof/>
          <w:sz w:val="24"/>
        </w:rPr>
      </w:pPr>
      <w:hyperlink w:anchor="TocINC109" w:history="1">
        <w:r>
          <w:rPr>
            <w:rStyle w:val="Hipervnculo"/>
            <w:noProof/>
            <w:lang w:val="es-SV"/>
          </w:rPr>
          <w:t xml:space="preserve">Tributación Aplicable al Giro de la Empresa</w:t>
        </w:r>
        <w:r>
          <w:rPr>
            <w:noProof/>
            <w:webHidden/>
          </w:rPr>
          <w:tab/>
        </w:r>
        <w:r>
          <w:rPr>
            <w:noProof/>
            <w:webHidden/>
          </w:rPr>
          <w:fldChar w:fldCharType="begin"/>
        </w:r>
        <w:r>
          <w:rPr>
            <w:noProof/>
            <w:webHidden/>
          </w:rPr>
          <w:instrText xml:space="preserve"> PAGEREF TocINC109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INC110" w:history="1">
        <w:r>
          <w:rPr>
            <w:rStyle w:val="Hipervnculo"/>
            <w:noProof/>
            <w:lang w:val="es-SV"/>
          </w:rPr>
          <w:t xml:space="preserve">IVA: débito y crédito fiscal</w:t>
        </w:r>
        <w:r>
          <w:rPr>
            <w:noProof/>
            <w:webHidden/>
          </w:rPr>
          <w:tab/>
        </w:r>
        <w:r>
          <w:rPr>
            <w:noProof/>
            <w:webHidden/>
          </w:rPr>
          <w:fldChar w:fldCharType="begin"/>
        </w:r>
        <w:r>
          <w:rPr>
            <w:noProof/>
            <w:webHidden/>
          </w:rPr>
          <w:instrText xml:space="preserve"> PAGEREF TocINC110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INC111" w:history="1">
        <w:r>
          <w:rPr>
            <w:rStyle w:val="Hipervnculo"/>
            <w:noProof/>
            <w:lang w:val="es-SV"/>
          </w:rPr>
          <w:t xml:space="preserve">Impuesto sobre la Renta</w:t>
        </w:r>
        <w:r>
          <w:rPr>
            <w:noProof/>
            <w:webHidden/>
          </w:rPr>
          <w:tab/>
        </w:r>
        <w:r>
          <w:rPr>
            <w:noProof/>
            <w:webHidden/>
          </w:rPr>
          <w:fldChar w:fldCharType="begin"/>
        </w:r>
        <w:r>
          <w:rPr>
            <w:noProof/>
            <w:webHidden/>
          </w:rPr>
          <w:instrText xml:space="preserve"> PAGEREF TocINC111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INC112" w:history="1">
        <w:r>
          <w:rPr>
            <w:rStyle w:val="Hipervnculo"/>
            <w:noProof/>
            <w:lang w:val="es-SV"/>
          </w:rPr>
          <w:t xml:space="preserve">Propiedad Intelectual y Activos del Giro</w:t>
        </w:r>
        <w:r>
          <w:rPr>
            <w:noProof/>
            <w:webHidden/>
          </w:rPr>
          <w:tab/>
        </w:r>
        <w:r>
          <w:rPr>
            <w:noProof/>
            <w:webHidden/>
          </w:rPr>
          <w:fldChar w:fldCharType="begin"/>
        </w:r>
        <w:r>
          <w:rPr>
            <w:noProof/>
            <w:webHidden/>
          </w:rPr>
          <w:instrText xml:space="preserve"> PAGEREF TocINC112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INC113" w:history="1">
        <w:r>
          <w:rPr>
            <w:rStyle w:val="Hipervnculo"/>
            <w:noProof/>
            <w:lang w:val="es-SV"/>
          </w:rPr>
          <w:t xml:space="preserve">Normas Técnicas de Control Interno (Referencia)</w:t>
        </w:r>
        <w:r>
          <w:rPr>
            <w:noProof/>
            <w:webHidden/>
          </w:rPr>
          <w:tab/>
        </w:r>
        <w:r>
          <w:rPr>
            <w:noProof/>
            <w:webHidden/>
          </w:rPr>
          <w:fldChar w:fldCharType="begin"/>
        </w:r>
        <w:r>
          <w:rPr>
            <w:noProof/>
            <w:webHidden/>
          </w:rPr>
          <w:instrText xml:space="preserve"> PAGEREF TocINC113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INC114" w:history="1">
        <w:r>
          <w:rPr>
            <w:rStyle w:val="Hipervnculo"/>
            <w:noProof/>
            <w:lang w:val="es-SV"/>
          </w:rPr>
          <w:t xml:space="preserve">Síntesis de la Normativa Aplicable</w:t>
        </w:r>
        <w:r>
          <w:rPr>
            <w:noProof/>
            <w:webHidden/>
          </w:rPr>
          <w:tab/>
        </w:r>
        <w:r>
          <w:rPr>
            <w:noProof/>
            <w:webHidden/>
          </w:rPr>
          <w:fldChar w:fldCharType="begin"/>
        </w:r>
        <w:r>
          <w:rPr>
            <w:noProof/>
            <w:webHidden/>
          </w:rPr>
          <w:instrText xml:space="preserve"> PAGEREF TocINC114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INC115" w:history="1">
        <w:r>
          <w:rPr>
            <w:rStyle w:val="Hipervnculo"/>
            <w:noProof/>
            <w:lang w:val="es-SV"/>
          </w:rPr>
          <w:t xml:space="preserve">Referencias</w:t>
        </w:r>
        <w:r>
          <w:rPr>
            <w:noProof/>
            <w:webHidden/>
          </w:rPr>
          <w:tab/>
        </w:r>
        <w:r>
          <w:rPr>
            <w:noProof/>
            <w:webHidden/>
          </w:rPr>
          <w:fldChar w:fldCharType="begin"/>
        </w:r>
        <w:r>
          <w:rPr>
            <w:noProof/>
            <w:webHidden/>
          </w:rPr>
          <w:instrText xml:space="preserve"> PAGEREF TocINC115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INC116" w:history="1">
        <w:r>
          <w:rPr>
            <w:rStyle w:val="Hipervnculo"/>
            <w:noProof/>
            <w:lang w:val="es-SV"/>
          </w:rPr>
          <w:t xml:space="preserve">CONTROL DE VERSIONES Y ELABORACIÓN DEL DOCUMENTO</w:t>
        </w:r>
        <w:r>
          <w:rPr>
            <w:noProof/>
            <w:webHidden/>
          </w:rPr>
          <w:tab/>
        </w:r>
        <w:r>
          <w:rPr>
            <w:noProof/>
            <w:webHidden/>
          </w:rPr>
          <w:fldChar w:fldCharType="begin"/>
        </w:r>
        <w:r>
          <w:rPr>
            <w:noProof/>
            <w:webHidden/>
          </w:rPr>
          <w:instrText xml:space="preserve"> PAGEREF TocINC116 \h </w:instrText>
        </w:r>
        <w:r>
          <w:rPr>
            <w:noProof/>
            <w:webHidden/>
          </w:rPr>
          <w:fldChar w:fldCharType="separate"/>
        </w:r>
        <w:r>
          <w:rPr>
            <w:noProof/>
            <w:webHidden/>
          </w:rPr>
          <w:t>7</w:t>
        </w:r>
        <w:r>
          <w:rPr>
            <w:noProof/>
            <w:webHidden/>
          </w:rPr>
          <w:fldChar w:fldCharType="end"/>
        </w:r>
      </w:hyperlink>
    </w:p>
    <w:p>
      <w:pPr/>
      <w:r>
        <w:rPr>
          <w:lang w:val="es-SV"/>
        </w:rPr>
        <w:fldChar w:fldCharType="end"/>
      </w:r>
      <w:r>
        <w:rPr>
          <w:lang w:val="es-SV"/>
        </w:rPr>
        <w:br w:type="page"/>
      </w:r>
    </w:p>
    <w:p>
      <w:pPr>
        <w:pStyle w:val="Ttulo1"/>
        <w:jc w:val="center"/>
        <w:rPr>
          <w:rFonts w:ascii="Times New Roman" w:hAnsi="Times New Roman" w:cs="Times New Roman"/>
          <w:color w:val="auto"/>
          <w:sz w:val="24"/>
          <w:szCs w:val="24"/>
          <w:lang w:val="es-SV"/>
        </w:rPr>
      </w:pPr>
      <w:bookmarkStart w:id="100" w:name="TocINC100"/>
      <w:r>
        <w:rPr>
          <w:rFonts w:ascii="Times New Roman" w:hAnsi="Times New Roman" w:cs="Times New Roman"/>
          <w:color w:val="auto"/>
          <w:sz w:val="24"/>
          <w:szCs w:val="24"/>
          <w:lang w:val="es-SV"/>
        </w:rPr>
        <w:t xml:space="preserve">Introducción</w:t>
      </w:r>
      <w:bookmarkEnd w:id="100"/>
    </w:p>
    <w:p>
      <w:pPr>
        <w:ind w:firstLine="720"/>
      </w:pPr>
      <w:r>
        <w:rPr/>
        <w:t xml:space="preserve">La presente investigación identifica y analiza la normativa contable, comercial y tributaria aplicable a SunGames, S.A. de C.V. como sociedad anónima de capital variable dedicada al desarrollo y comercialización de videojuegos mediante licencias. El propósito es delimitar el marco legal que la empresa debe cumplir y traducirlo en lineamientos prácticos para el diseño de su sistema contable.</w:t>
      </w:r>
    </w:p>
    <w:p>
      <w:pPr/>
      <w:r>
        <w:br w:type="page"/>
      </w:r>
    </w:p>
    <w:p>
      <w:pPr>
        <w:pStyle w:val="Ttulo1"/>
        <w:jc w:val="center"/>
        <w:rPr>
          <w:rFonts w:ascii="Times New Roman" w:hAnsi="Times New Roman" w:cs="Times New Roman"/>
          <w:color w:val="auto"/>
          <w:sz w:val="24"/>
          <w:szCs w:val="24"/>
          <w:lang w:val="es-SV"/>
        </w:rPr>
      </w:pPr>
      <w:bookmarkStart w:id="101" w:name="TocINC101"/>
      <w:r>
        <w:rPr>
          <w:rFonts w:ascii="Times New Roman" w:hAnsi="Times New Roman" w:cs="Times New Roman"/>
          <w:color w:val="auto"/>
          <w:sz w:val="24"/>
          <w:szCs w:val="24"/>
          <w:lang w:val="es-SV"/>
        </w:rPr>
        <w:t xml:space="preserve">Jerarquía Normativa y Marco Aplicable</w:t>
      </w:r>
      <w:bookmarkEnd w:id="101"/>
    </w:p>
    <w:p>
      <w:pPr>
        <w:ind w:firstLine="720"/>
      </w:pPr>
      <w:r>
        <w:rPr/>
        <w:t xml:space="preserve">El ordenamiento jurídico salvadoreño se estructura jerárquicamente, de modo que las normas de rango inferior no pueden contradecir a las superiores. Para el sistema contable de SunGames interesan, en su orden: la Constitución de la República (Asamblea Legislativa de la República de El Salvador, 1983), el Código de Comercio (Asamblea Legislativa de la República de El Salvador, 1970), el Código Tributario y sus reglamentos (Asamblea Legislativa de la República de El Salvador, 2000), la Ley del Impuesto a la Transferencia de Bienes Muebles y a la Prestación de Servicios (IVA, 1992), la Ley de Impuesto sobre la Renta (1991), la Ley de Propiedad Intelectual (1993) y, en el plano técnico-contable, las normas de información financiera NIIF para PYMES (Consejo de Normas Internacionales de Contabilidad, 2015).</w:t>
      </w:r>
    </w:p>
    <w:p>
      <w:pPr/>
      <w:r>
        <w:br w:type="page"/>
      </w:r>
    </w:p>
    <w:p>
      <w:pPr>
        <w:pStyle w:val="Ttulo1"/>
        <w:jc w:val="center"/>
        <w:rPr>
          <w:rFonts w:ascii="Times New Roman" w:hAnsi="Times New Roman" w:cs="Times New Roman"/>
          <w:color w:val="auto"/>
          <w:sz w:val="24"/>
          <w:szCs w:val="24"/>
          <w:lang w:val="es-SV"/>
        </w:rPr>
      </w:pPr>
      <w:bookmarkStart w:id="102" w:name="TocINC102"/>
      <w:r>
        <w:rPr>
          <w:rFonts w:ascii="Times New Roman" w:hAnsi="Times New Roman" w:cs="Times New Roman"/>
          <w:color w:val="auto"/>
          <w:sz w:val="24"/>
          <w:szCs w:val="24"/>
          <w:lang w:val="es-SV"/>
        </w:rPr>
        <w:t xml:space="preserve">Código de Comercio: Obligaciones Contables del Comerciante</w:t>
      </w:r>
      <w:bookmarkEnd w:id="102"/>
    </w:p>
    <w:p>
      <w:pPr>
        <w:pStyle w:val="Ttulo2"/>
        <w:rPr>
          <w:rFonts w:ascii="Times New Roman" w:hAnsi="Times New Roman" w:cs="Times New Roman"/>
          <w:color w:val="auto"/>
          <w:sz w:val="24"/>
          <w:szCs w:val="24"/>
          <w:lang w:val="es-SV"/>
        </w:rPr>
      </w:pPr>
      <w:bookmarkStart w:id="103" w:name="TocINC103"/>
      <w:r>
        <w:rPr>
          <w:rFonts w:ascii="Times New Roman" w:hAnsi="Times New Roman" w:cs="Times New Roman"/>
          <w:color w:val="auto"/>
          <w:sz w:val="24"/>
          <w:szCs w:val="24"/>
          <w:lang w:val="es-SV"/>
        </w:rPr>
        <w:t xml:space="preserve">Libros y contabilidad formal</w:t>
      </w:r>
      <w:bookmarkEnd w:id="103"/>
    </w:p>
    <w:p>
      <w:pPr>
        <w:ind w:firstLine="720"/>
      </w:pPr>
      <w:r>
        <w:rPr/>
        <w:t xml:space="preserve">El Código de Comercio (Asamblea Legislativa de la República de El Salvador, 1970) regula las obligaciones contables del comerciante social. Los artículos 435 y siguientes establecen la obligación de llevar libros de contabilidad: diario, mayor y mayores auxiliares, así como los libros sociales (actas de juntas, registro de accionistas). El sistema contable de SunGames debe generar y conservar el libro diario y el libro mayor de manera íntegra y cronológica.</w:t>
      </w:r>
    </w:p>
    <w:p>
      <w:pPr>
        <w:pStyle w:val="Ttulo2"/>
        <w:rPr>
          <w:rFonts w:ascii="Times New Roman" w:hAnsi="Times New Roman" w:cs="Times New Roman"/>
          <w:color w:val="auto"/>
          <w:sz w:val="24"/>
          <w:szCs w:val="24"/>
          <w:lang w:val="es-SV"/>
        </w:rPr>
      </w:pPr>
      <w:bookmarkStart w:id="104" w:name="TocINC104"/>
      <w:r>
        <w:rPr>
          <w:rFonts w:ascii="Times New Roman" w:hAnsi="Times New Roman" w:cs="Times New Roman"/>
          <w:color w:val="auto"/>
          <w:sz w:val="24"/>
          <w:szCs w:val="24"/>
          <w:lang w:val="es-SV"/>
        </w:rPr>
        <w:t xml:space="preserve">Estados financieros y auditoría externa</w:t>
      </w:r>
      <w:bookmarkEnd w:id="104"/>
    </w:p>
    <w:p>
      <w:pPr>
        <w:ind w:firstLine="720"/>
      </w:pPr>
      <w:r>
        <w:rPr/>
        <w:t xml:space="preserve">Los artículos 282 a 291 del Código de Comercio regulan la elaboración del balance general anual y de la memoria, así como la vigilancia de la sociedad mediante un auditor externo designado por la junta general. Para la sociedad, el auditor externo se encuentra pendiente de designación en el expediente simulado, y su nombramiento debe resolverse conforme al art. 286.</w:t>
      </w:r>
    </w:p>
    <w:p>
      <w:pPr>
        <w:pStyle w:val="Ttulo2"/>
        <w:rPr>
          <w:rFonts w:ascii="Times New Roman" w:hAnsi="Times New Roman" w:cs="Times New Roman"/>
          <w:color w:val="auto"/>
          <w:sz w:val="24"/>
          <w:szCs w:val="24"/>
          <w:lang w:val="es-SV"/>
        </w:rPr>
      </w:pPr>
      <w:bookmarkStart w:id="105" w:name="TocINC105"/>
      <w:r>
        <w:rPr>
          <w:rFonts w:ascii="Times New Roman" w:hAnsi="Times New Roman" w:cs="Times New Roman"/>
          <w:color w:val="auto"/>
          <w:sz w:val="24"/>
          <w:szCs w:val="24"/>
          <w:lang w:val="es-SV"/>
        </w:rPr>
        <w:t xml:space="preserve">Registro mercantil</w:t>
      </w:r>
      <w:bookmarkEnd w:id="105"/>
    </w:p>
    <w:p>
      <w:pPr>
        <w:ind w:firstLine="720"/>
      </w:pPr>
      <w:r>
        <w:rPr/>
        <w:t xml:space="preserve">La sociedad debe mantener vigente su matrícula de empresa (art. 411 del Código de Comercio) y realizar la inscripción de los actos y documentos que la ley exige en el Registro de Comercio del Centro Nacional de Registros, incluido el depósito de los estados financieros auditados cuando corresponda.</w:t>
      </w:r>
    </w:p>
    <w:p>
      <w:pPr/>
      <w:r>
        <w:br w:type="page"/>
      </w:r>
    </w:p>
    <w:p>
      <w:pPr>
        <w:pStyle w:val="Ttulo1"/>
        <w:jc w:val="center"/>
        <w:rPr>
          <w:rFonts w:ascii="Times New Roman" w:hAnsi="Times New Roman" w:cs="Times New Roman"/>
          <w:color w:val="auto"/>
          <w:sz w:val="24"/>
          <w:szCs w:val="24"/>
          <w:lang w:val="es-SV"/>
        </w:rPr>
      </w:pPr>
      <w:bookmarkStart w:id="106" w:name="TocINC106"/>
      <w:r>
        <w:rPr>
          <w:rFonts w:ascii="Times New Roman" w:hAnsi="Times New Roman" w:cs="Times New Roman"/>
          <w:color w:val="auto"/>
          <w:sz w:val="24"/>
          <w:szCs w:val="24"/>
          <w:lang w:val="es-SV"/>
        </w:rPr>
        <w:t xml:space="preserve">Código Tributario: Contabilidad Formal y Obligaciones del Contribuyente</w:t>
      </w:r>
      <w:bookmarkEnd w:id="106"/>
    </w:p>
    <w:p>
      <w:pPr>
        <w:pStyle w:val="Ttulo2"/>
        <w:rPr>
          <w:rFonts w:ascii="Times New Roman" w:hAnsi="Times New Roman" w:cs="Times New Roman"/>
          <w:color w:val="auto"/>
          <w:sz w:val="24"/>
          <w:szCs w:val="24"/>
          <w:lang w:val="es-SV"/>
        </w:rPr>
      </w:pPr>
      <w:bookmarkStart w:id="107" w:name="TocINC107"/>
      <w:r>
        <w:rPr>
          <w:rFonts w:ascii="Times New Roman" w:hAnsi="Times New Roman" w:cs="Times New Roman"/>
          <w:color w:val="auto"/>
          <w:sz w:val="24"/>
          <w:szCs w:val="24"/>
          <w:lang w:val="es-SV"/>
        </w:rPr>
        <w:t xml:space="preserve">Contabilidad formal</w:t>
      </w:r>
      <w:bookmarkEnd w:id="107"/>
    </w:p>
    <w:p>
      <w:pPr>
        <w:ind w:firstLine="720"/>
      </w:pPr>
      <w:r>
        <w:rPr/>
        <w:t xml:space="preserve">El Código Tributario (Asamblea Legislativa de la República de El Salvador, 2000) impone a los contribuyentes la obligación de llevar contabilidad formal en sus arts. 139 a 142, incluyendo los registros especiales de compras, ventas y los demás que establezca la Administración Tributaria. El sistema contable debe soportar estos registros y permitir emitir la documentación de soporte de cada operación.</w:t>
      </w:r>
    </w:p>
    <w:p>
      <w:pPr>
        <w:pStyle w:val="Ttulo2"/>
        <w:rPr>
          <w:rFonts w:ascii="Times New Roman" w:hAnsi="Times New Roman" w:cs="Times New Roman"/>
          <w:color w:val="auto"/>
          <w:sz w:val="24"/>
          <w:szCs w:val="24"/>
          <w:lang w:val="es-SV"/>
        </w:rPr>
      </w:pPr>
      <w:bookmarkStart w:id="108" w:name="TocINC108"/>
      <w:r>
        <w:rPr>
          <w:rFonts w:ascii="Times New Roman" w:hAnsi="Times New Roman" w:cs="Times New Roman"/>
          <w:color w:val="auto"/>
          <w:sz w:val="24"/>
          <w:szCs w:val="24"/>
          <w:lang w:val="es-SV"/>
        </w:rPr>
        <w:t xml:space="preserve">Obligaciones del contador responsable</w:t>
      </w:r>
      <w:bookmarkEnd w:id="108"/>
    </w:p>
    <w:p>
      <w:pPr>
        <w:ind w:firstLine="720"/>
      </w:pPr>
      <w:r>
        <w:rPr/>
        <w:t xml:space="preserve">El art. 149-C del Código Tributario regula las obligaciones del contador responsable de la empresa, entre ellas la de firmar los estados financieros y responder por la veracidad de la información presentada a la Administración Tributaria. Esta figura debe quedar reflejada en la asignación de perfiles del sistema contable.</w:t>
      </w:r>
    </w:p>
    <w:p>
      <w:pPr/>
      <w:r>
        <w:br w:type="page"/>
      </w:r>
    </w:p>
    <w:p>
      <w:pPr>
        <w:pStyle w:val="Ttulo1"/>
        <w:jc w:val="center"/>
        <w:rPr>
          <w:rFonts w:ascii="Times New Roman" w:hAnsi="Times New Roman" w:cs="Times New Roman"/>
          <w:color w:val="auto"/>
          <w:sz w:val="24"/>
          <w:szCs w:val="24"/>
          <w:lang w:val="es-SV"/>
        </w:rPr>
      </w:pPr>
      <w:bookmarkStart w:id="109" w:name="TocINC109"/>
      <w:r>
        <w:rPr>
          <w:rFonts w:ascii="Times New Roman" w:hAnsi="Times New Roman" w:cs="Times New Roman"/>
          <w:color w:val="auto"/>
          <w:sz w:val="24"/>
          <w:szCs w:val="24"/>
          <w:lang w:val="es-SV"/>
        </w:rPr>
        <w:t xml:space="preserve">Tributación Aplicable al Giro de la Empresa</w:t>
      </w:r>
      <w:bookmarkEnd w:id="109"/>
    </w:p>
    <w:p>
      <w:pPr>
        <w:pStyle w:val="Ttulo2"/>
        <w:rPr>
          <w:rFonts w:ascii="Times New Roman" w:hAnsi="Times New Roman" w:cs="Times New Roman"/>
          <w:color w:val="auto"/>
          <w:sz w:val="24"/>
          <w:szCs w:val="24"/>
          <w:lang w:val="es-SV"/>
        </w:rPr>
      </w:pPr>
      <w:bookmarkStart w:id="110" w:name="TocINC110"/>
      <w:r>
        <w:rPr>
          <w:rFonts w:ascii="Times New Roman" w:hAnsi="Times New Roman" w:cs="Times New Roman"/>
          <w:color w:val="auto"/>
          <w:sz w:val="24"/>
          <w:szCs w:val="24"/>
          <w:lang w:val="es-SV"/>
        </w:rPr>
        <w:t xml:space="preserve">IVA: débito y crédito fiscal</w:t>
      </w:r>
      <w:bookmarkEnd w:id="110"/>
    </w:p>
    <w:p>
      <w:pPr>
        <w:ind w:firstLine="720"/>
      </w:pPr>
      <w:r>
        <w:rPr/>
        <w:t xml:space="preserve">La Ley del Impuesto a la Transferencia de Bienes Muebles y a la Prestación de Servicios (Asamblea Legislativa de la República de El Salvador, 1992) grava con la tarifa general (13%) la venta de bienes y la prestación de servicios. Para SunGames, las ventas de videojuegos y servicios de desarrollo generan IVA débito, mientras que las compras de insumos, servicios y tecnología generan crédito fiscal. El sistema debe determinar mensualmente la liquidación del impuesto.</w:t>
      </w:r>
    </w:p>
    <w:p>
      <w:pPr>
        <w:pStyle w:val="Listaconvietas"/>
      </w:pPr>
      <w:r>
        <w:rPr/>
        <w:t xml:space="preserve">IVA débito: se causa por las ventas de videojuegos, licencias y servicios de desarrollo prestados en el país.</w:t>
      </w:r>
    </w:p>
    <w:p>
      <w:pPr>
        <w:pStyle w:val="Listaconvietas"/>
      </w:pPr>
      <w:r>
        <w:rPr/>
        <w:t xml:space="preserve">IVA crédito: se acredita por las compras de bienes y servicios afectos que se utilicen en la operación gravada.</w:t>
      </w:r>
    </w:p>
    <w:p>
      <w:pPr>
        <w:pStyle w:val="Listaconvietas"/>
      </w:pPr>
      <w:r>
        <w:rPr/>
        <w:t xml:space="preserve">Exportaciones de servicios: los servicios de desarrollo prestados a clientes del exterior pueden considerarse exportación de servicios con tratamiento específico; debe verificarse el cumplimiento de los requisitos de la Administración Tributaria.</w:t>
      </w:r>
    </w:p>
    <w:p>
      <w:pPr>
        <w:pStyle w:val="Listaconvietas"/>
      </w:pPr>
      <w:r>
        <w:rPr/>
        <w:t xml:space="preserve">Retenciones: procede aplicar las retenciones del IVA establecidas para determinadas operaciones, conforme a la normativa vigente.</w:t>
      </w:r>
    </w:p>
    <w:p>
      <w:pPr>
        <w:pStyle w:val="Ttulo2"/>
        <w:rPr>
          <w:rFonts w:ascii="Times New Roman" w:hAnsi="Times New Roman" w:cs="Times New Roman"/>
          <w:color w:val="auto"/>
          <w:sz w:val="24"/>
          <w:szCs w:val="24"/>
          <w:lang w:val="es-SV"/>
        </w:rPr>
      </w:pPr>
      <w:bookmarkStart w:id="111" w:name="TocINC111"/>
      <w:r>
        <w:rPr>
          <w:rFonts w:ascii="Times New Roman" w:hAnsi="Times New Roman" w:cs="Times New Roman"/>
          <w:color w:val="auto"/>
          <w:sz w:val="24"/>
          <w:szCs w:val="24"/>
          <w:lang w:val="es-SV"/>
        </w:rPr>
        <w:t xml:space="preserve">Impuesto sobre la Renta</w:t>
      </w:r>
      <w:bookmarkEnd w:id="111"/>
    </w:p>
    <w:p>
      <w:pPr>
        <w:ind w:firstLine="720"/>
      </w:pPr>
      <w:r>
        <w:rPr/>
        <w:t xml:space="preserve">La Ley de Impuesto sobre la Renta (Asamblea Legislativa de la República de El Salvador, 1991) grava la renta obtenida por la sociedad. El sistema contable debe soportar la determinación del resultado contable y de la renta imponible, incluyendo el cálculo del impuesto, los pagos a cuenta y las retenciones efectuadas a los colaboradores y a terceros (planillas y servicios).</w:t>
      </w:r>
    </w:p>
    <w:p>
      <w:pPr/>
      <w:r>
        <w:br w:type="page"/>
      </w:r>
    </w:p>
    <w:p>
      <w:pPr>
        <w:pStyle w:val="Ttulo1"/>
        <w:jc w:val="center"/>
        <w:rPr>
          <w:rFonts w:ascii="Times New Roman" w:hAnsi="Times New Roman" w:cs="Times New Roman"/>
          <w:color w:val="auto"/>
          <w:sz w:val="24"/>
          <w:szCs w:val="24"/>
          <w:lang w:val="es-SV"/>
        </w:rPr>
      </w:pPr>
      <w:bookmarkStart w:id="112" w:name="TocINC112"/>
      <w:r>
        <w:rPr>
          <w:rFonts w:ascii="Times New Roman" w:hAnsi="Times New Roman" w:cs="Times New Roman"/>
          <w:color w:val="auto"/>
          <w:sz w:val="24"/>
          <w:szCs w:val="24"/>
          <w:lang w:val="es-SV"/>
        </w:rPr>
        <w:t xml:space="preserve">Propiedad Intelectual y Activos del Giro</w:t>
      </w:r>
      <w:bookmarkEnd w:id="112"/>
    </w:p>
    <w:p>
      <w:pPr>
        <w:ind w:firstLine="720"/>
      </w:pPr>
      <w:r>
        <w:rPr/>
        <w:t xml:space="preserve">El desarrollo de videojuegos involucra la creación y explotación de activos de propiedad intelectual: software, arte, música y marcas. La Ley de Propiedad Intelectual (Asamblea Legislativa de la República de El Salvador, 1993) y su reglamento protegen estos derechos y permiten a la sociedad registrar sus obras y marcas ante el Instituto Salvadoreño de la Propiedad Intelectual. Contablemente, esto tiene implicaciones en el reconocimiento de activos intangibles y en las licencias y regalías, lo que se desarrolla en el documento de estándares NIIF. La identificación tributaria del giro ante la Administración Tributaria debe describir con precisión el licenciamiento de videojuegos para no usar incorrectamente los códigos de arrendamiento de intangibles (p. ej., 7740001 del catálogo ONEC/BCR).</w:t>
      </w:r>
    </w:p>
    <w:p>
      <w:pPr/>
      <w:r>
        <w:br w:type="page"/>
      </w:r>
    </w:p>
    <w:p>
      <w:pPr>
        <w:pStyle w:val="Ttulo1"/>
        <w:jc w:val="center"/>
        <w:rPr>
          <w:rFonts w:ascii="Times New Roman" w:hAnsi="Times New Roman" w:cs="Times New Roman"/>
          <w:color w:val="auto"/>
          <w:sz w:val="24"/>
          <w:szCs w:val="24"/>
          <w:lang w:val="es-SV"/>
        </w:rPr>
      </w:pPr>
      <w:bookmarkStart w:id="113" w:name="TocINC113"/>
      <w:r>
        <w:rPr>
          <w:rFonts w:ascii="Times New Roman" w:hAnsi="Times New Roman" w:cs="Times New Roman"/>
          <w:color w:val="auto"/>
          <w:sz w:val="24"/>
          <w:szCs w:val="24"/>
          <w:lang w:val="es-SV"/>
        </w:rPr>
        <w:t xml:space="preserve">Normas Técnicas de Control Interno (Referencia)</w:t>
      </w:r>
      <w:bookmarkEnd w:id="113"/>
    </w:p>
    <w:p>
      <w:pPr>
        <w:ind w:firstLine="720"/>
      </w:pPr>
      <w:r>
        <w:rPr/>
        <w:t xml:space="preserve">Las Normas Técnicas de Control Interno emitidas por la Corte de Cuentas de la República son de cumplimiento obligatorio para el sector público; para la empresa privada se adoptan como referente de buenas prácticas en el diseño del ambiente de control (Corte de Cuentas de la República, 2004). En el sistema contable de SunGames se aplican mediante la segregación de funciones, flujos de aprobación y bitácoras de auditoría.</w:t>
      </w:r>
    </w:p>
    <w:p>
      <w:pPr/>
      <w:r>
        <w:br w:type="page"/>
      </w:r>
    </w:p>
    <w:p>
      <w:pPr>
        <w:pStyle w:val="Ttulo1"/>
        <w:jc w:val="center"/>
        <w:rPr>
          <w:rFonts w:ascii="Times New Roman" w:hAnsi="Times New Roman" w:cs="Times New Roman"/>
          <w:color w:val="auto"/>
          <w:sz w:val="24"/>
          <w:szCs w:val="24"/>
          <w:lang w:val="es-SV"/>
        </w:rPr>
      </w:pPr>
      <w:bookmarkStart w:id="114" w:name="TocINC114"/>
      <w:r>
        <w:rPr>
          <w:rFonts w:ascii="Times New Roman" w:hAnsi="Times New Roman" w:cs="Times New Roman"/>
          <w:color w:val="auto"/>
          <w:sz w:val="24"/>
          <w:szCs w:val="24"/>
          <w:lang w:val="es-SV"/>
        </w:rPr>
        <w:t xml:space="preserve">Síntesis de la Normativa Aplicable</w:t>
      </w:r>
      <w:bookmarkEnd w:id="114"/>
    </w:p>
    <w:p>
      <w:pPr>
        <w:keepNext/>
      </w:pPr>
      <w:r>
        <w:rPr>
          <w:b/>
        </w:rPr>
        <w:t xml:space="preserve">Tabla 1</w:t>
      </w:r>
    </w:p>
    <w:p>
      <w:pPr>
        <w:keepNext/>
      </w:pPr>
      <w:r>
        <w:rPr>
          <w:i/>
        </w:rPr>
        <w:t xml:space="preserve">Matriz de normativa aplicable y su repercusión en el sistema contable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2304"/>
        <w:gridCol w:w="4752"/>
      </w:tblGrid>
      <w:tr>
        <w:trPr>
          <w:jc w:val="center"/>
        </w:trPr>
        <w:tc>
          <w:tcPr>
            <w:tcW w:w="2304" w:type="dxa"/>
            <w:tcBorders>
              <w:bottom w:val="single" w:sz="8" w:space="0" w:color="000000"/>
            </w:tcBorders>
          </w:tcPr>
          <w:p>
            <w:pPr>
              <w:spacing w:line="240" w:lineRule="auto"/>
              <w:jc w:val="center"/>
            </w:pPr>
            <w:r>
              <w:rPr>
                <w:b/>
                <w:sz w:val="20"/>
              </w:rPr>
              <w:t xml:space="preserve">Norma</w:t>
            </w:r>
          </w:p>
        </w:tc>
        <w:tc>
          <w:tcPr>
            <w:tcW w:w="2304" w:type="dxa"/>
            <w:tcBorders>
              <w:bottom w:val="single" w:sz="8" w:space="0" w:color="000000"/>
            </w:tcBorders>
          </w:tcPr>
          <w:p>
            <w:pPr>
              <w:spacing w:line="240" w:lineRule="auto"/>
              <w:jc w:val="center"/>
            </w:pPr>
            <w:r>
              <w:rPr>
                <w:b/>
                <w:sz w:val="20"/>
              </w:rPr>
              <w:t xml:space="preserve">Tema</w:t>
            </w:r>
          </w:p>
        </w:tc>
        <w:tc>
          <w:tcPr>
            <w:tcW w:w="4752" w:type="dxa"/>
            <w:tcBorders>
              <w:bottom w:val="single" w:sz="8" w:space="0" w:color="000000"/>
            </w:tcBorders>
          </w:tcPr>
          <w:p>
            <w:pPr>
              <w:spacing w:line="240" w:lineRule="auto"/>
              <w:jc w:val="center"/>
            </w:pPr>
            <w:r>
              <w:rPr>
                <w:b/>
                <w:sz w:val="20"/>
              </w:rPr>
              <w:t xml:space="preserve">Efecto en el sistema contable</w:t>
            </w:r>
          </w:p>
        </w:tc>
      </w:tr>
      <w:tr>
        <w:trPr>
          <w:jc w:val="center"/>
        </w:trPr>
        <w:tc>
          <w:tcPr>
            <w:tcW w:w="2304" w:type="dxa"/>
          </w:tcPr>
          <w:p>
            <w:pPr>
              <w:spacing w:line="240" w:lineRule="auto"/>
            </w:pPr>
            <w:r>
              <w:rPr>
                <w:sz w:val="20"/>
              </w:rPr>
              <w:t xml:space="preserve">Código de Comercio (1970)</w:t>
            </w:r>
          </w:p>
        </w:tc>
        <w:tc>
          <w:tcPr>
            <w:tcW w:w="2304" w:type="dxa"/>
          </w:tcPr>
          <w:p>
            <w:pPr>
              <w:spacing w:line="240" w:lineRule="auto"/>
            </w:pPr>
            <w:r>
              <w:rPr>
                <w:sz w:val="20"/>
              </w:rPr>
              <w:t xml:space="preserve">Libros y contabilidad formal (arts. 435-438); balance y auditoría externa (arts. 282-291); firma social (art. 260)</w:t>
            </w:r>
          </w:p>
        </w:tc>
        <w:tc>
          <w:tcPr>
            <w:tcW w:w="4752" w:type="dxa"/>
          </w:tcPr>
          <w:p>
            <w:pPr>
              <w:spacing w:line="240" w:lineRule="auto"/>
            </w:pPr>
            <w:r>
              <w:rPr>
                <w:sz w:val="20"/>
              </w:rPr>
              <w:t xml:space="preserve">Libro diario y mayor; estados financieros anuales; control de la vigencia de la matrícula.</w:t>
            </w:r>
          </w:p>
        </w:tc>
      </w:tr>
      <w:tr>
        <w:trPr>
          <w:jc w:val="center"/>
        </w:trPr>
        <w:tc>
          <w:tcPr>
            <w:tcW w:w="2304" w:type="dxa"/>
          </w:tcPr>
          <w:p>
            <w:pPr>
              <w:spacing w:line="240" w:lineRule="auto"/>
            </w:pPr>
            <w:r>
              <w:rPr>
                <w:sz w:val="20"/>
              </w:rPr>
              <w:t xml:space="preserve">Código Tributario (2000)</w:t>
            </w:r>
          </w:p>
        </w:tc>
        <w:tc>
          <w:tcPr>
            <w:tcW w:w="2304" w:type="dxa"/>
          </w:tcPr>
          <w:p>
            <w:pPr>
              <w:spacing w:line="240" w:lineRule="auto"/>
            </w:pPr>
            <w:r>
              <w:rPr>
                <w:sz w:val="20"/>
              </w:rPr>
              <w:t xml:space="preserve">Contabilidad formal y registros especiales (arts. 139-142); obligaciones del contador (art. 149-C)</w:t>
            </w:r>
          </w:p>
        </w:tc>
        <w:tc>
          <w:tcPr>
            <w:tcW w:w="4752" w:type="dxa"/>
          </w:tcPr>
          <w:p>
            <w:pPr>
              <w:spacing w:line="240" w:lineRule="auto"/>
            </w:pPr>
            <w:r>
              <w:rPr>
                <w:sz w:val="20"/>
              </w:rPr>
              <w:t xml:space="preserve">Registros de compras/ventas; emisión de comprobantes y soportes; roles de contador responsable.</w:t>
            </w:r>
          </w:p>
        </w:tc>
      </w:tr>
      <w:tr>
        <w:trPr>
          <w:jc w:val="center"/>
        </w:trPr>
        <w:tc>
          <w:tcPr>
            <w:tcW w:w="2304" w:type="dxa"/>
          </w:tcPr>
          <w:p>
            <w:pPr>
              <w:spacing w:line="240" w:lineRule="auto"/>
            </w:pPr>
            <w:r>
              <w:rPr>
                <w:sz w:val="20"/>
              </w:rPr>
              <w:t xml:space="preserve">Ley de IVA (1992)</w:t>
            </w:r>
          </w:p>
        </w:tc>
        <w:tc>
          <w:tcPr>
            <w:tcW w:w="2304" w:type="dxa"/>
          </w:tcPr>
          <w:p>
            <w:pPr>
              <w:spacing w:line="240" w:lineRule="auto"/>
            </w:pPr>
            <w:r>
              <w:rPr>
                <w:sz w:val="20"/>
              </w:rPr>
              <w:t xml:space="preserve">Impuesto a la transferencia de bienes y servicios (tarifa 13%)</w:t>
            </w:r>
          </w:p>
        </w:tc>
        <w:tc>
          <w:tcPr>
            <w:tcW w:w="4752" w:type="dxa"/>
          </w:tcPr>
          <w:p>
            <w:pPr>
              <w:spacing w:line="240" w:lineRule="auto"/>
            </w:pPr>
            <w:r>
              <w:rPr>
                <w:sz w:val="20"/>
              </w:rPr>
              <w:t xml:space="preserve">Cálculo de IVA débito y crédito; liquidaciones mensuales; retenciones.</w:t>
            </w:r>
          </w:p>
        </w:tc>
      </w:tr>
      <w:tr>
        <w:trPr>
          <w:jc w:val="center"/>
        </w:trPr>
        <w:tc>
          <w:tcPr>
            <w:tcW w:w="2304" w:type="dxa"/>
          </w:tcPr>
          <w:p>
            <w:pPr>
              <w:spacing w:line="240" w:lineRule="auto"/>
            </w:pPr>
            <w:r>
              <w:rPr>
                <w:sz w:val="20"/>
              </w:rPr>
              <w:t xml:space="preserve">Ley de Renta (1991)</w:t>
            </w:r>
          </w:p>
        </w:tc>
        <w:tc>
          <w:tcPr>
            <w:tcW w:w="2304" w:type="dxa"/>
          </w:tcPr>
          <w:p>
            <w:pPr>
              <w:spacing w:line="240" w:lineRule="auto"/>
            </w:pPr>
            <w:r>
              <w:rPr>
                <w:sz w:val="20"/>
              </w:rPr>
              <w:t xml:space="preserve">Impuesto sobre la renta de la sociedad</w:t>
            </w:r>
          </w:p>
        </w:tc>
        <w:tc>
          <w:tcPr>
            <w:tcW w:w="4752" w:type="dxa"/>
          </w:tcPr>
          <w:p>
            <w:pPr>
              <w:spacing w:line="240" w:lineRule="auto"/>
            </w:pPr>
            <w:r>
              <w:rPr>
                <w:sz w:val="20"/>
              </w:rPr>
              <w:t xml:space="preserve">Determinación de renta imponible, pagos a cuenta y retenciones de planillas.</w:t>
            </w:r>
          </w:p>
        </w:tc>
      </w:tr>
      <w:tr>
        <w:trPr>
          <w:jc w:val="center"/>
        </w:trPr>
        <w:tc>
          <w:tcPr>
            <w:tcW w:w="2304" w:type="dxa"/>
          </w:tcPr>
          <w:p>
            <w:pPr>
              <w:spacing w:line="240" w:lineRule="auto"/>
            </w:pPr>
            <w:r>
              <w:rPr>
                <w:sz w:val="20"/>
              </w:rPr>
              <w:t xml:space="preserve">Ley de Propiedad Intelectual (1993)</w:t>
            </w:r>
          </w:p>
        </w:tc>
        <w:tc>
          <w:tcPr>
            <w:tcW w:w="2304" w:type="dxa"/>
          </w:tcPr>
          <w:p>
            <w:pPr>
              <w:spacing w:line="240" w:lineRule="auto"/>
            </w:pPr>
            <w:r>
              <w:rPr>
                <w:sz w:val="20"/>
              </w:rPr>
              <w:t xml:space="preserve">Protección de software, obras y marcas</w:t>
            </w:r>
          </w:p>
        </w:tc>
        <w:tc>
          <w:tcPr>
            <w:tcW w:w="4752" w:type="dxa"/>
          </w:tcPr>
          <w:p>
            <w:pPr>
              <w:spacing w:line="240" w:lineRule="auto"/>
            </w:pPr>
            <w:r>
              <w:rPr>
                <w:sz w:val="20"/>
              </w:rPr>
              <w:t xml:space="preserve">Control de intangibles y de licencias y regalías.</w:t>
            </w:r>
          </w:p>
        </w:tc>
      </w:tr>
      <w:tr>
        <w:trPr>
          <w:jc w:val="center"/>
        </w:trPr>
        <w:tc>
          <w:tcPr>
            <w:tcW w:w="2304" w:type="dxa"/>
          </w:tcPr>
          <w:p>
            <w:pPr>
              <w:spacing w:line="240" w:lineRule="auto"/>
            </w:pPr>
            <w:r>
              <w:rPr>
                <w:sz w:val="20"/>
              </w:rPr>
              <w:t xml:space="preserve">NIIF para PYMES (2015)</w:t>
            </w:r>
          </w:p>
        </w:tc>
        <w:tc>
          <w:tcPr>
            <w:tcW w:w="2304" w:type="dxa"/>
          </w:tcPr>
          <w:p>
            <w:pPr>
              <w:spacing w:line="240" w:lineRule="auto"/>
            </w:pPr>
            <w:r>
              <w:rPr>
                <w:sz w:val="20"/>
              </w:rPr>
              <w:t xml:space="preserve">Preparación y presentación de estados financieros</w:t>
            </w:r>
          </w:p>
        </w:tc>
        <w:tc>
          <w:tcPr>
            <w:tcW w:w="4752" w:type="dxa"/>
          </w:tcPr>
          <w:p>
            <w:pPr>
              <w:spacing w:line="240" w:lineRule="auto"/>
            </w:pPr>
            <w:r>
              <w:rPr>
                <w:sz w:val="20"/>
              </w:rPr>
              <w:t xml:space="preserve">Políticas contables, reconocimiento, medición y revelaciones.</w:t>
            </w:r>
          </w:p>
        </w:tc>
      </w:tr>
    </w:tbl>
    <w:p>
      <w:pPr>
        <w:spacing w:before="120" w:line="240" w:lineRule="auto"/>
      </w:pPr>
      <w:r>
        <w:rPr>
          <w:i/>
          <w:sz w:val="22"/>
        </w:rPr>
        <w:t xml:space="preserve">Nota. </w:t>
      </w:r>
      <w:r>
        <w:rPr>
          <w:sz w:val="22"/>
        </w:rPr>
        <w:t xml:space="preserve">Los datos del expediente de la empresa son simulaciones académicas sin validez legal.</w:t>
      </w:r>
    </w:p>
    <w:p>
      <w:pPr>
        <w:keepNext/>
      </w:pPr>
      <w:r>
        <w:rPr>
          <w:b/>
        </w:rPr>
        <w:t xml:space="preserve">Tabla 2</w:t>
      </w:r>
    </w:p>
    <w:p>
      <w:pPr>
        <w:keepNext/>
      </w:pPr>
      <w:r>
        <w:rPr>
          <w:i/>
        </w:rPr>
        <w:t xml:space="preserve">Aprobación y firmas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trPr>
          <w:jc w:val="center"/>
        </w:trPr>
        <w:tc>
          <w:tcPr>
            <w:tcW w:w="3119" w:type="dxa"/>
            <w:tcBorders>
              <w:bottom w:val="single" w:sz="8" w:space="0" w:color="000000"/>
            </w:tcBorders>
          </w:tcPr>
          <w:p>
            <w:pPr>
              <w:spacing w:line="240" w:lineRule="auto"/>
              <w:jc w:val="center"/>
            </w:pPr>
            <w:r>
              <w:rPr>
                <w:b/>
                <w:sz w:val="20"/>
              </w:rPr>
              <w:t xml:space="preserve">Elaborado por</w:t>
            </w:r>
          </w:p>
        </w:tc>
        <w:tc>
          <w:tcPr>
            <w:tcW w:w="3119" w:type="dxa"/>
            <w:tcBorders>
              <w:bottom w:val="single" w:sz="8" w:space="0" w:color="000000"/>
            </w:tcBorders>
          </w:tcPr>
          <w:p>
            <w:pPr>
              <w:spacing w:line="240" w:lineRule="auto"/>
              <w:jc w:val="center"/>
            </w:pPr>
            <w:r>
              <w:rPr>
                <w:b/>
                <w:sz w:val="20"/>
              </w:rPr>
              <w:t xml:space="preserve">Revisado por</w:t>
            </w:r>
          </w:p>
        </w:tc>
        <w:tc>
          <w:tcPr>
            <w:tcW w:w="3122" w:type="dxa"/>
            <w:tcBorders>
              <w:bottom w:val="single" w:sz="8" w:space="0" w:color="000000"/>
            </w:tcBorders>
          </w:tcPr>
          <w:p>
            <w:pPr>
              <w:spacing w:line="240" w:lineRule="auto"/>
              <w:jc w:val="center"/>
            </w:pPr>
            <w:r>
              <w:rPr>
                <w:b/>
                <w:sz w:val="20"/>
              </w:rPr>
              <w:t xml:space="preserve">Aprobado por (Junta Directiva)</w:t>
            </w:r>
          </w:p>
        </w:tc>
      </w:tr>
      <w:tr>
        <w:trPr>
          <w:jc w:val="center"/>
        </w:trPr>
        <w:tc>
          <w:tcPr>
            <w:tcW w:w="3119" w:type="dxa"/>
          </w:tcPr>
          <w:p>
            <w:pPr>
              <w:spacing w:line="240" w:lineRule="auto"/>
            </w:pPr>
            <w:r>
              <w:rPr>
                <w:sz w:val="20"/>
              </w:rPr>
              <w:t xml:space="preserve">Nombre: [____________]</w:t>
            </w:r>
          </w:p>
        </w:tc>
        <w:tc>
          <w:tcPr>
            <w:tcW w:w="3119" w:type="dxa"/>
          </w:tcPr>
          <w:p>
            <w:pPr>
              <w:spacing w:line="240" w:lineRule="auto"/>
            </w:pPr>
            <w:r>
              <w:rPr>
                <w:sz w:val="20"/>
              </w:rPr>
              <w:t xml:space="preserve">Nombre: [____________]</w:t>
            </w:r>
          </w:p>
        </w:tc>
        <w:tc>
          <w:tcPr>
            <w:tcW w:w="3122" w:type="dxa"/>
          </w:tcPr>
          <w:p>
            <w:pPr>
              <w:spacing w:line="240" w:lineRule="auto"/>
            </w:pPr>
            <w:r>
              <w:rPr>
                <w:sz w:val="20"/>
              </w:rPr>
              <w:t xml:space="preserve">Nombre: [____________]</w:t>
            </w:r>
          </w:p>
        </w:tc>
      </w:tr>
      <w:tr>
        <w:trPr>
          <w:jc w:val="center"/>
        </w:trPr>
        <w:tc>
          <w:tcPr>
            <w:tcW w:w="3119" w:type="dxa"/>
          </w:tcPr>
          <w:p>
            <w:pPr>
              <w:spacing w:line="240" w:lineRule="auto"/>
            </w:pPr>
            <w:r>
              <w:rPr>
                <w:sz w:val="20"/>
              </w:rPr>
              <w:t xml:space="preserve">Cargo: [____________]</w:t>
            </w:r>
          </w:p>
        </w:tc>
        <w:tc>
          <w:tcPr>
            <w:tcW w:w="3119" w:type="dxa"/>
          </w:tcPr>
          <w:p>
            <w:pPr>
              <w:spacing w:line="240" w:lineRule="auto"/>
            </w:pPr>
            <w:r>
              <w:rPr>
                <w:sz w:val="20"/>
              </w:rPr>
              <w:t xml:space="preserve">Cargo: [____________]</w:t>
            </w:r>
          </w:p>
        </w:tc>
        <w:tc>
          <w:tcPr>
            <w:tcW w:w="3122" w:type="dxa"/>
          </w:tcPr>
          <w:p>
            <w:pPr>
              <w:spacing w:line="240" w:lineRule="auto"/>
            </w:pPr>
            <w:r>
              <w:rPr>
                <w:sz w:val="20"/>
              </w:rPr>
              <w:t xml:space="preserve">Cargo: [____________]</w:t>
            </w:r>
          </w:p>
        </w:tc>
      </w:tr>
    </w:tbl>
    <w:p>
      <w:pPr/>
      <w:r>
        <w:br w:type="page"/>
      </w:r>
    </w:p>
    <w:p>
      <w:pPr>
        <w:pStyle w:val="Ttulo1"/>
        <w:jc w:val="center"/>
        <w:rPr>
          <w:rFonts w:ascii="Times New Roman" w:hAnsi="Times New Roman" w:cs="Times New Roman"/>
          <w:color w:val="auto"/>
          <w:sz w:val="24"/>
          <w:szCs w:val="24"/>
          <w:lang w:val="es-SV"/>
        </w:rPr>
      </w:pPr>
      <w:bookmarkStart w:id="115" w:name="TocINC115"/>
      <w:r>
        <w:rPr>
          <w:rFonts w:ascii="Times New Roman" w:hAnsi="Times New Roman" w:cs="Times New Roman"/>
          <w:color w:val="auto"/>
          <w:sz w:val="24"/>
          <w:szCs w:val="24"/>
          <w:lang w:val="es-SV"/>
        </w:rPr>
        <w:t xml:space="preserve">Referencias</w:t>
      </w:r>
      <w:bookmarkEnd w:id="115"/>
    </w:p>
    <w:p>
      <w:pPr>
        <w:ind w:left="720" w:hanging="720"/>
      </w:pPr>
      <w:r>
        <w:rPr/>
        <w:t xml:space="preserve">Asamblea Legislativa de la República de El Salvador. (1983). </w:t>
      </w:r>
      <w:r>
        <w:rPr>
          <w:i/>
        </w:rPr>
        <w:t xml:space="preserve">Constitución de la República de El Salvador</w:t>
      </w:r>
      <w:r>
        <w:rPr/>
        <w:t xml:space="preserve"> (Decreto n.° 38 del 15 de diciembre de 1983; Diario Oficial n.° 234, Tomo 281, del 16 de diciembre de 1983).</w:t>
      </w:r>
    </w:p>
    <w:p>
      <w:pPr>
        <w:ind w:left="720" w:hanging="720"/>
      </w:pPr>
      <w:r>
        <w:rPr/>
        <w:t xml:space="preserve">Asamblea Legislativa de la República de El Salvador. (1970). </w:t>
      </w:r>
      <w:r>
        <w:rPr>
          <w:i/>
        </w:rPr>
        <w:t xml:space="preserve">Código de comercio de la República de El Salvador</w:t>
      </w:r>
      <w:r>
        <w:rPr/>
        <w:t xml:space="preserve"> (Decreto Legislativo n.° 671 del 8 de mayo de 1970; Diario Oficial n.° 140, Tomo 228, del 31 de julio de 1970).</w:t>
      </w:r>
    </w:p>
    <w:p>
      <w:pPr>
        <w:ind w:left="720" w:hanging="720"/>
      </w:pPr>
      <w:r>
        <w:rPr/>
        <w:t xml:space="preserve">Asamblea Legislativa de la República de El Salvador. (2000). </w:t>
      </w:r>
      <w:r>
        <w:rPr>
          <w:i/>
        </w:rPr>
        <w:t xml:space="preserve">Código tributario de la República de El Salvador</w:t>
      </w:r>
      <w:r>
        <w:rPr/>
        <w:t xml:space="preserve"> (Decreto Legislativo n.° 230 del 14 de diciembre de 2000; Diario Oficial n.° 241, Tomo 349, del 22 de diciembre de 2000).</w:t>
      </w:r>
    </w:p>
    <w:p>
      <w:pPr>
        <w:ind w:left="720" w:hanging="720"/>
      </w:pPr>
      <w:r>
        <w:rPr/>
        <w:t xml:space="preserve">Asamblea Legislativa de la República de El Salvador. (1992). </w:t>
      </w:r>
      <w:r>
        <w:rPr>
          <w:i/>
        </w:rPr>
        <w:t xml:space="preserve">Ley del impuesto a la transferencia de bienes muebles y a la prestación de servicios</w:t>
      </w:r>
      <w:r>
        <w:rPr/>
        <w:t xml:space="preserve"> (Decreto Legislativo n.° 296 del 24 de julio de 1992; Diario Oficial n.° 143, Tomo 316, del 31 de julio de 1992).</w:t>
      </w:r>
    </w:p>
    <w:p>
      <w:pPr>
        <w:ind w:left="720" w:hanging="720"/>
      </w:pPr>
      <w:r>
        <w:rPr/>
        <w:t xml:space="preserve">Asamblea Legislativa de la República de El Salvador. (1991). </w:t>
      </w:r>
      <w:r>
        <w:rPr>
          <w:i/>
        </w:rPr>
        <w:t xml:space="preserve">Ley de impuesto sobre la renta</w:t>
      </w:r>
      <w:r>
        <w:rPr/>
        <w:t xml:space="preserve"> (Decreto Legislativo n.° 134 del 18 de diciembre de 1991; Diario Oficial n.° 242, Tomo 313, del 21 de diciembre de 1991).</w:t>
      </w:r>
    </w:p>
    <w:p>
      <w:pPr>
        <w:ind w:left="720" w:hanging="720"/>
      </w:pPr>
      <w:r>
        <w:rPr/>
        <w:t xml:space="preserve">Asamblea Legislativa de la República de El Salvador. (1993). </w:t>
      </w:r>
      <w:r>
        <w:rPr>
          <w:i/>
        </w:rPr>
        <w:t xml:space="preserve">Ley de propiedad intelectual de la República de El Salvador</w:t>
      </w:r>
      <w:r>
        <w:rPr/>
        <w:t xml:space="preserve"> (Decreto Legislativo n.° 604 del 15 de julio de 1993; Diario Oficial n.° 95, Tomo 319, del 25 de mayo de 1993).</w:t>
      </w:r>
    </w:p>
    <w:p>
      <w:pPr>
        <w:ind w:left="720" w:hanging="720"/>
      </w:pPr>
      <w:r>
        <w:rPr/>
        <w:t xml:space="preserve">Consejo de Normas Internacionales de Contabilidad. (2015). </w:t>
      </w:r>
      <w:r>
        <w:rPr>
          <w:i/>
        </w:rPr>
        <w:t xml:space="preserve">Norma internacional de información financiera para pequeñas y medianas entidades (NIIF para las PYMES)</w:t>
      </w:r>
      <w:r>
        <w:rPr/>
        <w:t xml:space="preserve">. Fundación IFRS.</w:t>
      </w:r>
    </w:p>
    <w:p>
      <w:pPr>
        <w:ind w:left="720" w:hanging="720"/>
      </w:pPr>
      <w:r>
        <w:rPr/>
        <w:t xml:space="preserve">Corte de Cuentas de la República. (2004). </w:t>
      </w:r>
      <w:r>
        <w:rPr>
          <w:i/>
        </w:rPr>
        <w:t xml:space="preserve">Normas técnicas de control interno</w:t>
      </w:r>
      <w:r>
        <w:rPr/>
        <w:t xml:space="preserve"> (Decreto n.° 4 de la Presidencia de la Corte de Cuentas de la República del 14 de septiembre de 2004; Diario Oficial n.° 180, Tomo 364, del 29 de septiembre de 2004).</w:t>
      </w:r>
    </w:p>
    <w:p>
      <w:pPr/>
      <w:r>
        <w:br w:type="page"/>
      </w:r>
    </w:p>
    <w:p>
      <w:pPr>
        <w:keepNext/>
        <w:jc w:val="center"/>
      </w:pPr>
      <w:r>
        <w:rPr>
          <w:b/>
        </w:rPr>
        <w:t xml:space="preserve">Apéndice A</w:t>
      </w:r>
    </w:p>
    <w:p>
      <w:pPr>
        <w:keepNext/>
        <w:jc w:val="center"/>
        <w:outlineLvl w:val="0"/>
      </w:pPr>
      <w:bookmarkStart w:id="116" w:name="TocINC116"/>
      <w:r>
        <w:rPr>
          <w:b/>
        </w:rPr>
        <w:t xml:space="preserve">CONTROL DE VERSIONES Y ELABORACIÓN DEL DOCUMENTO</w:t>
      </w:r>
      <w:bookmarkEnd w:id="116"/>
    </w:p>
    <w:p>
      <w:pPr>
        <w:ind w:firstLine="720"/>
      </w:pPr>
      <w:r>
        <w:rPr/>
        <w:t xml:space="preserve">El presente documento se controla mediante el siguiente registro de versiones (ver Tabla A1).</w:t>
      </w:r>
    </w:p>
    <w:p>
      <w:pPr>
        <w:keepNext/>
      </w:pPr>
      <w:r>
        <w:rPr>
          <w:b/>
        </w:rPr>
        <w:t xml:space="preserve">Tabla A1</w:t>
      </w:r>
    </w:p>
    <w:p>
      <w:pPr>
        <w:keepNext/>
      </w:pPr>
      <w:r>
        <w:rPr>
          <w:i/>
        </w:rPr>
        <w:t xml:space="preserve">Control de versiones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51"/>
        <w:gridCol w:w="1276"/>
        <w:gridCol w:w="2127"/>
        <w:gridCol w:w="1702"/>
        <w:gridCol w:w="1560"/>
        <w:gridCol w:w="1844"/>
      </w:tblGrid>
      <w:tr>
        <w:trPr>
          <w:jc w:val="center"/>
        </w:trPr>
        <w:tc>
          <w:tcPr>
            <w:tcW w:w="851" w:type="dxa"/>
            <w:tcBorders>
              <w:bottom w:val="single" w:sz="8" w:space="0" w:color="000000"/>
            </w:tcBorders>
          </w:tcPr>
          <w:p>
            <w:pPr>
              <w:spacing w:line="240" w:lineRule="auto"/>
              <w:jc w:val="center"/>
            </w:pPr>
            <w:r>
              <w:rPr>
                <w:b/>
                <w:sz w:val="20"/>
              </w:rPr>
              <w:t xml:space="preserve">Versión</w:t>
            </w:r>
          </w:p>
        </w:tc>
        <w:tc>
          <w:tcPr>
            <w:tcW w:w="1276" w:type="dxa"/>
            <w:tcBorders>
              <w:bottom w:val="single" w:sz="8" w:space="0" w:color="000000"/>
            </w:tcBorders>
          </w:tcPr>
          <w:p>
            <w:pPr>
              <w:spacing w:line="240" w:lineRule="auto"/>
              <w:jc w:val="center"/>
            </w:pPr>
            <w:r>
              <w:rPr>
                <w:b/>
                <w:sz w:val="20"/>
              </w:rPr>
              <w:t xml:space="preserve">Fecha</w:t>
            </w:r>
          </w:p>
        </w:tc>
        <w:tc>
          <w:tcPr>
            <w:tcW w:w="2127" w:type="dxa"/>
            <w:tcBorders>
              <w:bottom w:val="single" w:sz="8" w:space="0" w:color="000000"/>
            </w:tcBorders>
          </w:tcPr>
          <w:p>
            <w:pPr>
              <w:spacing w:line="240" w:lineRule="auto"/>
              <w:jc w:val="center"/>
            </w:pPr>
            <w:r>
              <w:rPr>
                <w:b/>
                <w:sz w:val="20"/>
              </w:rPr>
              <w:t xml:space="preserve">Descripción / motivo del cambio</w:t>
            </w:r>
          </w:p>
        </w:tc>
        <w:tc>
          <w:tcPr>
            <w:tcW w:w="1702" w:type="dxa"/>
            <w:tcBorders>
              <w:bottom w:val="single" w:sz="8" w:space="0" w:color="000000"/>
            </w:tcBorders>
          </w:tcPr>
          <w:p>
            <w:pPr>
              <w:spacing w:line="240" w:lineRule="auto"/>
              <w:jc w:val="center"/>
            </w:pPr>
            <w:r>
              <w:rPr>
                <w:b/>
                <w:sz w:val="20"/>
              </w:rPr>
              <w:t xml:space="preserve">Elaborado por</w:t>
            </w:r>
          </w:p>
        </w:tc>
        <w:tc>
          <w:tcPr>
            <w:tcW w:w="1560" w:type="dxa"/>
            <w:tcBorders>
              <w:bottom w:val="single" w:sz="8" w:space="0" w:color="000000"/>
            </w:tcBorders>
          </w:tcPr>
          <w:p>
            <w:pPr>
              <w:spacing w:line="240" w:lineRule="auto"/>
              <w:jc w:val="center"/>
            </w:pPr>
            <w:r>
              <w:rPr>
                <w:b/>
                <w:sz w:val="20"/>
              </w:rPr>
              <w:t xml:space="preserve">Revisado por</w:t>
            </w:r>
          </w:p>
        </w:tc>
        <w:tc>
          <w:tcPr>
            <w:tcW w:w="1844" w:type="dxa"/>
            <w:tcBorders>
              <w:bottom w:val="single" w:sz="8" w:space="0" w:color="000000"/>
            </w:tcBorders>
          </w:tcPr>
          <w:p>
            <w:pPr>
              <w:spacing w:line="240" w:lineRule="auto"/>
              <w:jc w:val="center"/>
            </w:pPr>
            <w:r>
              <w:rPr>
                <w:b/>
                <w:sz w:val="20"/>
              </w:rPr>
              <w:t xml:space="preserve">Aprobado por</w:t>
            </w:r>
          </w:p>
        </w:tc>
      </w:tr>
      <w:tr>
        <w:trPr>
          <w:jc w:val="center"/>
        </w:trPr>
        <w:tc>
          <w:tcPr>
            <w:tcW w:w="851" w:type="dxa"/>
          </w:tcPr>
          <w:p>
            <w:pPr>
              <w:spacing w:line="240" w:lineRule="auto"/>
            </w:pPr>
            <w:r>
              <w:rPr>
                <w:sz w:val="20"/>
              </w:rPr>
              <w:t xml:space="preserve">1.0</w:t>
            </w:r>
          </w:p>
        </w:tc>
        <w:tc>
          <w:tcPr>
            <w:tcW w:w="1276" w:type="dxa"/>
          </w:tcPr>
          <w:p>
            <w:pPr>
              <w:spacing w:line="240" w:lineRule="auto"/>
            </w:pPr>
            <w:r>
              <w:rPr>
                <w:sz w:val="20"/>
              </w:rPr>
              <w:t xml:space="preserve">21/09/2026</w:t>
            </w:r>
          </w:p>
        </w:tc>
        <w:tc>
          <w:tcPr>
            <w:tcW w:w="2127" w:type="dxa"/>
          </w:tcPr>
          <w:p>
            <w:pPr>
              <w:spacing w:line="240" w:lineRule="auto"/>
            </w:pPr>
            <w:r>
              <w:rPr>
                <w:sz w:val="20"/>
              </w:rPr>
              <w:t xml:space="preserve">Emisión inicial del documento.</w:t>
            </w:r>
          </w:p>
        </w:tc>
        <w:tc>
          <w:tcPr>
            <w:tcW w:w="1702" w:type="dxa"/>
          </w:tcPr>
          <w:p>
            <w:pPr>
              <w:spacing w:line="240" w:lineRule="auto"/>
            </w:pPr>
            <w:r>
              <w:rPr>
                <w:sz w:val="20"/>
              </w:rPr>
              <w:t xml:space="preserve">Gerencia de Finanzas y Contabilidad</w:t>
            </w:r>
          </w:p>
        </w:tc>
        <w:tc>
          <w:tcPr>
            <w:tcW w:w="1560" w:type="dxa"/>
          </w:tcPr>
          <w:p>
            <w:pPr>
              <w:spacing w:line="240" w:lineRule="auto"/>
            </w:pPr>
            <w:r>
              <w:rPr>
                <w:sz w:val="20"/>
              </w:rPr>
              <w:t xml:space="preserve">Gerencia General</w:t>
            </w:r>
          </w:p>
        </w:tc>
        <w:tc>
          <w:tcPr>
            <w:tcW w:w="1844" w:type="dxa"/>
          </w:tcPr>
          <w:p>
            <w:pPr>
              <w:spacing w:line="240" w:lineRule="auto"/>
            </w:pPr>
            <w:r>
              <w:rPr>
                <w:sz w:val="20"/>
              </w:rPr>
              <w:t xml:space="preserve">Junta Directiva</w:t>
            </w:r>
          </w:p>
        </w:tc>
      </w:tr>
    </w:tbl>
    <w:p>
      <w:pPr>
        <w:spacing w:before="120" w:line="240" w:lineRule="auto"/>
      </w:pPr>
      <w:r>
        <w:rPr>
          <w:i/>
          <w:sz w:val="22"/>
        </w:rPr>
        <w:t xml:space="preserve">Nota. </w:t>
      </w:r>
      <w:r>
        <w:rPr>
          <w:sz w:val="22"/>
        </w:rPr>
        <w:t xml:space="preserve">La aprobación de cambios sustanciales corresponde a la Junta Directiva de la sociedad.</w:t>
      </w:r>
    </w:p>
    <w:sectPr w:rsidR="000649E4"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693" w14:textId="77777777" w:rsidR="00BE5CE1" w:rsidRDefault="00BE5CE1">
      <w:pPr>
        <w:spacing w:line="240" w:lineRule="auto"/>
      </w:pPr>
      <w:r>
        <w:separator/>
      </w:r>
    </w:p>
  </w:endnote>
  <w:endnote w:type="continuationSeparator" w:id="0">
    <w:p w14:paraId="203037CA" w14:textId="77777777" w:rsidR="00BE5CE1" w:rsidRDefault="00BE5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D0E9" w14:textId="77777777" w:rsidR="00BE5CE1" w:rsidRDefault="00BE5CE1">
      <w:pPr>
        <w:spacing w:line="240" w:lineRule="auto"/>
      </w:pPr>
      <w:r>
        <w:separator/>
      </w:r>
    </w:p>
  </w:footnote>
  <w:footnote w:type="continuationSeparator" w:id="0">
    <w:p w14:paraId="080494CB" w14:textId="77777777" w:rsidR="00BE5CE1" w:rsidRDefault="00BE5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4"/>
    <w:rsid w:val="00095839"/>
    <w:rsid w:val="000E6400"/>
    <w:rsid w:val="0015074B"/>
    <w:rsid w:val="0029639D"/>
    <w:rsid w:val="00326F90"/>
    <w:rsid w:val="00360547"/>
    <w:rsid w:val="0039486C"/>
    <w:rsid w:val="00576401"/>
    <w:rsid w:val="0058415F"/>
    <w:rsid w:val="005F2EE5"/>
    <w:rsid w:val="0062083E"/>
    <w:rsid w:val="006A0BD4"/>
    <w:rsid w:val="008A0C3A"/>
    <w:rsid w:val="00A2591C"/>
    <w:rsid w:val="00AA1D8D"/>
    <w:rsid w:val="00B06258"/>
    <w:rsid w:val="00B47730"/>
    <w:rsid w:val="00BE5CE1"/>
    <w:rsid w:val="00CB0664"/>
    <w:rsid w:val="00E4017D"/>
    <w:rsid w:val="00ED7CF0"/>
    <w:rsid w:val="00F3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3890</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13</cp:revision>
  <dcterms:created xsi:type="dcterms:W3CDTF">2013-12-23T23:15:00Z</dcterms:created>
  <dcterms:modified xsi:type="dcterms:W3CDTF">2026-09-24T01:52:00Z</dcterms:modified>
  <cp:category/>
</cp:coreProperties>
</file>