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B366B" w14:textId="2049A243" w:rsidR="006A0BD4" w:rsidRPr="006A0BD4" w:rsidRDefault="006A0BD4" w:rsidP="005F2EE5">
      <w:pPr>
        <w:jc w:val="center"/>
        <w:rPr>
          <w:lang w:val="es-ES"/>
        </w:rPr>
      </w:pPr>
      <w:r w:rsidRPr="006A0BD4">
        <w:rPr>
          <w:lang w:val="es-ES"/>
        </w:rPr>
        <w:t>UNIVERSIDAD DE EL SALVADOR</w:t>
      </w:r>
    </w:p>
    <w:p w14:paraId="02C38942" w14:textId="77777777" w:rsidR="006A0BD4" w:rsidRPr="006A0BD4" w:rsidRDefault="006A0BD4" w:rsidP="005F2EE5">
      <w:pPr>
        <w:jc w:val="center"/>
        <w:rPr>
          <w:lang w:val="es-ES"/>
        </w:rPr>
      </w:pPr>
      <w:r w:rsidRPr="006A0BD4">
        <w:rPr>
          <w:lang w:val="es-ES"/>
        </w:rPr>
        <w:t>FACULTAD DE INGENIERÍA Y ARQUITECTURA</w:t>
      </w:r>
    </w:p>
    <w:p w14:paraId="2275490C" w14:textId="77777777" w:rsidR="006A0BD4" w:rsidRPr="006A0BD4" w:rsidRDefault="006A0BD4" w:rsidP="005F2EE5">
      <w:pPr>
        <w:jc w:val="center"/>
        <w:rPr>
          <w:lang w:val="es-ES"/>
        </w:rPr>
      </w:pPr>
      <w:r w:rsidRPr="006A0BD4">
        <w:rPr>
          <w:lang w:val="es-ES"/>
        </w:rPr>
        <w:t>ESCUELA DE INGENIERIA DE SISTEMAS INFORMÁTICOS</w:t>
      </w:r>
    </w:p>
    <w:p w14:paraId="08802150" w14:textId="77777777" w:rsidR="006A0BD4" w:rsidRPr="006A0BD4" w:rsidRDefault="006A0BD4" w:rsidP="005F2EE5">
      <w:pPr>
        <w:jc w:val="center"/>
        <w:rPr>
          <w:lang w:val="es-ES"/>
        </w:rPr>
      </w:pPr>
      <w:r w:rsidRPr="006A0BD4">
        <w:rPr>
          <w:lang w:val="es-ES"/>
        </w:rPr>
        <w:t>SISTEMAS CONTABLES SIC115</w:t>
      </w:r>
    </w:p>
    <w:p w14:paraId="368ABD46" w14:textId="77777777" w:rsidR="006A0BD4" w:rsidRPr="006A0BD4" w:rsidRDefault="006A0BD4" w:rsidP="005F2EE5">
      <w:pPr>
        <w:jc w:val="center"/>
        <w:rPr>
          <w:lang w:val="es-ES"/>
        </w:rPr>
      </w:pPr>
      <w:r w:rsidRPr="006A0BD4">
        <w:rPr>
          <w:lang w:val="es-ES"/>
        </w:rPr>
        <w:t>CICLO II-2026</w:t>
      </w:r>
    </w:p>
    <w:p w14:paraId="038BFDA6" w14:textId="23F9A5B9" w:rsidR="006A0BD4" w:rsidRPr="006A0BD4" w:rsidRDefault="006A0BD4" w:rsidP="005F2EE5">
      <w:pPr>
        <w:jc w:val="center"/>
        <w:rPr>
          <w:lang w:val="es-ES"/>
        </w:rPr>
      </w:pPr>
      <w:r w:rsidRPr="006A0BD4">
        <w:rPr>
          <w:lang w:val="es-ES"/>
        </w:rPr>
        <w:drawing>
          <wp:anchor distT="0" distB="0" distL="114300" distR="114300" simplePos="0" relativeHeight="251657216" behindDoc="0" locked="0" layoutInCell="1" allowOverlap="1" wp14:anchorId="0D50DE77" wp14:editId="26663E0F">
            <wp:simplePos x="0" y="0"/>
            <wp:positionH relativeFrom="column">
              <wp:posOffset>996950</wp:posOffset>
            </wp:positionH>
            <wp:positionV relativeFrom="paragraph">
              <wp:posOffset>73660</wp:posOffset>
            </wp:positionV>
            <wp:extent cx="1542968" cy="1923295"/>
            <wp:effectExtent l="0" t="0" r="635" b="1270"/>
            <wp:wrapNone/>
            <wp:docPr id="727176803" name="Imagen 72717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2968" cy="1923295"/>
                    </a:xfrm>
                    <a:prstGeom prst="rect">
                      <a:avLst/>
                    </a:prstGeom>
                  </pic:spPr>
                </pic:pic>
              </a:graphicData>
            </a:graphic>
            <wp14:sizeRelH relativeFrom="margin">
              <wp14:pctWidth>0</wp14:pctWidth>
            </wp14:sizeRelH>
            <wp14:sizeRelV relativeFrom="margin">
              <wp14:pctHeight>0</wp14:pctHeight>
            </wp14:sizeRelV>
          </wp:anchor>
        </w:drawing>
      </w:r>
      <w:r w:rsidRPr="006A0BD4">
        <w:rPr>
          <w:lang w:val="es-ES"/>
        </w:rPr>
        <w:drawing>
          <wp:anchor distT="0" distB="0" distL="114300" distR="114300" simplePos="0" relativeHeight="251665408" behindDoc="0" locked="0" layoutInCell="1" allowOverlap="1" wp14:anchorId="49605594" wp14:editId="1C72B27B">
            <wp:simplePos x="0" y="0"/>
            <wp:positionH relativeFrom="column">
              <wp:posOffset>3176270</wp:posOffset>
            </wp:positionH>
            <wp:positionV relativeFrom="paragraph">
              <wp:posOffset>385445</wp:posOffset>
            </wp:positionV>
            <wp:extent cx="3299460" cy="128154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9460" cy="1281547"/>
                    </a:xfrm>
                    <a:prstGeom prst="rect">
                      <a:avLst/>
                    </a:prstGeom>
                  </pic:spPr>
                </pic:pic>
              </a:graphicData>
            </a:graphic>
            <wp14:sizeRelH relativeFrom="margin">
              <wp14:pctWidth>0</wp14:pctWidth>
            </wp14:sizeRelH>
            <wp14:sizeRelV relativeFrom="margin">
              <wp14:pctHeight>0</wp14:pctHeight>
            </wp14:sizeRelV>
          </wp:anchor>
        </w:drawing>
      </w:r>
    </w:p>
    <w:p w14:paraId="2C8E8D44" w14:textId="20E2483A" w:rsidR="006A0BD4" w:rsidRPr="006A0BD4" w:rsidRDefault="006A0BD4" w:rsidP="005F2EE5">
      <w:pPr>
        <w:jc w:val="center"/>
        <w:rPr>
          <w:lang w:val="es-ES"/>
        </w:rPr>
      </w:pPr>
    </w:p>
    <w:p w14:paraId="73CE39E0" w14:textId="3B4AD386" w:rsidR="006A0BD4" w:rsidRPr="006A0BD4" w:rsidRDefault="006A0BD4" w:rsidP="005F2EE5">
      <w:pPr>
        <w:jc w:val="center"/>
        <w:rPr>
          <w:lang w:val="es-ES"/>
        </w:rPr>
      </w:pPr>
    </w:p>
    <w:p w14:paraId="498F2DDA" w14:textId="77777777" w:rsidR="006A0BD4" w:rsidRPr="006A0BD4" w:rsidRDefault="006A0BD4" w:rsidP="005F2EE5">
      <w:pPr>
        <w:jc w:val="center"/>
        <w:rPr>
          <w:lang w:val="es-ES"/>
        </w:rPr>
      </w:pPr>
    </w:p>
    <w:p w14:paraId="14DED831" w14:textId="77777777" w:rsidR="006A0BD4" w:rsidRPr="006A0BD4" w:rsidRDefault="006A0BD4" w:rsidP="005F2EE5">
      <w:pPr>
        <w:jc w:val="center"/>
        <w:rPr>
          <w:lang w:val="es-ES"/>
        </w:rPr>
      </w:pPr>
    </w:p>
    <w:p w14:paraId="44189B07" w14:textId="77777777" w:rsidR="006A0BD4" w:rsidRPr="006A0BD4" w:rsidRDefault="006A0BD4" w:rsidP="005F2EE5">
      <w:pPr>
        <w:jc w:val="center"/>
        <w:rPr>
          <w:lang w:val="es-ES"/>
        </w:rPr>
      </w:pPr>
    </w:p>
    <w:p w14:paraId="7F004377" w14:textId="77777777" w:rsidR="006A0BD4" w:rsidRPr="006A0BD4" w:rsidRDefault="006A0BD4" w:rsidP="005F2EE5">
      <w:pPr>
        <w:jc w:val="center"/>
        <w:rPr>
          <w:lang w:val="es-ES"/>
        </w:rPr>
      </w:pPr>
    </w:p>
    <w:p w14:paraId="482929F6" w14:textId="6B62129C" w:rsidR="006A0BD4" w:rsidRPr="006A0BD4" w:rsidRDefault="006A0BD4" w:rsidP="005F2EE5">
      <w:pPr>
        <w:jc w:val="center"/>
        <w:rPr>
          <w:i/>
          <w:iCs/>
          <w:lang w:val="es-ES"/>
        </w:rPr>
      </w:pPr>
      <w:r w:rsidRPr="006A0BD4">
        <w:rPr>
          <w:lang w:val="es-ES"/>
        </w:rPr>
        <w:t>“</w:t>
      </w:r>
      <w:r w:rsidR="0062083E">
        <w:rPr>
          <w:i/>
          <w:iCs/>
          <w:lang w:val="es-ES"/>
        </w:rPr>
        <w:t>MARCO TEÓRICO: FUNDAMENTOS CONTABLES Y SISTEMAS DE INFORMACIÓN</w:t>
      </w:r>
      <w:r w:rsidRPr="006A0BD4">
        <w:rPr>
          <w:i/>
          <w:iCs/>
          <w:lang w:val="es-ES"/>
        </w:rPr>
        <w:t>”</w:t>
      </w:r>
    </w:p>
    <w:p w14:paraId="6E3B9469" w14:textId="77777777" w:rsidR="006A0BD4" w:rsidRPr="006A0BD4" w:rsidRDefault="006A0BD4" w:rsidP="005F2EE5">
      <w:pPr>
        <w:jc w:val="center"/>
        <w:rPr>
          <w:i/>
          <w:iCs/>
          <w:lang w:val="es-ES"/>
        </w:rPr>
      </w:pPr>
    </w:p>
    <w:p w14:paraId="7EB97C5F" w14:textId="1A1752F8" w:rsidR="006A0BD4" w:rsidRPr="006A0BD4" w:rsidRDefault="006A0BD4" w:rsidP="005F2EE5">
      <w:pPr>
        <w:jc w:val="center"/>
        <w:rPr>
          <w:lang w:val="es-ES"/>
        </w:rPr>
      </w:pPr>
      <w:r w:rsidRPr="006A0BD4">
        <w:rPr>
          <w:lang w:val="es-ES"/>
        </w:rPr>
        <w:t>PRESENTADO POR:</w:t>
      </w:r>
    </w:p>
    <w:p w14:paraId="2CE54F02" w14:textId="0BD6B18A" w:rsidR="006A0BD4" w:rsidRPr="006A0BD4" w:rsidRDefault="006A0BD4" w:rsidP="005F2EE5">
      <w:pPr>
        <w:jc w:val="center"/>
        <w:rPr>
          <w:lang w:val="es-ES"/>
        </w:rPr>
      </w:pPr>
    </w:p>
    <w:tbl>
      <w:tblPr>
        <w:tblStyle w:val="Tablaconcuadrcula"/>
        <w:tblW w:w="0" w:type="auto"/>
        <w:tblLook w:val="04A0" w:firstRow="1" w:lastRow="0" w:firstColumn="1" w:lastColumn="0" w:noHBand="0" w:noVBand="1"/>
      </w:tblPr>
      <w:tblGrid>
        <w:gridCol w:w="3131"/>
        <w:gridCol w:w="3131"/>
        <w:gridCol w:w="3132"/>
      </w:tblGrid>
      <w:tr w:rsidR="006A0BD4" w:rsidRPr="006A0BD4" w14:paraId="523F080A" w14:textId="77777777" w:rsidTr="00BF5755">
        <w:tc>
          <w:tcPr>
            <w:tcW w:w="3131" w:type="dxa"/>
            <w:shd w:val="clear" w:color="auto" w:fill="95B3D7" w:themeFill="accent1" w:themeFillTint="99"/>
          </w:tcPr>
          <w:p w14:paraId="7414DB5C" w14:textId="77777777" w:rsidR="006A0BD4" w:rsidRPr="006A0BD4" w:rsidRDefault="006A0BD4" w:rsidP="005F2EE5">
            <w:pPr>
              <w:jc w:val="center"/>
              <w:rPr>
                <w:lang w:val="es-ES"/>
              </w:rPr>
            </w:pPr>
            <w:proofErr w:type="gramStart"/>
            <w:r w:rsidRPr="006A0BD4">
              <w:rPr>
                <w:lang w:val="es-ES"/>
              </w:rPr>
              <w:t>CARNET</w:t>
            </w:r>
            <w:proofErr w:type="gramEnd"/>
          </w:p>
        </w:tc>
        <w:tc>
          <w:tcPr>
            <w:tcW w:w="3131" w:type="dxa"/>
            <w:shd w:val="clear" w:color="auto" w:fill="95B3D7" w:themeFill="accent1" w:themeFillTint="99"/>
          </w:tcPr>
          <w:p w14:paraId="5F305E3E" w14:textId="77777777" w:rsidR="006A0BD4" w:rsidRPr="006A0BD4" w:rsidRDefault="006A0BD4" w:rsidP="005F2EE5">
            <w:pPr>
              <w:jc w:val="center"/>
              <w:rPr>
                <w:lang w:val="es-ES"/>
              </w:rPr>
            </w:pPr>
            <w:r w:rsidRPr="006A0BD4">
              <w:rPr>
                <w:lang w:val="es-ES"/>
              </w:rPr>
              <w:t>APELLIDOS</w:t>
            </w:r>
          </w:p>
        </w:tc>
        <w:tc>
          <w:tcPr>
            <w:tcW w:w="3132" w:type="dxa"/>
            <w:shd w:val="clear" w:color="auto" w:fill="95B3D7" w:themeFill="accent1" w:themeFillTint="99"/>
          </w:tcPr>
          <w:p w14:paraId="5D9C5A3F" w14:textId="77777777" w:rsidR="006A0BD4" w:rsidRPr="006A0BD4" w:rsidRDefault="006A0BD4" w:rsidP="005F2EE5">
            <w:pPr>
              <w:jc w:val="center"/>
              <w:rPr>
                <w:lang w:val="es-ES"/>
              </w:rPr>
            </w:pPr>
            <w:r w:rsidRPr="006A0BD4">
              <w:rPr>
                <w:lang w:val="es-ES"/>
              </w:rPr>
              <w:t>NOMBRES</w:t>
            </w:r>
          </w:p>
        </w:tc>
      </w:tr>
      <w:tr w:rsidR="006A0BD4" w:rsidRPr="006A0BD4" w14:paraId="6A8E8144" w14:textId="77777777" w:rsidTr="00BF5755">
        <w:tc>
          <w:tcPr>
            <w:tcW w:w="3131" w:type="dxa"/>
          </w:tcPr>
          <w:p w14:paraId="572449B6" w14:textId="77777777" w:rsidR="006A0BD4" w:rsidRPr="006A0BD4" w:rsidRDefault="006A0BD4" w:rsidP="005F2EE5">
            <w:pPr>
              <w:jc w:val="center"/>
              <w:rPr>
                <w:lang w:val="es-ES"/>
              </w:rPr>
            </w:pPr>
            <w:r w:rsidRPr="006A0BD4">
              <w:rPr>
                <w:lang w:val="es-ES"/>
              </w:rPr>
              <w:t>GS24026</w:t>
            </w:r>
          </w:p>
        </w:tc>
        <w:tc>
          <w:tcPr>
            <w:tcW w:w="3131" w:type="dxa"/>
          </w:tcPr>
          <w:p w14:paraId="262CC268" w14:textId="77777777" w:rsidR="006A0BD4" w:rsidRPr="006A0BD4" w:rsidRDefault="006A0BD4" w:rsidP="005F2EE5">
            <w:pPr>
              <w:jc w:val="center"/>
              <w:rPr>
                <w:lang w:val="es-ES"/>
              </w:rPr>
            </w:pPr>
            <w:r w:rsidRPr="006A0BD4">
              <w:rPr>
                <w:lang w:val="es-ES"/>
              </w:rPr>
              <w:t>González Sánchez</w:t>
            </w:r>
          </w:p>
        </w:tc>
        <w:tc>
          <w:tcPr>
            <w:tcW w:w="3132" w:type="dxa"/>
          </w:tcPr>
          <w:p w14:paraId="1E2AC9DA" w14:textId="77777777" w:rsidR="006A0BD4" w:rsidRPr="006A0BD4" w:rsidRDefault="006A0BD4" w:rsidP="005F2EE5">
            <w:pPr>
              <w:jc w:val="center"/>
              <w:rPr>
                <w:lang w:val="es-ES"/>
              </w:rPr>
            </w:pPr>
            <w:r w:rsidRPr="006A0BD4">
              <w:rPr>
                <w:lang w:val="es-ES"/>
              </w:rPr>
              <w:t>Diego Edgardo</w:t>
            </w:r>
          </w:p>
        </w:tc>
      </w:tr>
      <w:tr w:rsidR="006A0BD4" w:rsidRPr="006A0BD4" w14:paraId="0E5A30F4" w14:textId="77777777" w:rsidTr="00BF5755">
        <w:tc>
          <w:tcPr>
            <w:tcW w:w="3131" w:type="dxa"/>
          </w:tcPr>
          <w:p w14:paraId="7801FC12" w14:textId="77777777" w:rsidR="006A0BD4" w:rsidRPr="006A0BD4" w:rsidRDefault="006A0BD4" w:rsidP="005F2EE5">
            <w:pPr>
              <w:jc w:val="center"/>
              <w:rPr>
                <w:lang w:val="es-ES"/>
              </w:rPr>
            </w:pPr>
            <w:r w:rsidRPr="006A0BD4">
              <w:rPr>
                <w:lang w:val="es-ES"/>
              </w:rPr>
              <w:t>RH23022</w:t>
            </w:r>
          </w:p>
        </w:tc>
        <w:tc>
          <w:tcPr>
            <w:tcW w:w="3131" w:type="dxa"/>
          </w:tcPr>
          <w:p w14:paraId="7F302DBB" w14:textId="77777777" w:rsidR="006A0BD4" w:rsidRPr="006A0BD4" w:rsidRDefault="006A0BD4" w:rsidP="005F2EE5">
            <w:pPr>
              <w:jc w:val="center"/>
              <w:rPr>
                <w:lang w:val="es-ES"/>
              </w:rPr>
            </w:pPr>
            <w:r w:rsidRPr="006A0BD4">
              <w:rPr>
                <w:lang w:val="es-ES"/>
              </w:rPr>
              <w:t>Renderos Hernández</w:t>
            </w:r>
          </w:p>
        </w:tc>
        <w:tc>
          <w:tcPr>
            <w:tcW w:w="3132" w:type="dxa"/>
          </w:tcPr>
          <w:p w14:paraId="76574E0D" w14:textId="77777777" w:rsidR="006A0BD4" w:rsidRPr="006A0BD4" w:rsidRDefault="006A0BD4" w:rsidP="005F2EE5">
            <w:pPr>
              <w:jc w:val="center"/>
              <w:rPr>
                <w:lang w:val="es-ES"/>
              </w:rPr>
            </w:pPr>
            <w:r w:rsidRPr="006A0BD4">
              <w:rPr>
                <w:lang w:val="es-ES"/>
              </w:rPr>
              <w:t>Josué Nehemías</w:t>
            </w:r>
          </w:p>
        </w:tc>
      </w:tr>
      <w:tr w:rsidR="006A0BD4" w:rsidRPr="006A0BD4" w14:paraId="31C04D63" w14:textId="77777777" w:rsidTr="00BF5755">
        <w:tc>
          <w:tcPr>
            <w:tcW w:w="3131" w:type="dxa"/>
          </w:tcPr>
          <w:p w14:paraId="3514A73B" w14:textId="77777777" w:rsidR="006A0BD4" w:rsidRPr="006A0BD4" w:rsidRDefault="006A0BD4" w:rsidP="005F2EE5">
            <w:pPr>
              <w:jc w:val="center"/>
              <w:rPr>
                <w:lang w:val="es-ES"/>
              </w:rPr>
            </w:pPr>
            <w:r w:rsidRPr="006A0BD4">
              <w:rPr>
                <w:lang w:val="es-ES"/>
              </w:rPr>
              <w:t>RR24028</w:t>
            </w:r>
          </w:p>
        </w:tc>
        <w:tc>
          <w:tcPr>
            <w:tcW w:w="3131" w:type="dxa"/>
          </w:tcPr>
          <w:p w14:paraId="74604AD0" w14:textId="77777777" w:rsidR="006A0BD4" w:rsidRPr="006A0BD4" w:rsidRDefault="006A0BD4" w:rsidP="005F2EE5">
            <w:pPr>
              <w:jc w:val="center"/>
              <w:rPr>
                <w:lang w:val="es-ES"/>
              </w:rPr>
            </w:pPr>
            <w:r w:rsidRPr="006A0BD4">
              <w:rPr>
                <w:lang w:val="es-ES"/>
              </w:rPr>
              <w:t xml:space="preserve">Rivas </w:t>
            </w:r>
            <w:proofErr w:type="spellStart"/>
            <w:r w:rsidRPr="006A0BD4">
              <w:rPr>
                <w:lang w:val="es-ES"/>
              </w:rPr>
              <w:t>Rivas</w:t>
            </w:r>
            <w:proofErr w:type="spellEnd"/>
          </w:p>
        </w:tc>
        <w:tc>
          <w:tcPr>
            <w:tcW w:w="3132" w:type="dxa"/>
          </w:tcPr>
          <w:p w14:paraId="2D22F93C" w14:textId="77777777" w:rsidR="006A0BD4" w:rsidRPr="006A0BD4" w:rsidRDefault="006A0BD4" w:rsidP="005F2EE5">
            <w:pPr>
              <w:jc w:val="center"/>
              <w:rPr>
                <w:lang w:val="es-ES"/>
              </w:rPr>
            </w:pPr>
            <w:r w:rsidRPr="006A0BD4">
              <w:rPr>
                <w:lang w:val="es-ES"/>
              </w:rPr>
              <w:t>David Alexander</w:t>
            </w:r>
          </w:p>
        </w:tc>
      </w:tr>
    </w:tbl>
    <w:p w14:paraId="39659998" w14:textId="77777777" w:rsidR="006A0BD4" w:rsidRPr="006A0BD4" w:rsidRDefault="006A0BD4" w:rsidP="005F2EE5">
      <w:pPr>
        <w:jc w:val="center"/>
        <w:rPr>
          <w:lang w:val="es-ES"/>
        </w:rPr>
      </w:pPr>
    </w:p>
    <w:p w14:paraId="09C232C4" w14:textId="4665AC83" w:rsidR="006A0BD4" w:rsidRPr="006A0BD4" w:rsidRDefault="006A0BD4" w:rsidP="005F2EE5">
      <w:pPr>
        <w:jc w:val="center"/>
        <w:rPr>
          <w:lang w:val="es-ES"/>
        </w:rPr>
      </w:pPr>
      <w:r w:rsidRPr="006A0BD4">
        <w:rPr>
          <w:lang w:val="es-ES"/>
        </w:rPr>
        <w:t>A LA INGENIERA:</w:t>
      </w:r>
    </w:p>
    <w:p w14:paraId="7A2234CF" w14:textId="4597EBF7" w:rsidR="006A0BD4" w:rsidRPr="006A0BD4" w:rsidRDefault="006A0BD4" w:rsidP="005F2EE5">
      <w:pPr>
        <w:jc w:val="center"/>
        <w:rPr>
          <w:lang w:val="es-ES"/>
        </w:rPr>
      </w:pPr>
      <w:r w:rsidRPr="006A0BD4">
        <w:rPr>
          <w:lang w:val="es-ES"/>
        </w:rPr>
        <w:t>LIZETH CARMELINE GOCHEZ DE PEÑATE</w:t>
      </w:r>
    </w:p>
    <w:p w14:paraId="107721EB" w14:textId="09E9A57F" w:rsidR="00360547" w:rsidRPr="00F30F2C" w:rsidRDefault="008A0C3A">
      <w:pPr>
        <w:keepNext/>
        <w:jc w:val="center"/>
        <w:outlineLvl w:val="0"/>
        <w:rPr>
          <w:lang w:val="es-SV"/>
        </w:rPr>
      </w:pPr>
      <w:bookmarkStart w:id="0" w:name="_Toc241085500"/>
      <w:r w:rsidRPr="00F30F2C">
        <w:rPr>
          <w:b/>
          <w:lang w:val="es-SV"/>
        </w:rPr>
        <w:lastRenderedPageBreak/>
        <w:t>TABLA DE CONTENIDO</w:t>
      </w:r>
      <w:bookmarkEnd w:id="0"/>
    </w:p>
    <w:p>
      <w:pPr>
        <w:pStyle w:val="TDC1"/>
        <w:tabs>
          <w:tab w:val="right" w:leader="hyphen" w:pos="9350"/>
        </w:tabs>
        <w:rPr>
          <w:noProof/>
          <w:sz w:val="24"/>
        </w:rPr>
      </w:pPr>
      <w:r>
        <w:rPr>
          <w:lang w:val="es-SV"/>
        </w:rPr>
        <w:fldChar w:fldCharType="begin"/>
      </w:r>
      <w:r>
        <w:rPr>
          <w:lang w:val="es-SV"/>
        </w:rPr>
        <w:instrText xml:space="preserve"> TOC \o "1-3" \h \z \u </w:instrText>
      </w:r>
      <w:r>
        <w:rPr>
          <w:lang w:val="es-SV"/>
        </w:rPr>
        <w:fldChar w:fldCharType="separate"/>
      </w:r>
      <w:hyperlink w:anchor="TocMTF100" w:history="1">
        <w:r>
          <w:rPr>
            <w:rStyle w:val="Hipervnculo"/>
            <w:noProof/>
            <w:lang w:val="es-SV"/>
          </w:rPr>
          <w:t xml:space="preserve">Introducción</w:t>
        </w:r>
        <w:r>
          <w:rPr>
            <w:noProof/>
            <w:webHidden/>
          </w:rPr>
          <w:tab/>
        </w:r>
        <w:r>
          <w:rPr>
            <w:noProof/>
            <w:webHidden/>
          </w:rPr>
          <w:fldChar w:fldCharType="begin"/>
        </w:r>
        <w:r>
          <w:rPr>
            <w:noProof/>
            <w:webHidden/>
          </w:rPr>
          <w:instrText xml:space="preserve"> PAGEREF TocMTF100 \h </w:instrText>
        </w:r>
        <w:r>
          <w:rPr>
            <w:noProof/>
            <w:webHidden/>
          </w:rPr>
          <w:fldChar w:fldCharType="separate"/>
        </w:r>
        <w:r>
          <w:rPr>
            <w:noProof/>
            <w:webHidden/>
          </w:rPr>
          <w:t>3</w:t>
        </w:r>
        <w:r>
          <w:rPr>
            <w:noProof/>
            <w:webHidden/>
          </w:rPr>
          <w:fldChar w:fldCharType="end"/>
        </w:r>
      </w:hyperlink>
    </w:p>
    <w:p>
      <w:pPr>
        <w:pStyle w:val="TDC1"/>
        <w:tabs>
          <w:tab w:val="right" w:leader="hyphen" w:pos="9350"/>
        </w:tabs>
        <w:rPr>
          <w:noProof/>
          <w:sz w:val="24"/>
        </w:rPr>
      </w:pPr>
      <w:hyperlink w:anchor="TocMTF101" w:history="1">
        <w:r>
          <w:rPr>
            <w:rStyle w:val="Hipervnculo"/>
            <w:noProof/>
            <w:lang w:val="es-SV"/>
          </w:rPr>
          <w:t xml:space="preserve">Fundamentos de la Contabilidad</w:t>
        </w:r>
        <w:r>
          <w:rPr>
            <w:noProof/>
            <w:webHidden/>
          </w:rPr>
          <w:tab/>
        </w:r>
        <w:r>
          <w:rPr>
            <w:noProof/>
            <w:webHidden/>
          </w:rPr>
          <w:fldChar w:fldCharType="begin"/>
        </w:r>
        <w:r>
          <w:rPr>
            <w:noProof/>
            <w:webHidden/>
          </w:rPr>
          <w:instrText xml:space="preserve"> PAGEREF TocMTF101 \h </w:instrText>
        </w:r>
        <w:r>
          <w:rPr>
            <w:noProof/>
            <w:webHidden/>
          </w:rPr>
          <w:fldChar w:fldCharType="separate"/>
        </w:r>
        <w:r>
          <w:rPr>
            <w:noProof/>
            <w:webHidden/>
          </w:rPr>
          <w:t>3</w:t>
        </w:r>
        <w:r>
          <w:rPr>
            <w:noProof/>
            <w:webHidden/>
          </w:rPr>
          <w:fldChar w:fldCharType="end"/>
        </w:r>
      </w:hyperlink>
    </w:p>
    <w:p>
      <w:pPr>
        <w:pStyle w:val="TDC2"/>
        <w:tabs>
          <w:tab w:val="right" w:leader="hyphen" w:pos="9350"/>
        </w:tabs>
        <w:rPr>
          <w:noProof/>
          <w:sz w:val="24"/>
        </w:rPr>
      </w:pPr>
      <w:hyperlink w:anchor="TocMTF102" w:history="1">
        <w:r>
          <w:rPr>
            <w:rStyle w:val="Hipervnculo"/>
            <w:noProof/>
            <w:lang w:val="es-SV"/>
          </w:rPr>
          <w:t xml:space="preserve">Concepto y objetivo</w:t>
        </w:r>
        <w:r>
          <w:rPr>
            <w:noProof/>
            <w:webHidden/>
          </w:rPr>
          <w:tab/>
        </w:r>
        <w:r>
          <w:rPr>
            <w:noProof/>
            <w:webHidden/>
          </w:rPr>
          <w:fldChar w:fldCharType="begin"/>
        </w:r>
        <w:r>
          <w:rPr>
            <w:noProof/>
            <w:webHidden/>
          </w:rPr>
          <w:instrText xml:space="preserve"> PAGEREF TocMTF102 \h </w:instrText>
        </w:r>
        <w:r>
          <w:rPr>
            <w:noProof/>
            <w:webHidden/>
          </w:rPr>
          <w:fldChar w:fldCharType="separate"/>
        </w:r>
        <w:r>
          <w:rPr>
            <w:noProof/>
            <w:webHidden/>
          </w:rPr>
          <w:t>4</w:t>
        </w:r>
        <w:r>
          <w:rPr>
            <w:noProof/>
            <w:webHidden/>
          </w:rPr>
          <w:fldChar w:fldCharType="end"/>
        </w:r>
      </w:hyperlink>
    </w:p>
    <w:p>
      <w:pPr>
        <w:pStyle w:val="TDC2"/>
        <w:tabs>
          <w:tab w:val="right" w:leader="hyphen" w:pos="9350"/>
        </w:tabs>
        <w:rPr>
          <w:noProof/>
          <w:sz w:val="24"/>
        </w:rPr>
      </w:pPr>
      <w:hyperlink w:anchor="TocMTF103" w:history="1">
        <w:r>
          <w:rPr>
            <w:rStyle w:val="Hipervnculo"/>
            <w:noProof/>
            <w:lang w:val="es-SV"/>
          </w:rPr>
          <w:t xml:space="preserve">Principios y cualidades de la información financiera</w:t>
        </w:r>
        <w:r>
          <w:rPr>
            <w:noProof/>
            <w:webHidden/>
          </w:rPr>
          <w:tab/>
        </w:r>
        <w:r>
          <w:rPr>
            <w:noProof/>
            <w:webHidden/>
          </w:rPr>
          <w:fldChar w:fldCharType="begin"/>
        </w:r>
        <w:r>
          <w:rPr>
            <w:noProof/>
            <w:webHidden/>
          </w:rPr>
          <w:instrText xml:space="preserve"> PAGEREF TocMTF103 \h </w:instrText>
        </w:r>
        <w:r>
          <w:rPr>
            <w:noProof/>
            <w:webHidden/>
          </w:rPr>
          <w:fldChar w:fldCharType="separate"/>
        </w:r>
        <w:r>
          <w:rPr>
            <w:noProof/>
            <w:webHidden/>
          </w:rPr>
          <w:t>4</w:t>
        </w:r>
        <w:r>
          <w:rPr>
            <w:noProof/>
            <w:webHidden/>
          </w:rPr>
          <w:fldChar w:fldCharType="end"/>
        </w:r>
      </w:hyperlink>
    </w:p>
    <w:p>
      <w:pPr>
        <w:pStyle w:val="TDC2"/>
        <w:tabs>
          <w:tab w:val="right" w:leader="hyphen" w:pos="9350"/>
        </w:tabs>
        <w:rPr>
          <w:noProof/>
          <w:sz w:val="24"/>
        </w:rPr>
      </w:pPr>
      <w:hyperlink w:anchor="TocMTF104" w:history="1">
        <w:r>
          <w:rPr>
            <w:rStyle w:val="Hipervnculo"/>
            <w:noProof/>
            <w:lang w:val="es-SV"/>
          </w:rPr>
          <w:t xml:space="preserve">Ecuación contable y estructura de los estados financieros</w:t>
        </w:r>
        <w:r>
          <w:rPr>
            <w:noProof/>
            <w:webHidden/>
          </w:rPr>
          <w:tab/>
        </w:r>
        <w:r>
          <w:rPr>
            <w:noProof/>
            <w:webHidden/>
          </w:rPr>
          <w:fldChar w:fldCharType="begin"/>
        </w:r>
        <w:r>
          <w:rPr>
            <w:noProof/>
            <w:webHidden/>
          </w:rPr>
          <w:instrText xml:space="preserve"> PAGEREF TocMTF104 \h </w:instrText>
        </w:r>
        <w:r>
          <w:rPr>
            <w:noProof/>
            <w:webHidden/>
          </w:rPr>
          <w:fldChar w:fldCharType="separate"/>
        </w:r>
        <w:r>
          <w:rPr>
            <w:noProof/>
            <w:webHidden/>
          </w:rPr>
          <w:t>4</w:t>
        </w:r>
        <w:r>
          <w:rPr>
            <w:noProof/>
            <w:webHidden/>
          </w:rPr>
          <w:fldChar w:fldCharType="end"/>
        </w:r>
      </w:hyperlink>
    </w:p>
    <w:p>
      <w:pPr>
        <w:pStyle w:val="TDC2"/>
        <w:tabs>
          <w:tab w:val="right" w:leader="hyphen" w:pos="9350"/>
        </w:tabs>
        <w:rPr>
          <w:noProof/>
          <w:sz w:val="24"/>
        </w:rPr>
      </w:pPr>
      <w:hyperlink w:anchor="TocMTF105" w:history="1">
        <w:r>
          <w:rPr>
            <w:rStyle w:val="Hipervnculo"/>
            <w:noProof/>
            <w:lang w:val="es-SV"/>
          </w:rPr>
          <w:t xml:space="preserve">Ciclo contable</w:t>
        </w:r>
        <w:r>
          <w:rPr>
            <w:noProof/>
            <w:webHidden/>
          </w:rPr>
          <w:tab/>
        </w:r>
        <w:r>
          <w:rPr>
            <w:noProof/>
            <w:webHidden/>
          </w:rPr>
          <w:fldChar w:fldCharType="begin"/>
        </w:r>
        <w:r>
          <w:rPr>
            <w:noProof/>
            <w:webHidden/>
          </w:rPr>
          <w:instrText xml:space="preserve"> PAGEREF TocMTF105 \h </w:instrText>
        </w:r>
        <w:r>
          <w:rPr>
            <w:noProof/>
            <w:webHidden/>
          </w:rPr>
          <w:fldChar w:fldCharType="separate"/>
        </w:r>
        <w:r>
          <w:rPr>
            <w:noProof/>
            <w:webHidden/>
          </w:rPr>
          <w:t>4</w:t>
        </w:r>
        <w:r>
          <w:rPr>
            <w:noProof/>
            <w:webHidden/>
          </w:rPr>
          <w:fldChar w:fldCharType="end"/>
        </w:r>
      </w:hyperlink>
    </w:p>
    <w:p>
      <w:pPr>
        <w:pStyle w:val="TDC1"/>
        <w:tabs>
          <w:tab w:val="right" w:leader="hyphen" w:pos="9350"/>
        </w:tabs>
        <w:rPr>
          <w:noProof/>
          <w:sz w:val="24"/>
        </w:rPr>
      </w:pPr>
      <w:hyperlink w:anchor="TocMTF106" w:history="1">
        <w:r>
          <w:rPr>
            <w:rStyle w:val="Hipervnculo"/>
            <w:noProof/>
            <w:lang w:val="es-SV"/>
          </w:rPr>
          <w:t xml:space="preserve">Sistema de Información Contable</w:t>
        </w:r>
        <w:r>
          <w:rPr>
            <w:noProof/>
            <w:webHidden/>
          </w:rPr>
          <w:tab/>
        </w:r>
        <w:r>
          <w:rPr>
            <w:noProof/>
            <w:webHidden/>
          </w:rPr>
          <w:fldChar w:fldCharType="begin"/>
        </w:r>
        <w:r>
          <w:rPr>
            <w:noProof/>
            <w:webHidden/>
          </w:rPr>
          <w:instrText xml:space="preserve"> PAGEREF TocMTF106 \h </w:instrText>
        </w:r>
        <w:r>
          <w:rPr>
            <w:noProof/>
            <w:webHidden/>
          </w:rPr>
          <w:fldChar w:fldCharType="separate"/>
        </w:r>
        <w:r>
          <w:rPr>
            <w:noProof/>
            <w:webHidden/>
          </w:rPr>
          <w:t>4</w:t>
        </w:r>
        <w:r>
          <w:rPr>
            <w:noProof/>
            <w:webHidden/>
          </w:rPr>
          <w:fldChar w:fldCharType="end"/>
        </w:r>
      </w:hyperlink>
    </w:p>
    <w:p>
      <w:pPr>
        <w:pStyle w:val="TDC2"/>
        <w:tabs>
          <w:tab w:val="right" w:leader="hyphen" w:pos="9350"/>
        </w:tabs>
        <w:rPr>
          <w:noProof/>
          <w:sz w:val="24"/>
        </w:rPr>
      </w:pPr>
      <w:hyperlink w:anchor="TocMTF107" w:history="1">
        <w:r>
          <w:rPr>
            <w:rStyle w:val="Hipervnculo"/>
            <w:noProof/>
            <w:lang w:val="es-SV"/>
          </w:rPr>
          <w:t xml:space="preserve">Concepto y componentes</w:t>
        </w:r>
        <w:r>
          <w:rPr>
            <w:noProof/>
            <w:webHidden/>
          </w:rPr>
          <w:tab/>
        </w:r>
        <w:r>
          <w:rPr>
            <w:noProof/>
            <w:webHidden/>
          </w:rPr>
          <w:fldChar w:fldCharType="begin"/>
        </w:r>
        <w:r>
          <w:rPr>
            <w:noProof/>
            <w:webHidden/>
          </w:rPr>
          <w:instrText xml:space="preserve"> PAGEREF TocMTF107 \h </w:instrText>
        </w:r>
        <w:r>
          <w:rPr>
            <w:noProof/>
            <w:webHidden/>
          </w:rPr>
          <w:fldChar w:fldCharType="separate"/>
        </w:r>
        <w:r>
          <w:rPr>
            <w:noProof/>
            <w:webHidden/>
          </w:rPr>
          <w:t>4</w:t>
        </w:r>
        <w:r>
          <w:rPr>
            <w:noProof/>
            <w:webHidden/>
          </w:rPr>
          <w:fldChar w:fldCharType="end"/>
        </w:r>
      </w:hyperlink>
    </w:p>
    <w:p>
      <w:pPr>
        <w:pStyle w:val="TDC2"/>
        <w:tabs>
          <w:tab w:val="right" w:leader="hyphen" w:pos="9350"/>
        </w:tabs>
        <w:rPr>
          <w:noProof/>
          <w:sz w:val="24"/>
        </w:rPr>
      </w:pPr>
      <w:hyperlink w:anchor="TocMTF108" w:history="1">
        <w:r>
          <w:rPr>
            <w:rStyle w:val="Hipervnculo"/>
            <w:noProof/>
            <w:lang w:val="es-SV"/>
          </w:rPr>
          <w:t xml:space="preserve">Características y control interno</w:t>
        </w:r>
        <w:r>
          <w:rPr>
            <w:noProof/>
            <w:webHidden/>
          </w:rPr>
          <w:tab/>
        </w:r>
        <w:r>
          <w:rPr>
            <w:noProof/>
            <w:webHidden/>
          </w:rPr>
          <w:fldChar w:fldCharType="begin"/>
        </w:r>
        <w:r>
          <w:rPr>
            <w:noProof/>
            <w:webHidden/>
          </w:rPr>
          <w:instrText xml:space="preserve"> PAGEREF TocMTF108 \h </w:instrText>
        </w:r>
        <w:r>
          <w:rPr>
            <w:noProof/>
            <w:webHidden/>
          </w:rPr>
          <w:fldChar w:fldCharType="separate"/>
        </w:r>
        <w:r>
          <w:rPr>
            <w:noProof/>
            <w:webHidden/>
          </w:rPr>
          <w:t>4</w:t>
        </w:r>
        <w:r>
          <w:rPr>
            <w:noProof/>
            <w:webHidden/>
          </w:rPr>
          <w:fldChar w:fldCharType="end"/>
        </w:r>
      </w:hyperlink>
    </w:p>
    <w:p>
      <w:pPr>
        <w:pStyle w:val="TDC1"/>
        <w:tabs>
          <w:tab w:val="right" w:leader="hyphen" w:pos="9350"/>
        </w:tabs>
        <w:rPr>
          <w:noProof/>
          <w:sz w:val="24"/>
        </w:rPr>
      </w:pPr>
      <w:hyperlink w:anchor="TocMTF109" w:history="1">
        <w:r>
          <w:rPr>
            <w:rStyle w:val="Hipervnculo"/>
            <w:noProof/>
            <w:lang w:val="es-SV"/>
          </w:rPr>
          <w:t xml:space="preserve">Aplicación al Sistema Contable de SunGames</w:t>
        </w:r>
        <w:r>
          <w:rPr>
            <w:noProof/>
            <w:webHidden/>
          </w:rPr>
          <w:tab/>
        </w:r>
        <w:r>
          <w:rPr>
            <w:noProof/>
            <w:webHidden/>
          </w:rPr>
          <w:fldChar w:fldCharType="begin"/>
        </w:r>
        <w:r>
          <w:rPr>
            <w:noProof/>
            <w:webHidden/>
          </w:rPr>
          <w:instrText xml:space="preserve"> PAGEREF TocMTF109 \h </w:instrText>
        </w:r>
        <w:r>
          <w:rPr>
            <w:noProof/>
            <w:webHidden/>
          </w:rPr>
          <w:fldChar w:fldCharType="separate"/>
        </w:r>
        <w:r>
          <w:rPr>
            <w:noProof/>
            <w:webHidden/>
          </w:rPr>
          <w:t>4</w:t>
        </w:r>
        <w:r>
          <w:rPr>
            <w:noProof/>
            <w:webHidden/>
          </w:rPr>
          <w:fldChar w:fldCharType="end"/>
        </w:r>
      </w:hyperlink>
    </w:p>
    <w:p>
      <w:pPr>
        <w:pStyle w:val="TDC1"/>
        <w:tabs>
          <w:tab w:val="right" w:leader="hyphen" w:pos="9350"/>
        </w:tabs>
        <w:rPr>
          <w:noProof/>
          <w:sz w:val="24"/>
        </w:rPr>
      </w:pPr>
      <w:hyperlink w:anchor="TocMTF110" w:history="1">
        <w:r>
          <w:rPr>
            <w:rStyle w:val="Hipervnculo"/>
            <w:noProof/>
            <w:lang w:val="es-SV"/>
          </w:rPr>
          <w:t xml:space="preserve">Conclusión</w:t>
        </w:r>
        <w:r>
          <w:rPr>
            <w:noProof/>
            <w:webHidden/>
          </w:rPr>
          <w:tab/>
        </w:r>
        <w:r>
          <w:rPr>
            <w:noProof/>
            <w:webHidden/>
          </w:rPr>
          <w:fldChar w:fldCharType="begin"/>
        </w:r>
        <w:r>
          <w:rPr>
            <w:noProof/>
            <w:webHidden/>
          </w:rPr>
          <w:instrText xml:space="preserve"> PAGEREF TocMTF110 \h </w:instrText>
        </w:r>
        <w:r>
          <w:rPr>
            <w:noProof/>
            <w:webHidden/>
          </w:rPr>
          <w:fldChar w:fldCharType="separate"/>
        </w:r>
        <w:r>
          <w:rPr>
            <w:noProof/>
            <w:webHidden/>
          </w:rPr>
          <w:t>4</w:t>
        </w:r>
        <w:r>
          <w:rPr>
            <w:noProof/>
            <w:webHidden/>
          </w:rPr>
          <w:fldChar w:fldCharType="end"/>
        </w:r>
      </w:hyperlink>
    </w:p>
    <w:p>
      <w:pPr>
        <w:pStyle w:val="TDC1"/>
        <w:tabs>
          <w:tab w:val="right" w:leader="hyphen" w:pos="9350"/>
        </w:tabs>
        <w:rPr>
          <w:noProof/>
          <w:sz w:val="24"/>
        </w:rPr>
      </w:pPr>
      <w:hyperlink w:anchor="TocMTF111" w:history="1">
        <w:r>
          <w:rPr>
            <w:rStyle w:val="Hipervnculo"/>
            <w:noProof/>
            <w:lang w:val="es-SV"/>
          </w:rPr>
          <w:t xml:space="preserve">Referencias</w:t>
        </w:r>
        <w:r>
          <w:rPr>
            <w:noProof/>
            <w:webHidden/>
          </w:rPr>
          <w:tab/>
        </w:r>
        <w:r>
          <w:rPr>
            <w:noProof/>
            <w:webHidden/>
          </w:rPr>
          <w:fldChar w:fldCharType="begin"/>
        </w:r>
        <w:r>
          <w:rPr>
            <w:noProof/>
            <w:webHidden/>
          </w:rPr>
          <w:instrText xml:space="preserve"> PAGEREF TocMTF111 \h </w:instrText>
        </w:r>
        <w:r>
          <w:rPr>
            <w:noProof/>
            <w:webHidden/>
          </w:rPr>
          <w:fldChar w:fldCharType="separate"/>
        </w:r>
        <w:r>
          <w:rPr>
            <w:noProof/>
            <w:webHidden/>
          </w:rPr>
          <w:t>4</w:t>
        </w:r>
        <w:r>
          <w:rPr>
            <w:noProof/>
            <w:webHidden/>
          </w:rPr>
          <w:fldChar w:fldCharType="end"/>
        </w:r>
      </w:hyperlink>
    </w:p>
    <w:p>
      <w:pPr>
        <w:pStyle w:val="TDC1"/>
        <w:tabs>
          <w:tab w:val="right" w:leader="hyphen" w:pos="9350"/>
        </w:tabs>
        <w:rPr>
          <w:noProof/>
          <w:sz w:val="24"/>
        </w:rPr>
      </w:pPr>
      <w:hyperlink w:anchor="TocMTF112" w:history="1">
        <w:r>
          <w:rPr>
            <w:rStyle w:val="Hipervnculo"/>
            <w:noProof/>
            <w:lang w:val="es-SV"/>
          </w:rPr>
          <w:t xml:space="preserve">CONTROL DE VERSIONES Y ELABORACIÓN DEL DOCUMENTO</w:t>
        </w:r>
        <w:r>
          <w:rPr>
            <w:noProof/>
            <w:webHidden/>
          </w:rPr>
          <w:tab/>
        </w:r>
        <w:r>
          <w:rPr>
            <w:noProof/>
            <w:webHidden/>
          </w:rPr>
          <w:fldChar w:fldCharType="begin"/>
        </w:r>
        <w:r>
          <w:rPr>
            <w:noProof/>
            <w:webHidden/>
          </w:rPr>
          <w:instrText xml:space="preserve"> PAGEREF TocMTF112 \h </w:instrText>
        </w:r>
        <w:r>
          <w:rPr>
            <w:noProof/>
            <w:webHidden/>
          </w:rPr>
          <w:fldChar w:fldCharType="separate"/>
        </w:r>
        <w:r>
          <w:rPr>
            <w:noProof/>
            <w:webHidden/>
          </w:rPr>
          <w:t>4</w:t>
        </w:r>
        <w:r>
          <w:rPr>
            <w:noProof/>
            <w:webHidden/>
          </w:rPr>
          <w:fldChar w:fldCharType="end"/>
        </w:r>
      </w:hyperlink>
    </w:p>
    <w:p>
      <w:pPr/>
      <w:r>
        <w:rPr>
          <w:lang w:val="es-SV"/>
        </w:rPr>
        <w:fldChar w:fldCharType="end"/>
      </w:r>
      <w:r>
        <w:rPr>
          <w:lang w:val="es-SV"/>
        </w:rPr>
        <w:br w:type="page"/>
      </w:r>
    </w:p>
    <w:p>
      <w:pPr>
        <w:pStyle w:val="Ttulo1"/>
        <w:jc w:val="center"/>
        <w:rPr>
          <w:rFonts w:ascii="Times New Roman" w:hAnsi="Times New Roman" w:cs="Times New Roman"/>
          <w:color w:val="auto"/>
          <w:sz w:val="24"/>
          <w:szCs w:val="24"/>
          <w:lang w:val="es-SV"/>
        </w:rPr>
      </w:pPr>
      <w:bookmarkStart w:id="100" w:name="TocMTF100"/>
      <w:r>
        <w:rPr>
          <w:rFonts w:ascii="Times New Roman" w:hAnsi="Times New Roman" w:cs="Times New Roman"/>
          <w:color w:val="auto"/>
          <w:sz w:val="24"/>
          <w:szCs w:val="24"/>
          <w:lang w:val="es-SV"/>
        </w:rPr>
        <w:t xml:space="preserve">Introducción</w:t>
      </w:r>
      <w:bookmarkEnd w:id="100"/>
    </w:p>
    <w:p>
      <w:pPr>
        <w:ind w:firstLine="720"/>
      </w:pPr>
      <w:r>
        <w:rPr/>
        <w:t xml:space="preserve">El presente documento constituye el marco teórico del sistema contable de SunGames, S.A. de C.V., sociedad salvadoreña dedicada al desarrollo, producción y comercialización de videojuegos mediante licencias. Su propósito es exponer los fundamentos contables y el concepto de sistema de información contable que sustentan el diseño, la construcción y el uso del aplicativo contable de la empresa, así como establecer la base conceptual sobre la que se apoyan la investigación de la normativa aplicable y los estándares de acuerdo con las NIIF tratados en los documentos complementarios.</w:t>
      </w:r>
    </w:p>
    <w:p>
      <w:pPr/>
      <w:r>
        <w:br w:type="page"/>
      </w:r>
    </w:p>
    <w:p>
      <w:pPr>
        <w:pStyle w:val="Ttulo1"/>
        <w:jc w:val="center"/>
        <w:rPr>
          <w:rFonts w:ascii="Times New Roman" w:hAnsi="Times New Roman" w:cs="Times New Roman"/>
          <w:color w:val="auto"/>
          <w:sz w:val="24"/>
          <w:szCs w:val="24"/>
          <w:lang w:val="es-SV"/>
        </w:rPr>
      </w:pPr>
      <w:bookmarkStart w:id="101" w:name="TocMTF101"/>
      <w:r>
        <w:rPr>
          <w:rFonts w:ascii="Times New Roman" w:hAnsi="Times New Roman" w:cs="Times New Roman"/>
          <w:color w:val="auto"/>
          <w:sz w:val="24"/>
          <w:szCs w:val="24"/>
          <w:lang w:val="es-SV"/>
        </w:rPr>
        <w:t xml:space="preserve">Fundamentos de la Contabilidad</w:t>
      </w:r>
      <w:bookmarkEnd w:id="101"/>
    </w:p>
    <w:p>
      <w:pPr>
        <w:pStyle w:val="Ttulo2"/>
        <w:rPr>
          <w:rFonts w:ascii="Times New Roman" w:hAnsi="Times New Roman" w:cs="Times New Roman"/>
          <w:color w:val="auto"/>
          <w:sz w:val="24"/>
          <w:szCs w:val="24"/>
          <w:lang w:val="es-SV"/>
        </w:rPr>
      </w:pPr>
      <w:bookmarkStart w:id="102" w:name="TocMTF102"/>
      <w:r>
        <w:rPr>
          <w:rFonts w:ascii="Times New Roman" w:hAnsi="Times New Roman" w:cs="Times New Roman"/>
          <w:color w:val="auto"/>
          <w:sz w:val="24"/>
          <w:szCs w:val="24"/>
          <w:lang w:val="es-SV"/>
        </w:rPr>
        <w:t xml:space="preserve">Concepto y objetivo</w:t>
      </w:r>
      <w:bookmarkEnd w:id="102"/>
    </w:p>
    <w:p>
      <w:pPr>
        <w:ind w:firstLine="720"/>
      </w:pPr>
      <w:r>
        <w:rPr/>
        <w:t xml:space="preserve">La contabilidad es el proceso mediante el cual se identifican, miden y comunican las transacciones y hechos económicos de una entidad, de manera sistemática y ordenada, para permitir la toma de decisiones de sus usuarios (Horngren et al., 2013). Para SunGames, el objetivo es registrar íntegramente las operaciones derivadas de su giro —desarrollo y comercialización de videojuegos por licencia— y de sus actividades de apoyo, de forma tal que la administración disponga de información financiera confiable, oportuna y comparable.</w:t>
      </w:r>
    </w:p>
    <w:p>
      <w:pPr>
        <w:pStyle w:val="Ttulo2"/>
        <w:rPr>
          <w:rFonts w:ascii="Times New Roman" w:hAnsi="Times New Roman" w:cs="Times New Roman"/>
          <w:color w:val="auto"/>
          <w:sz w:val="24"/>
          <w:szCs w:val="24"/>
          <w:lang w:val="es-SV"/>
        </w:rPr>
      </w:pPr>
      <w:bookmarkStart w:id="103" w:name="TocMTF103"/>
      <w:r>
        <w:rPr>
          <w:rFonts w:ascii="Times New Roman" w:hAnsi="Times New Roman" w:cs="Times New Roman"/>
          <w:color w:val="auto"/>
          <w:sz w:val="24"/>
          <w:szCs w:val="24"/>
          <w:lang w:val="es-SV"/>
        </w:rPr>
        <w:t xml:space="preserve">Principios y cualidades de la información financiera</w:t>
      </w:r>
      <w:bookmarkEnd w:id="103"/>
    </w:p>
    <w:p>
      <w:pPr>
        <w:ind w:firstLine="720"/>
      </w:pPr>
      <w:r>
        <w:rPr/>
        <w:t xml:space="preserve">La información contable se elabora sobre un conjunto de principios y cualidades que garantizan su utilidad. Entre las más relevantes para el diseño del sistema se encuentran:</w:t>
      </w:r>
    </w:p>
    <w:p>
      <w:pPr>
        <w:pStyle w:val="Listaconvietas"/>
      </w:pPr>
      <w:r>
        <w:rPr/>
        <w:t xml:space="preserve">Entidad contable: la empresa y los socios son sujetos económicos independientes; los aportes y retiros de los accionistas se registran como patrimonio.</w:t>
      </w:r>
    </w:p>
    <w:p>
      <w:pPr>
        <w:pStyle w:val="Listaconvietas"/>
      </w:pPr>
      <w:r>
        <w:rPr/>
        <w:t xml:space="preserve">Período contable: la vida de la entidad se fracciona en períodos, normalmente anuales (del 1 de enero al 31 de diciembre), para la preparación de informes.</w:t>
      </w:r>
    </w:p>
    <w:p>
      <w:pPr>
        <w:pStyle w:val="Listaconvietas"/>
      </w:pPr>
      <w:r>
        <w:rPr/>
        <w:t xml:space="preserve">Base de devengo: las operaciones se registran en el período en que ocurren, independientemente de la fecha de cobro o pago.</w:t>
      </w:r>
    </w:p>
    <w:p>
      <w:pPr>
        <w:pStyle w:val="Listaconvietas"/>
      </w:pPr>
      <w:r>
        <w:rPr/>
        <w:t xml:space="preserve">Negocio en marcha: la empresa continuará su operación en el futuro previsible; la valoración de los activos parte de este supuesto.</w:t>
      </w:r>
    </w:p>
    <w:p>
      <w:pPr>
        <w:pStyle w:val="Listaconvietas"/>
      </w:pPr>
      <w:r>
        <w:rPr/>
        <w:t xml:space="preserve">Partida doble: en toda operación existen, al menos, un débito y un crédito de igual magnitud, que mantienen el equilibrio de la ecuación contable.</w:t>
      </w:r>
    </w:p>
    <w:p>
      <w:pPr>
        <w:pStyle w:val="Listaconvietas"/>
      </w:pPr>
      <w:r>
        <w:rPr/>
        <w:t xml:space="preserve">Uniformidad y materialidad: los criterios contables se aplican de manera consistente y se reflejan las operaciones significativas sin excesivo detalle.</w:t>
      </w:r>
    </w:p>
    <w:p>
      <w:pPr>
        <w:pStyle w:val="Ttulo2"/>
        <w:rPr>
          <w:rFonts w:ascii="Times New Roman" w:hAnsi="Times New Roman" w:cs="Times New Roman"/>
          <w:color w:val="auto"/>
          <w:sz w:val="24"/>
          <w:szCs w:val="24"/>
          <w:lang w:val="es-SV"/>
        </w:rPr>
      </w:pPr>
      <w:bookmarkStart w:id="104" w:name="TocMTF104"/>
      <w:r>
        <w:rPr>
          <w:rFonts w:ascii="Times New Roman" w:hAnsi="Times New Roman" w:cs="Times New Roman"/>
          <w:color w:val="auto"/>
          <w:sz w:val="24"/>
          <w:szCs w:val="24"/>
          <w:lang w:val="es-SV"/>
        </w:rPr>
        <w:t xml:space="preserve">Ecuación contable y estructura de los estados financieros</w:t>
      </w:r>
      <w:bookmarkEnd w:id="104"/>
    </w:p>
    <w:p>
      <w:pPr>
        <w:ind w:firstLine="720"/>
      </w:pPr>
      <w:r>
        <w:rPr/>
        <w:t xml:space="preserve">La ecuación contable expresa que los activos son iguales a la suma de los pasivos más el patrimonio (A = P + Patrimonio). Toda operación debe conservar este equilibrio, que el sistema contable verificará de manera automática mediante el motor de partida doble. Sobre esta base se estructuran los estados financieros principales: estado de situación financiera, estado de resultados y otro resultado integral, estado de cambios en el patrimonio y estado de flujos de efectivo, cuyas políticas y presentación se desarrollan en el documento de estándares NIIF.</w:t>
      </w:r>
    </w:p>
    <w:p>
      <w:pPr>
        <w:pStyle w:val="Ttulo2"/>
        <w:rPr>
          <w:rFonts w:ascii="Times New Roman" w:hAnsi="Times New Roman" w:cs="Times New Roman"/>
          <w:color w:val="auto"/>
          <w:sz w:val="24"/>
          <w:szCs w:val="24"/>
          <w:lang w:val="es-SV"/>
        </w:rPr>
      </w:pPr>
      <w:bookmarkStart w:id="105" w:name="TocMTF105"/>
      <w:r>
        <w:rPr>
          <w:rFonts w:ascii="Times New Roman" w:hAnsi="Times New Roman" w:cs="Times New Roman"/>
          <w:color w:val="auto"/>
          <w:sz w:val="24"/>
          <w:szCs w:val="24"/>
          <w:lang w:val="es-SV"/>
        </w:rPr>
        <w:t xml:space="preserve">Ciclo contable</w:t>
      </w:r>
      <w:bookmarkEnd w:id="105"/>
    </w:p>
    <w:p>
      <w:pPr>
        <w:ind w:firstLine="720"/>
      </w:pPr>
      <w:r>
        <w:rPr/>
        <w:t xml:space="preserve">El ciclo contable comprende las etapas periódicas que transforman los documentos fuente en estados financieros: identificación y análisis de los soportes, registro en el libro diario, trascendencia al libro mayor y mayores auxiliares, ajustes y reclasificaciones, balanza de comprobación, elaboración de estados financieros y cierre. El sistema contable de SunGames automatiza estas etapas, desde la captura de la operación hasta la generación de los reportes financieros y el cierre periódico, conforme a la obligación de contabilidad formal establecida en los arts. 435 y siguientes del Código de Comercio (Asamblea Legislativa de la República de El Salvador, 1970) y el art. 139 del Código Tributario (Asamblea Legislativa de la República de El Salvador, 2000).</w:t>
      </w:r>
    </w:p>
    <w:p>
      <w:pPr/>
      <w:r>
        <w:br w:type="page"/>
      </w:r>
    </w:p>
    <w:p>
      <w:pPr>
        <w:pStyle w:val="Ttulo1"/>
        <w:jc w:val="center"/>
        <w:rPr>
          <w:rFonts w:ascii="Times New Roman" w:hAnsi="Times New Roman" w:cs="Times New Roman"/>
          <w:color w:val="auto"/>
          <w:sz w:val="24"/>
          <w:szCs w:val="24"/>
          <w:lang w:val="es-SV"/>
        </w:rPr>
      </w:pPr>
      <w:bookmarkStart w:id="106" w:name="TocMTF106"/>
      <w:r>
        <w:rPr>
          <w:rFonts w:ascii="Times New Roman" w:hAnsi="Times New Roman" w:cs="Times New Roman"/>
          <w:color w:val="auto"/>
          <w:sz w:val="24"/>
          <w:szCs w:val="24"/>
          <w:lang w:val="es-SV"/>
        </w:rPr>
        <w:t xml:space="preserve">Sistema de Información Contable</w:t>
      </w:r>
      <w:bookmarkEnd w:id="106"/>
    </w:p>
    <w:p>
      <w:pPr>
        <w:pStyle w:val="Ttulo2"/>
        <w:rPr>
          <w:rFonts w:ascii="Times New Roman" w:hAnsi="Times New Roman" w:cs="Times New Roman"/>
          <w:color w:val="auto"/>
          <w:sz w:val="24"/>
          <w:szCs w:val="24"/>
          <w:lang w:val="es-SV"/>
        </w:rPr>
      </w:pPr>
      <w:bookmarkStart w:id="107" w:name="TocMTF107"/>
      <w:r>
        <w:rPr>
          <w:rFonts w:ascii="Times New Roman" w:hAnsi="Times New Roman" w:cs="Times New Roman"/>
          <w:color w:val="auto"/>
          <w:sz w:val="24"/>
          <w:szCs w:val="24"/>
          <w:lang w:val="es-SV"/>
        </w:rPr>
        <w:t xml:space="preserve">Concepto y componentes</w:t>
      </w:r>
      <w:bookmarkEnd w:id="107"/>
    </w:p>
    <w:p>
      <w:pPr>
        <w:ind w:firstLine="720"/>
      </w:pPr>
      <w:r>
        <w:rPr/>
        <w:t xml:space="preserve">Un sistema de información contable es el conjunto ordenado de procedimientos, recursos humanos, software y herramientas tecnológicas que captura, procesa, almacena y distribuye la información financiera de una entidad. Los componentes esenciales que se consideran en el diseño del sistema de SunGames son:</w:t>
      </w:r>
    </w:p>
    <w:p>
      <w:pPr>
        <w:pStyle w:val="Listaconvietas"/>
      </w:pPr>
      <w:r>
        <w:rPr/>
        <w:t xml:space="preserve">Catálogo de cuentas: estructura jerárquica de cuentas (grupos 1 a 5) alineada con los rubros de los estados financieros y con el mapeo normativo.</w:t>
      </w:r>
    </w:p>
    <w:p>
      <w:pPr>
        <w:pStyle w:val="Listaconvietas"/>
      </w:pPr>
      <w:r>
        <w:rPr/>
        <w:t xml:space="preserve">Módulo de captura de transacciones: formularios de operación contable con datos de los documentos fuente y líneas de detalle.</w:t>
      </w:r>
    </w:p>
    <w:p>
      <w:pPr>
        <w:pStyle w:val="Listaconvietas"/>
      </w:pPr>
      <w:r>
        <w:rPr/>
        <w:t xml:space="preserve">Motor de partida doble: validación de que los débitos igualen a los créditos en cada asiento.</w:t>
      </w:r>
    </w:p>
    <w:p>
      <w:pPr>
        <w:pStyle w:val="Listaconvietas"/>
      </w:pPr>
      <w:r>
        <w:rPr/>
        <w:t xml:space="preserve">Registros y libros: libro diario, libro mayor, mayores auxiliares y registros especiales exigidos por la normativa tributaria.</w:t>
      </w:r>
    </w:p>
    <w:p>
      <w:pPr>
        <w:pStyle w:val="Listaconvietas"/>
      </w:pPr>
      <w:r>
        <w:rPr/>
        <w:t xml:space="preserve">Motores de cálculo: determinación de IVA débito y crédito fiscal, liquidación de impuestos, cálculo y cierre de períodos.</w:t>
      </w:r>
    </w:p>
    <w:p>
      <w:pPr>
        <w:pStyle w:val="Listaconvietas"/>
      </w:pPr>
      <w:r>
        <w:rPr/>
        <w:t xml:space="preserve">Generadores de reportes: estado de situación financiera, estado de resultados, flujos de efectivo, balanza de comprobación y libros legales.</w:t>
      </w:r>
    </w:p>
    <w:p>
      <w:pPr>
        <w:pStyle w:val="Listaconvietas"/>
      </w:pPr>
      <w:r>
        <w:rPr/>
        <w:t xml:space="preserve">Control y auditoría: bitácora de auditoría, trazabilidad de cada cifra hasta su documento fuente y conciliaciones.</w:t>
      </w:r>
    </w:p>
    <w:p>
      <w:pPr>
        <w:pStyle w:val="Ttulo2"/>
        <w:rPr>
          <w:rFonts w:ascii="Times New Roman" w:hAnsi="Times New Roman" w:cs="Times New Roman"/>
          <w:color w:val="auto"/>
          <w:sz w:val="24"/>
          <w:szCs w:val="24"/>
          <w:lang w:val="es-SV"/>
        </w:rPr>
      </w:pPr>
      <w:bookmarkStart w:id="108" w:name="TocMTF108"/>
      <w:r>
        <w:rPr>
          <w:rFonts w:ascii="Times New Roman" w:hAnsi="Times New Roman" w:cs="Times New Roman"/>
          <w:color w:val="auto"/>
          <w:sz w:val="24"/>
          <w:szCs w:val="24"/>
          <w:lang w:val="es-SV"/>
        </w:rPr>
        <w:t xml:space="preserve">Características y control interno</w:t>
      </w:r>
      <w:bookmarkEnd w:id="108"/>
    </w:p>
    <w:p>
      <w:pPr>
        <w:ind w:firstLine="720"/>
      </w:pPr>
      <w:r>
        <w:rPr/>
        <w:t xml:space="preserve">Para que la información contable sea confiable, el sistema debe garantizar la integridad, la exactitud, la oportunidad, la trazabilidad y la seguridad de los datos. Ello se logra mediante controles de validación (cuentas inactivas, períodos cerrados, monedas), perfiles de usuario con segregación de funciones, aprobaciones según el monto y bitácoras de auditoría, en línea con el ambiente de control descrito en los manuales organizativos de la empresa y con las buenas prácticas de las Normas Técnicas de Control Interno (Corte de Cuentas de la República, 2004).</w:t>
      </w:r>
    </w:p>
    <w:p>
      <w:pPr/>
      <w:r>
        <w:br w:type="page"/>
      </w:r>
    </w:p>
    <w:p>
      <w:pPr>
        <w:pStyle w:val="Ttulo1"/>
        <w:jc w:val="center"/>
        <w:rPr>
          <w:rFonts w:ascii="Times New Roman" w:hAnsi="Times New Roman" w:cs="Times New Roman"/>
          <w:color w:val="auto"/>
          <w:sz w:val="24"/>
          <w:szCs w:val="24"/>
          <w:lang w:val="es-SV"/>
        </w:rPr>
      </w:pPr>
      <w:bookmarkStart w:id="109" w:name="TocMTF109"/>
      <w:r>
        <w:rPr>
          <w:rFonts w:ascii="Times New Roman" w:hAnsi="Times New Roman" w:cs="Times New Roman"/>
          <w:color w:val="auto"/>
          <w:sz w:val="24"/>
          <w:szCs w:val="24"/>
          <w:lang w:val="es-SV"/>
        </w:rPr>
        <w:t xml:space="preserve">Aplicación al Sistema Contable de SunGames</w:t>
      </w:r>
      <w:bookmarkEnd w:id="109"/>
    </w:p>
    <w:p>
      <w:pPr>
        <w:ind w:firstLine="720"/>
      </w:pPr>
      <w:r>
        <w:rPr/>
        <w:t xml:space="preserve">Con base en los fundamentos anteriores, el sistema contable de SunGames se estructura en los siguientes módulos, que responden directamente a los requerimientos funcionales del proyecto:</w:t>
      </w:r>
    </w:p>
    <w:p>
      <w:pPr>
        <w:keepNext/>
      </w:pPr>
      <w:r>
        <w:rPr>
          <w:b/>
        </w:rPr>
        <w:t xml:space="preserve">Tabla 1</w:t>
      </w:r>
    </w:p>
    <w:p>
      <w:pPr>
        <w:keepNext/>
      </w:pPr>
      <w:r>
        <w:rPr>
          <w:i/>
        </w:rPr>
        <w:t xml:space="preserve">Módulos del sistema contable y fundamento contable que los sustenta</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504"/>
        <w:gridCol w:w="5856"/>
      </w:tblGrid>
      <w:tr>
        <w:trPr>
          <w:jc w:val="center"/>
        </w:trPr>
        <w:tc>
          <w:tcPr>
            <w:tcW w:w="3504" w:type="dxa"/>
            <w:tcBorders>
              <w:bottom w:val="single" w:sz="8" w:space="0" w:color="000000"/>
            </w:tcBorders>
          </w:tcPr>
          <w:p>
            <w:pPr>
              <w:spacing w:line="240" w:lineRule="auto"/>
              <w:jc w:val="center"/>
            </w:pPr>
            <w:r>
              <w:rPr>
                <w:b/>
                <w:sz w:val="20"/>
              </w:rPr>
              <w:t xml:space="preserve">Módulo</w:t>
            </w:r>
          </w:p>
        </w:tc>
        <w:tc>
          <w:tcPr>
            <w:tcW w:w="5856" w:type="dxa"/>
            <w:tcBorders>
              <w:bottom w:val="single" w:sz="8" w:space="0" w:color="000000"/>
            </w:tcBorders>
          </w:tcPr>
          <w:p>
            <w:pPr>
              <w:spacing w:line="240" w:lineRule="auto"/>
              <w:jc w:val="center"/>
            </w:pPr>
            <w:r>
              <w:rPr>
                <w:b/>
                <w:sz w:val="20"/>
              </w:rPr>
              <w:t xml:space="preserve">Fundamento aplicado</w:t>
            </w:r>
          </w:p>
        </w:tc>
      </w:tr>
      <w:tr>
        <w:trPr>
          <w:jc w:val="center"/>
        </w:trPr>
        <w:tc>
          <w:tcPr>
            <w:tcW w:w="3504" w:type="dxa"/>
          </w:tcPr>
          <w:p>
            <w:pPr>
              <w:spacing w:line="240" w:lineRule="auto"/>
            </w:pPr>
            <w:r>
              <w:rPr>
                <w:sz w:val="20"/>
              </w:rPr>
              <w:t xml:space="preserve">Catálogo de cuentas y mapeo normativo</w:t>
            </w:r>
          </w:p>
        </w:tc>
        <w:tc>
          <w:tcPr>
            <w:tcW w:w="5856" w:type="dxa"/>
          </w:tcPr>
          <w:p>
            <w:pPr>
              <w:spacing w:line="240" w:lineRule="auto"/>
            </w:pPr>
            <w:r>
              <w:rPr>
                <w:sz w:val="20"/>
              </w:rPr>
              <w:t xml:space="preserve">Estructura de cuentas 1..5; asociación con rubros de estados financieros y categorías NIIF.</w:t>
            </w:r>
          </w:p>
        </w:tc>
      </w:tr>
      <w:tr>
        <w:trPr>
          <w:jc w:val="center"/>
        </w:trPr>
        <w:tc>
          <w:tcPr>
            <w:tcW w:w="3504" w:type="dxa"/>
          </w:tcPr>
          <w:p>
            <w:pPr>
              <w:spacing w:line="240" w:lineRule="auto"/>
            </w:pPr>
            <w:r>
              <w:rPr>
                <w:sz w:val="20"/>
              </w:rPr>
              <w:t xml:space="preserve">Captura y registro de transacciones</w:t>
            </w:r>
          </w:p>
        </w:tc>
        <w:tc>
          <w:tcPr>
            <w:tcW w:w="5856" w:type="dxa"/>
          </w:tcPr>
          <w:p>
            <w:pPr>
              <w:spacing w:line="240" w:lineRule="auto"/>
            </w:pPr>
            <w:r>
              <w:rPr>
                <w:sz w:val="20"/>
              </w:rPr>
              <w:t xml:space="preserve">Partida doble, base de devengo, validación de documentos fuente y soportes.</w:t>
            </w:r>
          </w:p>
        </w:tc>
      </w:tr>
      <w:tr>
        <w:trPr>
          <w:jc w:val="center"/>
        </w:trPr>
        <w:tc>
          <w:tcPr>
            <w:tcW w:w="3504" w:type="dxa"/>
          </w:tcPr>
          <w:p>
            <w:pPr>
              <w:spacing w:line="240" w:lineRule="auto"/>
            </w:pPr>
            <w:r>
              <w:rPr>
                <w:sz w:val="20"/>
              </w:rPr>
              <w:t xml:space="preserve">Libro diario, mayor y mayores auxiliares</w:t>
            </w:r>
          </w:p>
        </w:tc>
        <w:tc>
          <w:tcPr>
            <w:tcW w:w="5856" w:type="dxa"/>
          </w:tcPr>
          <w:p>
            <w:pPr>
              <w:spacing w:line="240" w:lineRule="auto"/>
            </w:pPr>
            <w:r>
              <w:rPr>
                <w:sz w:val="20"/>
              </w:rPr>
              <w:t xml:space="preserve">Ciclo contable; obligación de contabilidad formal (Código de Comercio y Código Tributario).</w:t>
            </w:r>
          </w:p>
        </w:tc>
      </w:tr>
      <w:tr>
        <w:trPr>
          <w:jc w:val="center"/>
        </w:trPr>
        <w:tc>
          <w:tcPr>
            <w:tcW w:w="3504" w:type="dxa"/>
          </w:tcPr>
          <w:p>
            <w:pPr>
              <w:spacing w:line="240" w:lineRule="auto"/>
            </w:pPr>
            <w:r>
              <w:rPr>
                <w:sz w:val="20"/>
              </w:rPr>
              <w:t xml:space="preserve">Determinación y liquidación de IVA</w:t>
            </w:r>
          </w:p>
        </w:tc>
        <w:tc>
          <w:tcPr>
            <w:tcW w:w="5856" w:type="dxa"/>
          </w:tcPr>
          <w:p>
            <w:pPr>
              <w:spacing w:line="240" w:lineRule="auto"/>
            </w:pPr>
            <w:r>
              <w:rPr>
                <w:sz w:val="20"/>
              </w:rPr>
              <w:t xml:space="preserve">IVA débito y crédito fiscal conforme a la Ley de IVA.</w:t>
            </w:r>
          </w:p>
        </w:tc>
      </w:tr>
      <w:tr>
        <w:trPr>
          <w:jc w:val="center"/>
        </w:trPr>
        <w:tc>
          <w:tcPr>
            <w:tcW w:w="3504" w:type="dxa"/>
          </w:tcPr>
          <w:p>
            <w:pPr>
              <w:spacing w:line="240" w:lineRule="auto"/>
            </w:pPr>
            <w:r>
              <w:rPr>
                <w:sz w:val="20"/>
              </w:rPr>
              <w:t xml:space="preserve">Ajustes, cierres y reaperturas</w:t>
            </w:r>
          </w:p>
        </w:tc>
        <w:tc>
          <w:tcPr>
            <w:tcW w:w="5856" w:type="dxa"/>
          </w:tcPr>
          <w:p>
            <w:pPr>
              <w:spacing w:line="240" w:lineRule="auto"/>
            </w:pPr>
            <w:r>
              <w:rPr>
                <w:sz w:val="20"/>
              </w:rPr>
              <w:t xml:space="preserve">Ciclo contable; eventos posteriores y corrección de errores.</w:t>
            </w:r>
          </w:p>
        </w:tc>
      </w:tr>
      <w:tr>
        <w:trPr>
          <w:jc w:val="center"/>
        </w:trPr>
        <w:tc>
          <w:tcPr>
            <w:tcW w:w="3504" w:type="dxa"/>
          </w:tcPr>
          <w:p>
            <w:pPr>
              <w:spacing w:line="240" w:lineRule="auto"/>
            </w:pPr>
            <w:r>
              <w:rPr>
                <w:sz w:val="20"/>
              </w:rPr>
              <w:t xml:space="preserve">Estados financieros y reportes</w:t>
            </w:r>
          </w:p>
        </w:tc>
        <w:tc>
          <w:tcPr>
            <w:tcW w:w="5856" w:type="dxa"/>
          </w:tcPr>
          <w:p>
            <w:pPr>
              <w:spacing w:line="240" w:lineRule="auto"/>
            </w:pPr>
            <w:r>
              <w:rPr>
                <w:sz w:val="20"/>
              </w:rPr>
              <w:t xml:space="preserve">Ecuación contable y presentación según NIIF.</w:t>
            </w:r>
          </w:p>
        </w:tc>
      </w:tr>
    </w:tbl>
    <w:p>
      <w:pPr>
        <w:ind w:firstLine="720"/>
      </w:pPr>
      <w:r>
        <w:rPr/>
        <w:t xml:space="preserve">Este diseño permite que la información registrada por las unidades funcionales de la sociedad se consolide en informes financieros útiles para la Junta Directiva, la administración, los socios, el auditor externo y la Administración Tributaria.</w:t>
      </w:r>
    </w:p>
    <w:p>
      <w:pPr/>
      <w:r>
        <w:br w:type="page"/>
      </w:r>
    </w:p>
    <w:p>
      <w:pPr>
        <w:pStyle w:val="Ttulo1"/>
        <w:jc w:val="center"/>
        <w:rPr>
          <w:rFonts w:ascii="Times New Roman" w:hAnsi="Times New Roman" w:cs="Times New Roman"/>
          <w:color w:val="auto"/>
          <w:sz w:val="24"/>
          <w:szCs w:val="24"/>
          <w:lang w:val="es-SV"/>
        </w:rPr>
      </w:pPr>
      <w:bookmarkStart w:id="110" w:name="TocMTF110"/>
      <w:r>
        <w:rPr>
          <w:rFonts w:ascii="Times New Roman" w:hAnsi="Times New Roman" w:cs="Times New Roman"/>
          <w:color w:val="auto"/>
          <w:sz w:val="24"/>
          <w:szCs w:val="24"/>
          <w:lang w:val="es-SV"/>
        </w:rPr>
        <w:t xml:space="preserve">Conclusión</w:t>
      </w:r>
      <w:bookmarkEnd w:id="110"/>
    </w:p>
    <w:p>
      <w:pPr>
        <w:ind w:firstLine="720"/>
      </w:pPr>
      <w:r>
        <w:rPr/>
        <w:t xml:space="preserve">El marco teórico expuesto define los principios contables y las características del sistema de información contable sobre los cuales se construye el aplicativo de SunGames. La aplicación de la partida doble, la base de devengo y el ciclo contable completo, apoyados en un sistema automatizado con controles internos, constituye la base para que la empresa cumpla sus obligaciones legales y produzca información financiera confiable conforme a las NIIF.</w:t>
      </w:r>
    </w:p>
    <w:p>
      <w:pPr>
        <w:keepNext/>
      </w:pPr>
      <w:r>
        <w:rPr>
          <w:b/>
        </w:rPr>
        <w:t xml:space="preserve">Tabla 2</w:t>
      </w:r>
    </w:p>
    <w:p>
      <w:pPr>
        <w:keepNext/>
      </w:pPr>
      <w:r>
        <w:rPr>
          <w:i/>
        </w:rPr>
        <w:t xml:space="preserve">Aprobación y firmas del documento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3119"/>
        <w:gridCol w:w="3119"/>
        <w:gridCol w:w="3122"/>
      </w:tblGrid>
      <w:tr>
        <w:trPr>
          <w:jc w:val="center"/>
        </w:trPr>
        <w:tc>
          <w:tcPr>
            <w:tcW w:w="3119" w:type="dxa"/>
            <w:tcBorders>
              <w:bottom w:val="single" w:sz="8" w:space="0" w:color="000000"/>
            </w:tcBorders>
          </w:tcPr>
          <w:p>
            <w:pPr>
              <w:spacing w:line="240" w:lineRule="auto"/>
              <w:jc w:val="center"/>
            </w:pPr>
            <w:r>
              <w:rPr>
                <w:b/>
                <w:sz w:val="20"/>
              </w:rPr>
              <w:t xml:space="preserve">Elaborado por</w:t>
            </w:r>
          </w:p>
        </w:tc>
        <w:tc>
          <w:tcPr>
            <w:tcW w:w="3119" w:type="dxa"/>
            <w:tcBorders>
              <w:bottom w:val="single" w:sz="8" w:space="0" w:color="000000"/>
            </w:tcBorders>
          </w:tcPr>
          <w:p>
            <w:pPr>
              <w:spacing w:line="240" w:lineRule="auto"/>
              <w:jc w:val="center"/>
            </w:pPr>
            <w:r>
              <w:rPr>
                <w:b/>
                <w:sz w:val="20"/>
              </w:rPr>
              <w:t xml:space="preserve">Revisado por</w:t>
            </w:r>
          </w:p>
        </w:tc>
        <w:tc>
          <w:tcPr>
            <w:tcW w:w="3122" w:type="dxa"/>
            <w:tcBorders>
              <w:bottom w:val="single" w:sz="8" w:space="0" w:color="000000"/>
            </w:tcBorders>
          </w:tcPr>
          <w:p>
            <w:pPr>
              <w:spacing w:line="240" w:lineRule="auto"/>
              <w:jc w:val="center"/>
            </w:pPr>
            <w:r>
              <w:rPr>
                <w:b/>
                <w:sz w:val="20"/>
              </w:rPr>
              <w:t xml:space="preserve">Aprobado por (Junta Directiva)</w:t>
            </w:r>
          </w:p>
        </w:tc>
      </w:tr>
      <w:tr>
        <w:trPr>
          <w:jc w:val="center"/>
        </w:trPr>
        <w:tc>
          <w:tcPr>
            <w:tcW w:w="3119" w:type="dxa"/>
          </w:tcPr>
          <w:p>
            <w:pPr>
              <w:spacing w:line="240" w:lineRule="auto"/>
            </w:pPr>
            <w:r>
              <w:rPr>
                <w:sz w:val="20"/>
              </w:rPr>
              <w:t xml:space="preserve">Nombre: [____________]</w:t>
            </w:r>
          </w:p>
        </w:tc>
        <w:tc>
          <w:tcPr>
            <w:tcW w:w="3119" w:type="dxa"/>
          </w:tcPr>
          <w:p>
            <w:pPr>
              <w:spacing w:line="240" w:lineRule="auto"/>
            </w:pPr>
            <w:r>
              <w:rPr>
                <w:sz w:val="20"/>
              </w:rPr>
              <w:t xml:space="preserve">Nombre: [____________]</w:t>
            </w:r>
          </w:p>
        </w:tc>
        <w:tc>
          <w:tcPr>
            <w:tcW w:w="3122" w:type="dxa"/>
          </w:tcPr>
          <w:p>
            <w:pPr>
              <w:spacing w:line="240" w:lineRule="auto"/>
            </w:pPr>
            <w:r>
              <w:rPr>
                <w:sz w:val="20"/>
              </w:rPr>
              <w:t xml:space="preserve">Nombre: [____________]</w:t>
            </w:r>
          </w:p>
        </w:tc>
      </w:tr>
      <w:tr>
        <w:trPr>
          <w:jc w:val="center"/>
        </w:trPr>
        <w:tc>
          <w:tcPr>
            <w:tcW w:w="3119" w:type="dxa"/>
          </w:tcPr>
          <w:p>
            <w:pPr>
              <w:spacing w:line="240" w:lineRule="auto"/>
            </w:pPr>
            <w:r>
              <w:rPr>
                <w:sz w:val="20"/>
              </w:rPr>
              <w:t xml:space="preserve">Cargo: [____________]</w:t>
            </w:r>
          </w:p>
        </w:tc>
        <w:tc>
          <w:tcPr>
            <w:tcW w:w="3119" w:type="dxa"/>
          </w:tcPr>
          <w:p>
            <w:pPr>
              <w:spacing w:line="240" w:lineRule="auto"/>
            </w:pPr>
            <w:r>
              <w:rPr>
                <w:sz w:val="20"/>
              </w:rPr>
              <w:t xml:space="preserve">Cargo: [____________]</w:t>
            </w:r>
          </w:p>
        </w:tc>
        <w:tc>
          <w:tcPr>
            <w:tcW w:w="3122" w:type="dxa"/>
          </w:tcPr>
          <w:p>
            <w:pPr>
              <w:spacing w:line="240" w:lineRule="auto"/>
            </w:pPr>
            <w:r>
              <w:rPr>
                <w:sz w:val="20"/>
              </w:rPr>
              <w:t xml:space="preserve">Cargo: [____________]</w:t>
            </w:r>
          </w:p>
        </w:tc>
      </w:tr>
    </w:tbl>
    <w:p>
      <w:pPr/>
      <w:r>
        <w:br w:type="page"/>
      </w:r>
    </w:p>
    <w:p>
      <w:pPr>
        <w:pStyle w:val="Ttulo1"/>
        <w:jc w:val="center"/>
        <w:rPr>
          <w:rFonts w:ascii="Times New Roman" w:hAnsi="Times New Roman" w:cs="Times New Roman"/>
          <w:color w:val="auto"/>
          <w:sz w:val="24"/>
          <w:szCs w:val="24"/>
          <w:lang w:val="es-SV"/>
        </w:rPr>
      </w:pPr>
      <w:bookmarkStart w:id="111" w:name="TocMTF111"/>
      <w:r>
        <w:rPr>
          <w:rFonts w:ascii="Times New Roman" w:hAnsi="Times New Roman" w:cs="Times New Roman"/>
          <w:color w:val="auto"/>
          <w:sz w:val="24"/>
          <w:szCs w:val="24"/>
          <w:lang w:val="es-SV"/>
        </w:rPr>
        <w:t xml:space="preserve">Referencias</w:t>
      </w:r>
      <w:bookmarkEnd w:id="111"/>
    </w:p>
    <w:p>
      <w:pPr>
        <w:ind w:left="720" w:hanging="720"/>
      </w:pPr>
      <w:r>
        <w:rPr/>
        <w:t xml:space="preserve">IASB. (2015). </w:t>
      </w:r>
      <w:r>
        <w:rPr>
          <w:i/>
        </w:rPr>
        <w:t xml:space="preserve">El Marco Conceptual para la Información Financiera</w:t>
      </w:r>
      <w:r>
        <w:rPr/>
        <w:t xml:space="preserve">. Fundación IFRS.</w:t>
      </w:r>
    </w:p>
    <w:p>
      <w:pPr>
        <w:ind w:left="720" w:hanging="720"/>
      </w:pPr>
      <w:r>
        <w:rPr/>
        <w:t xml:space="preserve">Consejo de Normas Internacionales de Contabilidad. (2015). </w:t>
      </w:r>
      <w:r>
        <w:rPr>
          <w:i/>
        </w:rPr>
        <w:t xml:space="preserve">Norma internacional de información financiera para pequeñas y medianas entidades (NIIF para las PYMES)</w:t>
      </w:r>
      <w:r>
        <w:rPr/>
        <w:t xml:space="preserve">. Fundación IFRS.</w:t>
      </w:r>
    </w:p>
    <w:p>
      <w:pPr>
        <w:ind w:left="720" w:hanging="720"/>
      </w:pPr>
      <w:r>
        <w:rPr/>
        <w:t xml:space="preserve">Horngren, C., Sundem, G. y Elliott, J. (2013). </w:t>
      </w:r>
      <w:r>
        <w:rPr>
          <w:i/>
        </w:rPr>
        <w:t xml:space="preserve">Introducción a la contabilidad</w:t>
      </w:r>
      <w:r>
        <w:rPr/>
        <w:t xml:space="preserve">. Pearson.</w:t>
      </w:r>
    </w:p>
    <w:p>
      <w:pPr>
        <w:ind w:left="720" w:hanging="720"/>
      </w:pPr>
      <w:r>
        <w:rPr/>
        <w:t xml:space="preserve">Asamblea Legislativa de la República de El Salvador. (1970). </w:t>
      </w:r>
      <w:r>
        <w:rPr>
          <w:i/>
        </w:rPr>
        <w:t xml:space="preserve">Código de comercio de la República de El Salvador</w:t>
      </w:r>
      <w:r>
        <w:rPr/>
        <w:t xml:space="preserve"> (Decreto Legislativo n.° 671 del 8 de mayo de 1970; Diario Oficial n.° 140, Tomo 228, del 31 de julio de 1970).</w:t>
      </w:r>
    </w:p>
    <w:p>
      <w:pPr>
        <w:ind w:left="720" w:hanging="720"/>
      </w:pPr>
      <w:r>
        <w:rPr/>
        <w:t xml:space="preserve">Asamblea Legislativa de la República de El Salvador. (2000). </w:t>
      </w:r>
      <w:r>
        <w:rPr>
          <w:i/>
        </w:rPr>
        <w:t xml:space="preserve">Código tributario de la República de El Salvador</w:t>
      </w:r>
      <w:r>
        <w:rPr/>
        <w:t xml:space="preserve"> (Decreto Legislativo n.° 230 del 14 de diciembre de 2000; Diario Oficial n.° 241, Tomo 349, del 22 de diciembre de 2000).</w:t>
      </w:r>
    </w:p>
    <w:p>
      <w:pPr/>
      <w:r>
        <w:br w:type="page"/>
      </w:r>
    </w:p>
    <w:p>
      <w:pPr>
        <w:keepNext/>
        <w:jc w:val="center"/>
      </w:pPr>
      <w:r>
        <w:rPr>
          <w:b/>
        </w:rPr>
        <w:t xml:space="preserve">Apéndice A</w:t>
      </w:r>
    </w:p>
    <w:p>
      <w:pPr>
        <w:keepNext/>
        <w:jc w:val="center"/>
        <w:outlineLvl w:val="0"/>
      </w:pPr>
      <w:bookmarkStart w:id="112" w:name="TocMTF112"/>
      <w:r>
        <w:rPr>
          <w:b/>
        </w:rPr>
        <w:t xml:space="preserve">CONTROL DE VERSIONES Y ELABORACIÓN DEL DOCUMENTO</w:t>
      </w:r>
      <w:bookmarkEnd w:id="112"/>
    </w:p>
    <w:p>
      <w:pPr>
        <w:ind w:firstLine="720"/>
      </w:pPr>
      <w:r>
        <w:rPr/>
        <w:t xml:space="preserve">El presente documento se controla mediante el siguiente registro de versiones (ver Tabla A1).</w:t>
      </w:r>
    </w:p>
    <w:p>
      <w:pPr>
        <w:keepNext/>
      </w:pPr>
      <w:r>
        <w:rPr>
          <w:b/>
        </w:rPr>
        <w:t xml:space="preserve">Tabla A1</w:t>
      </w:r>
    </w:p>
    <w:p>
      <w:pPr>
        <w:keepNext/>
      </w:pPr>
      <w:r>
        <w:rPr>
          <w:i/>
        </w:rPr>
        <w:t xml:space="preserve">Control de versiones del documento</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851"/>
        <w:gridCol w:w="1276"/>
        <w:gridCol w:w="2127"/>
        <w:gridCol w:w="1702"/>
        <w:gridCol w:w="1560"/>
        <w:gridCol w:w="1844"/>
      </w:tblGrid>
      <w:tr>
        <w:trPr>
          <w:jc w:val="center"/>
        </w:trPr>
        <w:tc>
          <w:tcPr>
            <w:tcW w:w="851" w:type="dxa"/>
            <w:tcBorders>
              <w:bottom w:val="single" w:sz="8" w:space="0" w:color="000000"/>
            </w:tcBorders>
          </w:tcPr>
          <w:p>
            <w:pPr>
              <w:spacing w:line="240" w:lineRule="auto"/>
              <w:jc w:val="center"/>
            </w:pPr>
            <w:r>
              <w:rPr>
                <w:b/>
                <w:sz w:val="20"/>
              </w:rPr>
              <w:t xml:space="preserve">Versión</w:t>
            </w:r>
          </w:p>
        </w:tc>
        <w:tc>
          <w:tcPr>
            <w:tcW w:w="1276" w:type="dxa"/>
            <w:tcBorders>
              <w:bottom w:val="single" w:sz="8" w:space="0" w:color="000000"/>
            </w:tcBorders>
          </w:tcPr>
          <w:p>
            <w:pPr>
              <w:spacing w:line="240" w:lineRule="auto"/>
              <w:jc w:val="center"/>
            </w:pPr>
            <w:r>
              <w:rPr>
                <w:b/>
                <w:sz w:val="20"/>
              </w:rPr>
              <w:t xml:space="preserve">Fecha</w:t>
            </w:r>
          </w:p>
        </w:tc>
        <w:tc>
          <w:tcPr>
            <w:tcW w:w="2127" w:type="dxa"/>
            <w:tcBorders>
              <w:bottom w:val="single" w:sz="8" w:space="0" w:color="000000"/>
            </w:tcBorders>
          </w:tcPr>
          <w:p>
            <w:pPr>
              <w:spacing w:line="240" w:lineRule="auto"/>
              <w:jc w:val="center"/>
            </w:pPr>
            <w:r>
              <w:rPr>
                <w:b/>
                <w:sz w:val="20"/>
              </w:rPr>
              <w:t xml:space="preserve">Descripción / motivo del cambio</w:t>
            </w:r>
          </w:p>
        </w:tc>
        <w:tc>
          <w:tcPr>
            <w:tcW w:w="1702" w:type="dxa"/>
            <w:tcBorders>
              <w:bottom w:val="single" w:sz="8" w:space="0" w:color="000000"/>
            </w:tcBorders>
          </w:tcPr>
          <w:p>
            <w:pPr>
              <w:spacing w:line="240" w:lineRule="auto"/>
              <w:jc w:val="center"/>
            </w:pPr>
            <w:r>
              <w:rPr>
                <w:b/>
                <w:sz w:val="20"/>
              </w:rPr>
              <w:t xml:space="preserve">Elaborado por</w:t>
            </w:r>
          </w:p>
        </w:tc>
        <w:tc>
          <w:tcPr>
            <w:tcW w:w="1560" w:type="dxa"/>
            <w:tcBorders>
              <w:bottom w:val="single" w:sz="8" w:space="0" w:color="000000"/>
            </w:tcBorders>
          </w:tcPr>
          <w:p>
            <w:pPr>
              <w:spacing w:line="240" w:lineRule="auto"/>
              <w:jc w:val="center"/>
            </w:pPr>
            <w:r>
              <w:rPr>
                <w:b/>
                <w:sz w:val="20"/>
              </w:rPr>
              <w:t xml:space="preserve">Revisado por</w:t>
            </w:r>
          </w:p>
        </w:tc>
        <w:tc>
          <w:tcPr>
            <w:tcW w:w="1844" w:type="dxa"/>
            <w:tcBorders>
              <w:bottom w:val="single" w:sz="8" w:space="0" w:color="000000"/>
            </w:tcBorders>
          </w:tcPr>
          <w:p>
            <w:pPr>
              <w:spacing w:line="240" w:lineRule="auto"/>
              <w:jc w:val="center"/>
            </w:pPr>
            <w:r>
              <w:rPr>
                <w:b/>
                <w:sz w:val="20"/>
              </w:rPr>
              <w:t xml:space="preserve">Aprobado por</w:t>
            </w:r>
          </w:p>
        </w:tc>
      </w:tr>
      <w:tr>
        <w:trPr>
          <w:jc w:val="center"/>
        </w:trPr>
        <w:tc>
          <w:tcPr>
            <w:tcW w:w="851" w:type="dxa"/>
          </w:tcPr>
          <w:p>
            <w:pPr>
              <w:spacing w:line="240" w:lineRule="auto"/>
            </w:pPr>
            <w:r>
              <w:rPr>
                <w:sz w:val="20"/>
              </w:rPr>
              <w:t xml:space="preserve">1.0</w:t>
            </w:r>
          </w:p>
        </w:tc>
        <w:tc>
          <w:tcPr>
            <w:tcW w:w="1276" w:type="dxa"/>
          </w:tcPr>
          <w:p>
            <w:pPr>
              <w:spacing w:line="240" w:lineRule="auto"/>
            </w:pPr>
            <w:r>
              <w:rPr>
                <w:sz w:val="20"/>
              </w:rPr>
              <w:t xml:space="preserve">21/09/2026</w:t>
            </w:r>
          </w:p>
        </w:tc>
        <w:tc>
          <w:tcPr>
            <w:tcW w:w="2127" w:type="dxa"/>
          </w:tcPr>
          <w:p>
            <w:pPr>
              <w:spacing w:line="240" w:lineRule="auto"/>
            </w:pPr>
            <w:r>
              <w:rPr>
                <w:sz w:val="20"/>
              </w:rPr>
              <w:t xml:space="preserve">Emisión inicial del documento.</w:t>
            </w:r>
          </w:p>
        </w:tc>
        <w:tc>
          <w:tcPr>
            <w:tcW w:w="1702" w:type="dxa"/>
          </w:tcPr>
          <w:p>
            <w:pPr>
              <w:spacing w:line="240" w:lineRule="auto"/>
            </w:pPr>
            <w:r>
              <w:rPr>
                <w:sz w:val="20"/>
              </w:rPr>
              <w:t xml:space="preserve">Gerencia de Finanzas y Contabilidad</w:t>
            </w:r>
          </w:p>
        </w:tc>
        <w:tc>
          <w:tcPr>
            <w:tcW w:w="1560" w:type="dxa"/>
          </w:tcPr>
          <w:p>
            <w:pPr>
              <w:spacing w:line="240" w:lineRule="auto"/>
            </w:pPr>
            <w:r>
              <w:rPr>
                <w:sz w:val="20"/>
              </w:rPr>
              <w:t xml:space="preserve">Gerencia General</w:t>
            </w:r>
          </w:p>
        </w:tc>
        <w:tc>
          <w:tcPr>
            <w:tcW w:w="1844" w:type="dxa"/>
          </w:tcPr>
          <w:p>
            <w:pPr>
              <w:spacing w:line="240" w:lineRule="auto"/>
            </w:pPr>
            <w:r>
              <w:rPr>
                <w:sz w:val="20"/>
              </w:rPr>
              <w:t xml:space="preserve">Junta Directiva</w:t>
            </w:r>
          </w:p>
        </w:tc>
      </w:tr>
    </w:tbl>
    <w:p>
      <w:pPr>
        <w:spacing w:before="120" w:line="240" w:lineRule="auto"/>
      </w:pPr>
      <w:r>
        <w:rPr>
          <w:i/>
          <w:sz w:val="22"/>
        </w:rPr>
        <w:t xml:space="preserve">Nota. </w:t>
      </w:r>
      <w:r>
        <w:rPr>
          <w:sz w:val="22"/>
        </w:rPr>
        <w:t xml:space="preserve">La aprobación de cambios sustanciales corresponde a la Junta Directiva de la sociedad.</w:t>
      </w:r>
    </w:p>
    <w:sectPr w:rsidR="000649E4"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26693" w14:textId="77777777" w:rsidR="00BE5CE1" w:rsidRDefault="00BE5CE1">
      <w:pPr>
        <w:spacing w:line="240" w:lineRule="auto"/>
      </w:pPr>
      <w:r>
        <w:separator/>
      </w:r>
    </w:p>
  </w:endnote>
  <w:endnote w:type="continuationSeparator" w:id="0">
    <w:p w14:paraId="203037CA" w14:textId="77777777" w:rsidR="00BE5CE1" w:rsidRDefault="00BE5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9D0E9" w14:textId="77777777" w:rsidR="00BE5CE1" w:rsidRDefault="00BE5CE1">
      <w:pPr>
        <w:spacing w:line="240" w:lineRule="auto"/>
      </w:pPr>
      <w:r>
        <w:separator/>
      </w:r>
    </w:p>
  </w:footnote>
  <w:footnote w:type="continuationSeparator" w:id="0">
    <w:p w14:paraId="080494CB" w14:textId="77777777" w:rsidR="00BE5CE1" w:rsidRDefault="00BE5C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D0C2" w14:textId="306DFC80" w:rsidR="00360547" w:rsidRDefault="00BE5CE1">
    <w:pPr>
      <w:pStyle w:val="Encabezado"/>
      <w:jc w:val="right"/>
    </w:pPr>
    <w:r>
      <w:fldChar w:fldCharType="begin"/>
    </w:r>
    <w:r>
      <w:instrText xml:space="preserve"> PAGE </w:instrText>
    </w:r>
    <w:r>
      <w:fldChar w:fldCharType="separate"/>
    </w:r>
    <w:r w:rsidR="00F30F2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93003631">
    <w:abstractNumId w:val="8"/>
  </w:num>
  <w:num w:numId="2" w16cid:durableId="952174973">
    <w:abstractNumId w:val="6"/>
  </w:num>
  <w:num w:numId="3" w16cid:durableId="1471049583">
    <w:abstractNumId w:val="5"/>
  </w:num>
  <w:num w:numId="4" w16cid:durableId="934942108">
    <w:abstractNumId w:val="4"/>
  </w:num>
  <w:num w:numId="5" w16cid:durableId="147600986">
    <w:abstractNumId w:val="7"/>
  </w:num>
  <w:num w:numId="6" w16cid:durableId="1768887082">
    <w:abstractNumId w:val="3"/>
  </w:num>
  <w:num w:numId="7" w16cid:durableId="237862489">
    <w:abstractNumId w:val="2"/>
  </w:num>
  <w:num w:numId="8" w16cid:durableId="809052191">
    <w:abstractNumId w:val="1"/>
  </w:num>
  <w:num w:numId="9" w16cid:durableId="327637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E4"/>
    <w:rsid w:val="00095839"/>
    <w:rsid w:val="000E6400"/>
    <w:rsid w:val="0015074B"/>
    <w:rsid w:val="0029639D"/>
    <w:rsid w:val="00326F90"/>
    <w:rsid w:val="00360547"/>
    <w:rsid w:val="0039486C"/>
    <w:rsid w:val="00576401"/>
    <w:rsid w:val="0058415F"/>
    <w:rsid w:val="005F2EE5"/>
    <w:rsid w:val="0062083E"/>
    <w:rsid w:val="006A0BD4"/>
    <w:rsid w:val="008A0C3A"/>
    <w:rsid w:val="00A2591C"/>
    <w:rsid w:val="00AA1D8D"/>
    <w:rsid w:val="00B06258"/>
    <w:rsid w:val="00B47730"/>
    <w:rsid w:val="00BE5CE1"/>
    <w:rsid w:val="00CB0664"/>
    <w:rsid w:val="00E4017D"/>
    <w:rsid w:val="00ED7CF0"/>
    <w:rsid w:val="00F30F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EED433-88DF-4DE1-B28D-D883FE2B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A0C3A"/>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8A0C3A"/>
    <w:pPr>
      <w:ind w:left="240"/>
    </w:pPr>
    <w:rPr>
      <w:rFonts w:asciiTheme="minorHAnsi" w:hAnsiTheme="minorHAnsi"/>
      <w:smallCaps/>
      <w:sz w:val="20"/>
      <w:szCs w:val="20"/>
    </w:rPr>
  </w:style>
  <w:style w:type="paragraph" w:styleId="TDC3">
    <w:name w:val="toc 3"/>
    <w:basedOn w:val="Normal"/>
    <w:next w:val="Normal"/>
    <w:autoRedefine/>
    <w:uiPriority w:val="39"/>
    <w:unhideWhenUsed/>
    <w:rsid w:val="008A0C3A"/>
    <w:pPr>
      <w:ind w:left="480"/>
    </w:pPr>
    <w:rPr>
      <w:rFonts w:asciiTheme="minorHAnsi" w:hAnsiTheme="minorHAnsi"/>
      <w:i/>
      <w:iCs/>
      <w:sz w:val="20"/>
      <w:szCs w:val="20"/>
    </w:rPr>
  </w:style>
  <w:style w:type="paragraph" w:styleId="TDC4">
    <w:name w:val="toc 4"/>
    <w:basedOn w:val="Normal"/>
    <w:next w:val="Normal"/>
    <w:autoRedefine/>
    <w:uiPriority w:val="39"/>
    <w:unhideWhenUsed/>
    <w:rsid w:val="008A0C3A"/>
    <w:pPr>
      <w:ind w:left="720"/>
    </w:pPr>
    <w:rPr>
      <w:rFonts w:asciiTheme="minorHAnsi" w:hAnsiTheme="minorHAnsi"/>
      <w:sz w:val="18"/>
      <w:szCs w:val="18"/>
    </w:rPr>
  </w:style>
  <w:style w:type="paragraph" w:styleId="TDC5">
    <w:name w:val="toc 5"/>
    <w:basedOn w:val="Normal"/>
    <w:next w:val="Normal"/>
    <w:autoRedefine/>
    <w:uiPriority w:val="39"/>
    <w:unhideWhenUsed/>
    <w:rsid w:val="008A0C3A"/>
    <w:pPr>
      <w:ind w:left="960"/>
    </w:pPr>
    <w:rPr>
      <w:rFonts w:asciiTheme="minorHAnsi" w:hAnsiTheme="minorHAnsi"/>
      <w:sz w:val="18"/>
      <w:szCs w:val="18"/>
    </w:rPr>
  </w:style>
  <w:style w:type="paragraph" w:styleId="TDC6">
    <w:name w:val="toc 6"/>
    <w:basedOn w:val="Normal"/>
    <w:next w:val="Normal"/>
    <w:autoRedefine/>
    <w:uiPriority w:val="39"/>
    <w:unhideWhenUsed/>
    <w:rsid w:val="008A0C3A"/>
    <w:pPr>
      <w:ind w:left="1200"/>
    </w:pPr>
    <w:rPr>
      <w:rFonts w:asciiTheme="minorHAnsi" w:hAnsiTheme="minorHAnsi"/>
      <w:sz w:val="18"/>
      <w:szCs w:val="18"/>
    </w:rPr>
  </w:style>
  <w:style w:type="paragraph" w:styleId="TDC7">
    <w:name w:val="toc 7"/>
    <w:basedOn w:val="Normal"/>
    <w:next w:val="Normal"/>
    <w:autoRedefine/>
    <w:uiPriority w:val="39"/>
    <w:unhideWhenUsed/>
    <w:rsid w:val="008A0C3A"/>
    <w:pPr>
      <w:ind w:left="1440"/>
    </w:pPr>
    <w:rPr>
      <w:rFonts w:asciiTheme="minorHAnsi" w:hAnsiTheme="minorHAnsi"/>
      <w:sz w:val="18"/>
      <w:szCs w:val="18"/>
    </w:rPr>
  </w:style>
  <w:style w:type="paragraph" w:styleId="TDC8">
    <w:name w:val="toc 8"/>
    <w:basedOn w:val="Normal"/>
    <w:next w:val="Normal"/>
    <w:autoRedefine/>
    <w:uiPriority w:val="39"/>
    <w:unhideWhenUsed/>
    <w:rsid w:val="008A0C3A"/>
    <w:pPr>
      <w:ind w:left="1680"/>
    </w:pPr>
    <w:rPr>
      <w:rFonts w:asciiTheme="minorHAnsi" w:hAnsiTheme="minorHAnsi"/>
      <w:sz w:val="18"/>
      <w:szCs w:val="18"/>
    </w:rPr>
  </w:style>
  <w:style w:type="paragraph" w:styleId="TDC9">
    <w:name w:val="toc 9"/>
    <w:basedOn w:val="Normal"/>
    <w:next w:val="Normal"/>
    <w:autoRedefine/>
    <w:uiPriority w:val="39"/>
    <w:unhideWhenUsed/>
    <w:rsid w:val="008A0C3A"/>
    <w:pPr>
      <w:ind w:left="1920"/>
    </w:pPr>
    <w:rPr>
      <w:rFonts w:asciiTheme="minorHAnsi" w:hAnsiTheme="minorHAnsi"/>
      <w:sz w:val="18"/>
      <w:szCs w:val="18"/>
    </w:rPr>
  </w:style>
  <w:style w:type="character" w:styleId="Hipervnculo">
    <w:name w:val="Hyperlink"/>
    <w:basedOn w:val="Fuentedeprrafopredeter"/>
    <w:uiPriority w:val="99"/>
    <w:unhideWhenUsed/>
    <w:rsid w:val="008A0C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76FF02-E7A7-42E9-BDA4-B63B667B1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20</Pages>
  <Words>3890</Words>
  <Characters>21401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rh23022@ues.edu.sv</cp:lastModifiedBy>
  <cp:revision>13</cp:revision>
  <dcterms:created xsi:type="dcterms:W3CDTF">2013-12-23T23:15:00Z</dcterms:created>
  <dcterms:modified xsi:type="dcterms:W3CDTF">2026-09-24T01:52:00Z</dcterms:modified>
  <cp:category/>
</cp:coreProperties>
</file>