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366B" w14:textId="2049A243" w:rsidR="006A0BD4" w:rsidRPr="006A0BD4" w:rsidRDefault="006A0BD4" w:rsidP="009436BB">
      <w:pPr>
        <w:ind w:firstLine="720"/>
        <w:jc w:val="center"/>
        <w:rPr>
          <w:lang w:val="es-ES"/>
        </w:rPr>
      </w:pPr>
      <w:r w:rsidRPr="006A0BD4">
        <w:rPr>
          <w:lang w:val="es-ES"/>
        </w:rPr>
        <w:t>UNIVERSIDAD DE EL SALVADOR</w:t>
      </w:r>
    </w:p>
    <w:p w14:paraId="02C38942" w14:textId="77777777" w:rsidR="006A0BD4" w:rsidRPr="006A0BD4" w:rsidRDefault="006A0BD4" w:rsidP="005F2EE5">
      <w:pPr>
        <w:jc w:val="center"/>
        <w:rPr>
          <w:lang w:val="es-ES"/>
        </w:rPr>
      </w:pPr>
      <w:r w:rsidRPr="006A0BD4">
        <w:rPr>
          <w:lang w:val="es-ES"/>
        </w:rPr>
        <w:t>FACULTAD DE INGENIERÍA Y ARQUITECTURA</w:t>
      </w:r>
    </w:p>
    <w:p w14:paraId="2275490C" w14:textId="77777777" w:rsidR="006A0BD4" w:rsidRPr="006A0BD4" w:rsidRDefault="006A0BD4" w:rsidP="005F2EE5">
      <w:pPr>
        <w:jc w:val="center"/>
        <w:rPr>
          <w:lang w:val="es-ES"/>
        </w:rPr>
      </w:pPr>
      <w:r w:rsidRPr="006A0BD4">
        <w:rPr>
          <w:lang w:val="es-ES"/>
        </w:rPr>
        <w:t>ESCUELA DE INGENIERIA DE SISTEMAS INFORMÁTICOS</w:t>
      </w:r>
    </w:p>
    <w:p w14:paraId="08802150" w14:textId="77777777" w:rsidR="006A0BD4" w:rsidRPr="006A0BD4" w:rsidRDefault="006A0BD4" w:rsidP="005F2EE5">
      <w:pPr>
        <w:jc w:val="center"/>
        <w:rPr>
          <w:lang w:val="es-ES"/>
        </w:rPr>
      </w:pPr>
      <w:r w:rsidRPr="006A0BD4">
        <w:rPr>
          <w:lang w:val="es-ES"/>
        </w:rPr>
        <w:t>SISTEMAS CONTABLES SIC115</w:t>
      </w:r>
    </w:p>
    <w:p w14:paraId="368ABD46" w14:textId="77777777" w:rsidR="006A0BD4" w:rsidRPr="006A0BD4" w:rsidRDefault="006A0BD4" w:rsidP="005F2EE5">
      <w:pPr>
        <w:jc w:val="center"/>
        <w:rPr>
          <w:lang w:val="es-ES"/>
        </w:rPr>
      </w:pPr>
      <w:r w:rsidRPr="006A0BD4">
        <w:rPr>
          <w:lang w:val="es-ES"/>
        </w:rPr>
        <w:t>CICLO II-2026</w:t>
      </w:r>
    </w:p>
    <w:p w14:paraId="038BFDA6" w14:textId="23F9A5B9" w:rsidR="006A0BD4" w:rsidRPr="006A0BD4" w:rsidRDefault="006A0BD4" w:rsidP="005F2EE5">
      <w:pPr>
        <w:jc w:val="center"/>
        <w:rPr>
          <w:lang w:val="es-ES"/>
        </w:rPr>
      </w:pPr>
      <w:r w:rsidRPr="006A0BD4">
        <w:rPr>
          <w:noProof/>
          <w:lang w:val="es-ES"/>
        </w:rPr>
        <w:drawing>
          <wp:anchor distT="0" distB="0" distL="114300" distR="114300" simplePos="0" relativeHeight="251657216" behindDoc="0" locked="0" layoutInCell="1" allowOverlap="1" wp14:anchorId="0D50DE77" wp14:editId="26663E0F">
            <wp:simplePos x="0" y="0"/>
            <wp:positionH relativeFrom="column">
              <wp:posOffset>996950</wp:posOffset>
            </wp:positionH>
            <wp:positionV relativeFrom="paragraph">
              <wp:posOffset>73660</wp:posOffset>
            </wp:positionV>
            <wp:extent cx="1542968" cy="1923295"/>
            <wp:effectExtent l="0" t="0" r="635" b="1270"/>
            <wp:wrapNone/>
            <wp:docPr id="727176803" name="Imagen 727176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968" cy="192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0BD4">
        <w:rPr>
          <w:noProof/>
          <w:lang w:val="es-ES"/>
        </w:rPr>
        <w:drawing>
          <wp:anchor distT="0" distB="0" distL="114300" distR="114300" simplePos="0" relativeHeight="251665408" behindDoc="0" locked="0" layoutInCell="1" allowOverlap="1" wp14:anchorId="49605594" wp14:editId="1C72B27B">
            <wp:simplePos x="0" y="0"/>
            <wp:positionH relativeFrom="column">
              <wp:posOffset>3176270</wp:posOffset>
            </wp:positionH>
            <wp:positionV relativeFrom="paragraph">
              <wp:posOffset>385445</wp:posOffset>
            </wp:positionV>
            <wp:extent cx="3299460" cy="1281547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281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E8D44" w14:textId="20E2483A" w:rsidR="006A0BD4" w:rsidRPr="006A0BD4" w:rsidRDefault="006A0BD4" w:rsidP="005F2EE5">
      <w:pPr>
        <w:jc w:val="center"/>
        <w:rPr>
          <w:lang w:val="es-ES"/>
        </w:rPr>
      </w:pPr>
    </w:p>
    <w:p w14:paraId="73CE39E0" w14:textId="3B4AD386" w:rsidR="006A0BD4" w:rsidRPr="006A0BD4" w:rsidRDefault="006A0BD4" w:rsidP="005F2EE5">
      <w:pPr>
        <w:jc w:val="center"/>
        <w:rPr>
          <w:lang w:val="es-ES"/>
        </w:rPr>
      </w:pPr>
    </w:p>
    <w:p w14:paraId="498F2DDA" w14:textId="77777777" w:rsidR="006A0BD4" w:rsidRPr="006A0BD4" w:rsidRDefault="006A0BD4" w:rsidP="005F2EE5">
      <w:pPr>
        <w:jc w:val="center"/>
        <w:rPr>
          <w:lang w:val="es-ES"/>
        </w:rPr>
      </w:pPr>
    </w:p>
    <w:p w14:paraId="14DED831" w14:textId="77777777" w:rsidR="006A0BD4" w:rsidRPr="006A0BD4" w:rsidRDefault="006A0BD4" w:rsidP="005F2EE5">
      <w:pPr>
        <w:jc w:val="center"/>
        <w:rPr>
          <w:lang w:val="es-ES"/>
        </w:rPr>
      </w:pPr>
    </w:p>
    <w:p w14:paraId="44189B07" w14:textId="77777777" w:rsidR="006A0BD4" w:rsidRPr="006A0BD4" w:rsidRDefault="006A0BD4" w:rsidP="005F2EE5">
      <w:pPr>
        <w:jc w:val="center"/>
        <w:rPr>
          <w:lang w:val="es-ES"/>
        </w:rPr>
      </w:pPr>
    </w:p>
    <w:p w14:paraId="7F004377" w14:textId="77777777" w:rsidR="006A0BD4" w:rsidRPr="006A0BD4" w:rsidRDefault="006A0BD4" w:rsidP="005F2EE5">
      <w:pPr>
        <w:jc w:val="center"/>
        <w:rPr>
          <w:lang w:val="es-ES"/>
        </w:rPr>
      </w:pPr>
    </w:p>
    <w:p w14:paraId="482929F6" w14:textId="6B62129C" w:rsidR="006A0BD4" w:rsidRPr="006A0BD4" w:rsidRDefault="006A0BD4" w:rsidP="005F2EE5">
      <w:pPr>
        <w:jc w:val="center"/>
        <w:rPr>
          <w:i/>
          <w:iCs/>
          <w:lang w:val="es-ES"/>
        </w:rPr>
      </w:pPr>
      <w:r w:rsidRPr="006A0BD4">
        <w:rPr>
          <w:lang w:val="es-ES"/>
        </w:rPr>
        <w:t>“</w:t>
      </w:r>
      <w:r w:rsidR="0062083E">
        <w:rPr>
          <w:i/>
          <w:iCs/>
          <w:lang w:val="es-ES"/>
        </w:rPr>
        <w:t>DISEÑO CONTABLE: POLÍTICAS, DOCUMENTOS FUENTE Y FLUJO DE INFORMACIÓN</w:t>
      </w:r>
      <w:r w:rsidRPr="006A0BD4">
        <w:rPr>
          <w:i/>
          <w:iCs/>
          <w:lang w:val="es-ES"/>
        </w:rPr>
        <w:t>”</w:t>
      </w:r>
    </w:p>
    <w:p w14:paraId="6E3B9469" w14:textId="77777777" w:rsidR="006A0BD4" w:rsidRPr="006A0BD4" w:rsidRDefault="006A0BD4" w:rsidP="005F2EE5">
      <w:pPr>
        <w:jc w:val="center"/>
        <w:rPr>
          <w:i/>
          <w:iCs/>
          <w:lang w:val="es-ES"/>
        </w:rPr>
      </w:pPr>
    </w:p>
    <w:p w14:paraId="2CE54F02" w14:textId="520CC1C2" w:rsidR="006A0BD4" w:rsidRPr="006A0BD4" w:rsidRDefault="006A0BD4" w:rsidP="00703AFF">
      <w:pPr>
        <w:jc w:val="center"/>
        <w:rPr>
          <w:lang w:val="es-ES"/>
        </w:rPr>
      </w:pPr>
      <w:r w:rsidRPr="006A0BD4">
        <w:rPr>
          <w:lang w:val="es-ES"/>
        </w:rPr>
        <w:t>PRESENTADO POR: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6A0BD4" w:rsidRPr="006A0BD4" w14:paraId="523F080A" w14:textId="77777777" w:rsidTr="00BF5755">
        <w:tc>
          <w:tcPr>
            <w:tcW w:w="3131" w:type="dxa"/>
            <w:shd w:val="clear" w:color="auto" w:fill="95B3D7" w:themeFill="accent1" w:themeFillTint="99"/>
          </w:tcPr>
          <w:p w14:paraId="7414DB5C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proofErr w:type="gramStart"/>
            <w:r w:rsidRPr="006A0BD4">
              <w:rPr>
                <w:lang w:val="es-ES"/>
              </w:rPr>
              <w:t>CARNET</w:t>
            </w:r>
            <w:proofErr w:type="gramEnd"/>
          </w:p>
        </w:tc>
        <w:tc>
          <w:tcPr>
            <w:tcW w:w="3131" w:type="dxa"/>
            <w:shd w:val="clear" w:color="auto" w:fill="95B3D7" w:themeFill="accent1" w:themeFillTint="99"/>
          </w:tcPr>
          <w:p w14:paraId="5F305E3E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APELLIDOS</w:t>
            </w:r>
          </w:p>
        </w:tc>
        <w:tc>
          <w:tcPr>
            <w:tcW w:w="3132" w:type="dxa"/>
            <w:shd w:val="clear" w:color="auto" w:fill="95B3D7" w:themeFill="accent1" w:themeFillTint="99"/>
          </w:tcPr>
          <w:p w14:paraId="5D9C5A3F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NOMBRES</w:t>
            </w:r>
          </w:p>
        </w:tc>
      </w:tr>
      <w:tr w:rsidR="006A0BD4" w:rsidRPr="006A0BD4" w14:paraId="6A8E8144" w14:textId="77777777" w:rsidTr="00BF5755">
        <w:tc>
          <w:tcPr>
            <w:tcW w:w="3131" w:type="dxa"/>
          </w:tcPr>
          <w:p w14:paraId="572449B6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GS24026</w:t>
            </w:r>
          </w:p>
        </w:tc>
        <w:tc>
          <w:tcPr>
            <w:tcW w:w="3131" w:type="dxa"/>
          </w:tcPr>
          <w:p w14:paraId="262CC268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González Sánchez</w:t>
            </w:r>
          </w:p>
        </w:tc>
        <w:tc>
          <w:tcPr>
            <w:tcW w:w="3132" w:type="dxa"/>
          </w:tcPr>
          <w:p w14:paraId="1E2AC9DA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Diego Edgardo</w:t>
            </w:r>
          </w:p>
        </w:tc>
      </w:tr>
      <w:tr w:rsidR="006A0BD4" w:rsidRPr="006A0BD4" w14:paraId="0E5A30F4" w14:textId="77777777" w:rsidTr="00BF5755">
        <w:tc>
          <w:tcPr>
            <w:tcW w:w="3131" w:type="dxa"/>
          </w:tcPr>
          <w:p w14:paraId="7801FC12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RH23022</w:t>
            </w:r>
          </w:p>
        </w:tc>
        <w:tc>
          <w:tcPr>
            <w:tcW w:w="3131" w:type="dxa"/>
          </w:tcPr>
          <w:p w14:paraId="7F302DBB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Renderos Hernández</w:t>
            </w:r>
          </w:p>
        </w:tc>
        <w:tc>
          <w:tcPr>
            <w:tcW w:w="3132" w:type="dxa"/>
          </w:tcPr>
          <w:p w14:paraId="76574E0D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Josué Nehemías</w:t>
            </w:r>
          </w:p>
        </w:tc>
      </w:tr>
      <w:tr w:rsidR="006A0BD4" w:rsidRPr="006A0BD4" w14:paraId="31C04D63" w14:textId="77777777" w:rsidTr="00BF5755">
        <w:tc>
          <w:tcPr>
            <w:tcW w:w="3131" w:type="dxa"/>
          </w:tcPr>
          <w:p w14:paraId="3514A73B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RR24028</w:t>
            </w:r>
          </w:p>
        </w:tc>
        <w:tc>
          <w:tcPr>
            <w:tcW w:w="3131" w:type="dxa"/>
          </w:tcPr>
          <w:p w14:paraId="74604AD0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 xml:space="preserve">Rivas </w:t>
            </w:r>
            <w:proofErr w:type="spellStart"/>
            <w:r w:rsidRPr="006A0BD4">
              <w:rPr>
                <w:lang w:val="es-ES"/>
              </w:rPr>
              <w:t>Rivas</w:t>
            </w:r>
            <w:proofErr w:type="spellEnd"/>
          </w:p>
        </w:tc>
        <w:tc>
          <w:tcPr>
            <w:tcW w:w="3132" w:type="dxa"/>
          </w:tcPr>
          <w:p w14:paraId="2D22F93C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David Alexander</w:t>
            </w:r>
          </w:p>
        </w:tc>
      </w:tr>
    </w:tbl>
    <w:p w14:paraId="39659998" w14:textId="77777777" w:rsidR="006A0BD4" w:rsidRPr="006A0BD4" w:rsidRDefault="006A0BD4" w:rsidP="005F2EE5">
      <w:pPr>
        <w:jc w:val="center"/>
        <w:rPr>
          <w:lang w:val="es-ES"/>
        </w:rPr>
      </w:pPr>
    </w:p>
    <w:p w14:paraId="09C232C4" w14:textId="4665AC83" w:rsidR="006A0BD4" w:rsidRPr="006A0BD4" w:rsidRDefault="006A0BD4" w:rsidP="005F2EE5">
      <w:pPr>
        <w:jc w:val="center"/>
        <w:rPr>
          <w:lang w:val="es-ES"/>
        </w:rPr>
      </w:pPr>
      <w:r w:rsidRPr="006A0BD4">
        <w:rPr>
          <w:lang w:val="es-ES"/>
        </w:rPr>
        <w:t>A LA INGENIERA:</w:t>
      </w:r>
    </w:p>
    <w:p w14:paraId="7A2234CF" w14:textId="4597EBF7" w:rsidR="006A0BD4" w:rsidRPr="006A0BD4" w:rsidRDefault="006A0BD4" w:rsidP="005F2EE5">
      <w:pPr>
        <w:jc w:val="center"/>
        <w:rPr>
          <w:lang w:val="es-ES"/>
        </w:rPr>
      </w:pPr>
      <w:r w:rsidRPr="006A0BD4">
        <w:rPr>
          <w:lang w:val="es-ES"/>
        </w:rPr>
        <w:t>LIZETH CARMELINE GOCHEZ DE PEÑATE</w:t>
      </w:r>
    </w:p>
    <w:p w14:paraId="107721EB" w14:textId="09E9A57F" w:rsidR="00360547" w:rsidRPr="00F30F2C" w:rsidRDefault="008A0C3A">
      <w:pPr>
        <w:keepNext/>
        <w:jc w:val="center"/>
        <w:outlineLvl w:val="0"/>
        <w:rPr>
          <w:lang w:val="es-SV"/>
        </w:rPr>
      </w:pPr>
      <w:bookmarkStart w:id="0" w:name="_Toc241085500"/>
      <w:bookmarkStart w:id="1" w:name="_Toc241406169"/>
      <w:r w:rsidRPr="00F30F2C">
        <w:rPr>
          <w:b/>
          <w:lang w:val="es-SV"/>
        </w:rPr>
        <w:lastRenderedPageBreak/>
        <w:t>TABLA DE CONTENIDO</w:t>
      </w:r>
      <w:bookmarkEnd w:id="0"/>
      <w:bookmarkEnd w:id="1"/>
    </w:p>
    <w:p w14:paraId="29E6550D" w14:textId="26AC7CF8" w:rsidR="001426A8" w:rsidRDefault="00962C87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r>
        <w:rPr>
          <w:lang w:val="es-SV"/>
        </w:rPr>
        <w:fldChar w:fldCharType="begin"/>
      </w:r>
      <w:r>
        <w:rPr>
          <w:lang w:val="es-SV"/>
        </w:rPr>
        <w:instrText xml:space="preserve"> TOC \o "1-3" \h \z \u </w:instrText>
      </w:r>
      <w:r>
        <w:rPr>
          <w:lang w:val="es-SV"/>
        </w:rPr>
        <w:fldChar w:fldCharType="separate"/>
      </w:r>
      <w:hyperlink w:anchor="_Toc241406169" w:history="1">
        <w:r w:rsidR="001426A8" w:rsidRPr="00595721">
          <w:rPr>
            <w:rStyle w:val="Hipervnculo"/>
            <w:noProof/>
            <w:lang w:val="es-SV"/>
          </w:rPr>
          <w:t>TABLA DE CONTENIDO</w:t>
        </w:r>
        <w:r w:rsidR="001426A8">
          <w:rPr>
            <w:noProof/>
            <w:webHidden/>
          </w:rPr>
          <w:tab/>
        </w:r>
        <w:r w:rsidR="001426A8">
          <w:rPr>
            <w:noProof/>
            <w:webHidden/>
          </w:rPr>
          <w:fldChar w:fldCharType="begin"/>
        </w:r>
        <w:r w:rsidR="001426A8">
          <w:rPr>
            <w:noProof/>
            <w:webHidden/>
          </w:rPr>
          <w:instrText xml:space="preserve"> PAGEREF _Toc241406169 \h </w:instrText>
        </w:r>
        <w:r w:rsidR="001426A8">
          <w:rPr>
            <w:noProof/>
            <w:webHidden/>
          </w:rPr>
        </w:r>
        <w:r w:rsidR="001426A8">
          <w:rPr>
            <w:noProof/>
            <w:webHidden/>
          </w:rPr>
          <w:fldChar w:fldCharType="separate"/>
        </w:r>
        <w:r w:rsidR="001426A8">
          <w:rPr>
            <w:noProof/>
            <w:webHidden/>
          </w:rPr>
          <w:t>2</w:t>
        </w:r>
        <w:r w:rsidR="001426A8">
          <w:rPr>
            <w:noProof/>
            <w:webHidden/>
          </w:rPr>
          <w:fldChar w:fldCharType="end"/>
        </w:r>
      </w:hyperlink>
    </w:p>
    <w:p w14:paraId="0459A878" w14:textId="1E79FB85" w:rsidR="001426A8" w:rsidRDefault="001426A8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1406170" w:history="1">
        <w:r w:rsidRPr="00595721">
          <w:rPr>
            <w:rStyle w:val="Hipervnculo"/>
            <w:rFonts w:ascii="Times New Roman" w:hAnsi="Times New Roman" w:cs="Times New Roman"/>
            <w:noProof/>
            <w:lang w:val="es-SV"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A0C7C6" w14:textId="124827A8" w:rsidR="001426A8" w:rsidRDefault="001426A8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1406171" w:history="1">
        <w:r w:rsidRPr="00595721">
          <w:rPr>
            <w:rStyle w:val="Hipervnculo"/>
            <w:rFonts w:ascii="Times New Roman" w:hAnsi="Times New Roman" w:cs="Times New Roman"/>
            <w:noProof/>
            <w:lang w:val="es-SV"/>
          </w:rPr>
          <w:t>Propósito y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1D025E" w14:textId="532662C6" w:rsidR="001426A8" w:rsidRDefault="001426A8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1406172" w:history="1">
        <w:r w:rsidRPr="00595721">
          <w:rPr>
            <w:rStyle w:val="Hipervnculo"/>
            <w:rFonts w:ascii="Times New Roman" w:hAnsi="Times New Roman" w:cs="Times New Roman"/>
            <w:noProof/>
            <w:lang w:val="es-SV"/>
          </w:rPr>
          <w:t>Políticas contables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F0D1B3" w14:textId="05DAA59F" w:rsidR="001426A8" w:rsidRDefault="001426A8">
      <w:pPr>
        <w:pStyle w:val="TDC2"/>
        <w:tabs>
          <w:tab w:val="right" w:leader="dot" w:pos="9350"/>
        </w:tabs>
        <w:rPr>
          <w:rFonts w:eastAsiaTheme="minorEastAsia"/>
          <w:small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1406173" w:history="1">
        <w:r w:rsidRPr="00595721">
          <w:rPr>
            <w:rStyle w:val="Hipervnculo"/>
            <w:rFonts w:ascii="Times New Roman" w:hAnsi="Times New Roman" w:cs="Times New Roman"/>
            <w:noProof/>
            <w:lang w:val="es-SV"/>
          </w:rPr>
          <w:t>Marco normativo y versionado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A99C1C" w14:textId="056B479A" w:rsidR="001426A8" w:rsidRDefault="001426A8">
      <w:pPr>
        <w:pStyle w:val="TDC2"/>
        <w:tabs>
          <w:tab w:val="right" w:leader="dot" w:pos="9350"/>
        </w:tabs>
        <w:rPr>
          <w:rFonts w:eastAsiaTheme="minorEastAsia"/>
          <w:small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1406174" w:history="1">
        <w:r w:rsidRPr="00595721">
          <w:rPr>
            <w:rStyle w:val="Hipervnculo"/>
            <w:rFonts w:ascii="Times New Roman" w:hAnsi="Times New Roman" w:cs="Times New Roman"/>
            <w:noProof/>
            <w:lang w:val="es-SV"/>
          </w:rPr>
          <w:t>Plan de cuentas y dimensiones analíticas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D6E770" w14:textId="34BD95CD" w:rsidR="001426A8" w:rsidRDefault="001426A8">
      <w:pPr>
        <w:pStyle w:val="TDC2"/>
        <w:tabs>
          <w:tab w:val="right" w:leader="dot" w:pos="9350"/>
        </w:tabs>
        <w:rPr>
          <w:rFonts w:eastAsiaTheme="minorEastAsia"/>
          <w:small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1406175" w:history="1">
        <w:r w:rsidRPr="00595721">
          <w:rPr>
            <w:rStyle w:val="Hipervnculo"/>
            <w:rFonts w:ascii="Times New Roman" w:hAnsi="Times New Roman" w:cs="Times New Roman"/>
            <w:noProof/>
            <w:lang w:val="es-SV"/>
          </w:rPr>
          <w:t>Reconocimiento de ingresos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79AAE7" w14:textId="781E47A7" w:rsidR="001426A8" w:rsidRDefault="001426A8">
      <w:pPr>
        <w:pStyle w:val="TDC2"/>
        <w:tabs>
          <w:tab w:val="right" w:leader="dot" w:pos="9350"/>
        </w:tabs>
        <w:rPr>
          <w:rFonts w:eastAsiaTheme="minorEastAsia"/>
          <w:small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1406176" w:history="1">
        <w:r w:rsidRPr="00595721">
          <w:rPr>
            <w:rStyle w:val="Hipervnculo"/>
            <w:rFonts w:ascii="Times New Roman" w:hAnsi="Times New Roman" w:cs="Times New Roman"/>
            <w:noProof/>
            <w:lang w:val="es-SV"/>
          </w:rPr>
          <w:t>Activos intangibles e impuestos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9E1318" w14:textId="3CEE4DF8" w:rsidR="001426A8" w:rsidRDefault="001426A8">
      <w:pPr>
        <w:pStyle w:val="TDC2"/>
        <w:tabs>
          <w:tab w:val="right" w:leader="dot" w:pos="9350"/>
        </w:tabs>
        <w:rPr>
          <w:rFonts w:eastAsiaTheme="minorEastAsia"/>
          <w:small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1406177" w:history="1">
        <w:r w:rsidRPr="00595721">
          <w:rPr>
            <w:rStyle w:val="Hipervnculo"/>
            <w:rFonts w:ascii="Times New Roman" w:hAnsi="Times New Roman" w:cs="Times New Roman"/>
            <w:noProof/>
            <w:lang w:val="es-SV"/>
          </w:rPr>
          <w:t>Cierre, reapertura y corrección de errores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4F5BE1" w14:textId="232E3E13" w:rsidR="001426A8" w:rsidRDefault="001426A8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1406178" w:history="1">
        <w:r w:rsidRPr="00595721">
          <w:rPr>
            <w:rStyle w:val="Hipervnculo"/>
            <w:rFonts w:ascii="Times New Roman" w:hAnsi="Times New Roman" w:cs="Times New Roman"/>
            <w:noProof/>
            <w:lang w:val="es-SV"/>
          </w:rPr>
          <w:t>Documentos fuente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84B09C" w14:textId="459AAE05" w:rsidR="001426A8" w:rsidRDefault="001426A8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1406179" w:history="1">
        <w:r w:rsidRPr="00595721">
          <w:rPr>
            <w:rStyle w:val="Hipervnculo"/>
            <w:rFonts w:ascii="Times New Roman" w:hAnsi="Times New Roman" w:cs="Times New Roman"/>
            <w:noProof/>
            <w:lang w:val="es-SV"/>
          </w:rPr>
          <w:t>Flujo de información contable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7843D7" w14:textId="1E8FD363" w:rsidR="001426A8" w:rsidRDefault="001426A8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1406180" w:history="1">
        <w:r w:rsidRPr="00595721">
          <w:rPr>
            <w:rStyle w:val="Hipervnculo"/>
            <w:rFonts w:ascii="Times New Roman" w:hAnsi="Times New Roman" w:cs="Times New Roman"/>
            <w:noProof/>
            <w:lang w:val="es-SV"/>
          </w:rPr>
          <w:t>Trazabilidad, auditoría y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CF498C" w14:textId="275E773F" w:rsidR="001426A8" w:rsidRDefault="001426A8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1406181" w:history="1">
        <w:r w:rsidRPr="00595721">
          <w:rPr>
            <w:rStyle w:val="Hipervnculo"/>
            <w:rFonts w:ascii="Times New Roman" w:hAnsi="Times New Roman" w:cs="Times New Roman"/>
            <w:noProof/>
            <w:lang w:val="es-SV"/>
          </w:rPr>
          <w:t>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4573C5" w14:textId="30442DC1" w:rsidR="001426A8" w:rsidRDefault="001426A8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1406182" w:history="1">
        <w:r w:rsidRPr="00595721">
          <w:rPr>
            <w:rStyle w:val="Hipervnculo"/>
            <w:rFonts w:ascii="Times New Roman" w:hAnsi="Times New Roman" w:cs="Times New Roman"/>
            <w:noProof/>
            <w:lang w:val="es-SV"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774CC4" w14:textId="77C7260E" w:rsidR="001426A8" w:rsidRDefault="001426A8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1406183" w:history="1">
        <w:r w:rsidRPr="00595721">
          <w:rPr>
            <w:rStyle w:val="Hipervnculo"/>
            <w:noProof/>
          </w:rPr>
          <w:t>CONTROL DE VERSIONES Y ELABORACIÓN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_Toc241406183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BBECD6" w14:textId="37C8F350" w:rsidR="00003ED3" w:rsidRDefault="00962C87">
      <w:r>
        <w:rPr>
          <w:lang w:val="es-SV"/>
        </w:rPr>
        <w:fldChar w:fldCharType="end"/>
      </w:r>
      <w:r>
        <w:rPr>
          <w:lang w:val="es-SV"/>
        </w:rPr>
        <w:br w:type="page"/>
      </w:r>
    </w:p>
    <w:p w14:paraId="6479978B" w14:textId="77777777" w:rsidR="00003ED3" w:rsidRDefault="00962C87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2" w:name="_Toc241406170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Introducción</w:t>
      </w:r>
      <w:bookmarkEnd w:id="2"/>
    </w:p>
    <w:p w14:paraId="27B7AC7A" w14:textId="77777777" w:rsidR="00003ED3" w:rsidRPr="00703AFF" w:rsidRDefault="00962C87">
      <w:pPr>
        <w:ind w:firstLine="720"/>
        <w:rPr>
          <w:lang w:val="es-SV"/>
        </w:rPr>
      </w:pPr>
      <w:r w:rsidRPr="00703AFF">
        <w:rPr>
          <w:lang w:val="es-SV"/>
        </w:rPr>
        <w:t xml:space="preserve">El presente documento define el diseño contable del sistema de información de </w:t>
      </w:r>
      <w:proofErr w:type="spellStart"/>
      <w:r w:rsidRPr="00703AFF">
        <w:rPr>
          <w:lang w:val="es-SV"/>
        </w:rPr>
        <w:t>SunGames</w:t>
      </w:r>
      <w:proofErr w:type="spellEnd"/>
      <w:r w:rsidRPr="00703AFF">
        <w:rPr>
          <w:lang w:val="es-SV"/>
        </w:rPr>
        <w:t>, S.A. de C.V. en tres componentes: las políticas contables que el sistema administra, los documentos fuente que respaldan cada transacción y el flujo de información que lleva la operación desde la unidad que origina el hecho económico hasta el estado financiero que se comunica. El diseño traduce los requerimientos funcionales y no funcionales del proyecto en reglas de registro, validación, control y presentación, y se apoya en la caracterización de la sociedad (SG-CAR-001) y en los manuales organizativos.</w:t>
      </w:r>
    </w:p>
    <w:p w14:paraId="4C609D42" w14:textId="77777777" w:rsidR="00003ED3" w:rsidRPr="00703AFF" w:rsidRDefault="00962C87">
      <w:pPr>
        <w:rPr>
          <w:lang w:val="es-SV"/>
        </w:rPr>
      </w:pPr>
      <w:r w:rsidRPr="00703AFF">
        <w:rPr>
          <w:lang w:val="es-SV"/>
        </w:rPr>
        <w:br w:type="page"/>
      </w:r>
    </w:p>
    <w:p w14:paraId="317DDE1F" w14:textId="77777777" w:rsidR="00003ED3" w:rsidRDefault="00962C87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3" w:name="_Toc241406171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Propósito y alcance</w:t>
      </w:r>
      <w:bookmarkEnd w:id="3"/>
    </w:p>
    <w:p w14:paraId="44BF0961" w14:textId="77777777" w:rsidR="00003ED3" w:rsidRPr="00703AFF" w:rsidRDefault="00962C87">
      <w:pPr>
        <w:ind w:firstLine="720"/>
        <w:rPr>
          <w:lang w:val="es-SV"/>
        </w:rPr>
      </w:pPr>
      <w:r w:rsidRPr="00703AFF">
        <w:rPr>
          <w:lang w:val="es-SV"/>
        </w:rPr>
        <w:t>El diseño tiene por finalidad asegurar que toda operación se registre una sola vez, en el período económico correcto, con la valoración normativa que corresponde y con la evidencia documental que la respalda. El alcance comprende el ciclo contable completo: identificación del documento fuente, registro del comprobante con validación de partida doble, contabilización en el libro diario y en el libro mayor, ajustes y cierres, cálculo de impuestos, generación de estados financieros y paquete de cierre. Quedan fuera de este documento la interfaz de usuario y la arquitectura tecnológica del aplicativo, que se tratan en el modelado de pantallas, y la contabilidad de costos, que se desarrolla en el documento complementario de esta entrega.</w:t>
      </w:r>
    </w:p>
    <w:p w14:paraId="6FD797F7" w14:textId="77777777" w:rsidR="00003ED3" w:rsidRPr="00703AFF" w:rsidRDefault="00962C87">
      <w:pPr>
        <w:rPr>
          <w:lang w:val="es-SV"/>
        </w:rPr>
      </w:pPr>
      <w:r w:rsidRPr="00703AFF">
        <w:rPr>
          <w:lang w:val="es-SV"/>
        </w:rPr>
        <w:br w:type="page"/>
      </w:r>
    </w:p>
    <w:p w14:paraId="3CEDD4BE" w14:textId="77777777" w:rsidR="00003ED3" w:rsidRDefault="00962C87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4" w:name="_Toc241406172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Políticas contables del sistema</w:t>
      </w:r>
      <w:bookmarkEnd w:id="4"/>
    </w:p>
    <w:p w14:paraId="0B075A2A" w14:textId="77777777" w:rsidR="00003ED3" w:rsidRPr="00703AFF" w:rsidRDefault="00962C87">
      <w:pPr>
        <w:ind w:firstLine="720"/>
        <w:rPr>
          <w:lang w:val="es-SV"/>
        </w:rPr>
      </w:pPr>
      <w:r w:rsidRPr="00703AFF">
        <w:rPr>
          <w:lang w:val="es-SV"/>
        </w:rPr>
        <w:t>Las políticas contables son los criterios que el sistema aplica de manera uniforme para reconocer, medir, presentar y revelar las operaciones. Cada política se documenta con su base normativa, se parametriza en el módulo de configuración y queda versionada por fecha de vigencia, de modo que un cambio normativo no altere los períodos ya cerrados (RF-01, RF-02 y RNF-17). El catálogo de la Tabla 1 recoge las quince políticas del sistema; los apartados siguientes desarrollan las de aplicación más relevante para el giro de la sociedad.</w:t>
      </w:r>
    </w:p>
    <w:p w14:paraId="341AA845" w14:textId="77777777" w:rsidR="00003ED3" w:rsidRPr="00703AFF" w:rsidRDefault="00962C87">
      <w:pPr>
        <w:keepNext/>
        <w:rPr>
          <w:lang w:val="es-SV"/>
        </w:rPr>
      </w:pPr>
      <w:r w:rsidRPr="00703AFF">
        <w:rPr>
          <w:b/>
          <w:lang w:val="es-SV"/>
        </w:rPr>
        <w:t>Tabla 1</w:t>
      </w:r>
    </w:p>
    <w:p w14:paraId="7DB61C94" w14:textId="77777777" w:rsidR="00003ED3" w:rsidRPr="00703AFF" w:rsidRDefault="00962C87">
      <w:pPr>
        <w:keepNext/>
        <w:rPr>
          <w:lang w:val="es-SV"/>
        </w:rPr>
      </w:pPr>
      <w:r w:rsidRPr="00703AFF">
        <w:rPr>
          <w:i/>
          <w:lang w:val="es-SV"/>
        </w:rPr>
        <w:t>Catálogo de políticas contables, base normativa y materialización en el sistema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000"/>
        <w:gridCol w:w="2400"/>
        <w:gridCol w:w="3060"/>
      </w:tblGrid>
      <w:tr w:rsidR="00003ED3" w:rsidRPr="009436BB" w14:paraId="3F8A3927" w14:textId="77777777">
        <w:trPr>
          <w:jc w:val="center"/>
        </w:trPr>
        <w:tc>
          <w:tcPr>
            <w:tcW w:w="900" w:type="dxa"/>
            <w:tcBorders>
              <w:bottom w:val="single" w:sz="8" w:space="0" w:color="000000"/>
            </w:tcBorders>
          </w:tcPr>
          <w:p w14:paraId="4E735ED6" w14:textId="77777777" w:rsidR="00003ED3" w:rsidRDefault="00962C87">
            <w:pPr>
              <w:spacing w:line="240" w:lineRule="auto"/>
              <w:jc w:val="center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w="3000" w:type="dxa"/>
            <w:tcBorders>
              <w:bottom w:val="single" w:sz="8" w:space="0" w:color="000000"/>
            </w:tcBorders>
          </w:tcPr>
          <w:p w14:paraId="3B0A285C" w14:textId="77777777" w:rsidR="00003ED3" w:rsidRDefault="00962C87">
            <w:pPr>
              <w:spacing w:line="240" w:lineRule="auto"/>
              <w:jc w:val="center"/>
            </w:pPr>
            <w:r>
              <w:rPr>
                <w:b/>
                <w:sz w:val="20"/>
              </w:rPr>
              <w:t xml:space="preserve">Política </w:t>
            </w:r>
            <w:proofErr w:type="spellStart"/>
            <w:r>
              <w:rPr>
                <w:b/>
                <w:sz w:val="20"/>
              </w:rPr>
              <w:t>contable</w:t>
            </w:r>
            <w:proofErr w:type="spellEnd"/>
          </w:p>
        </w:tc>
        <w:tc>
          <w:tcPr>
            <w:tcW w:w="2400" w:type="dxa"/>
            <w:tcBorders>
              <w:bottom w:val="single" w:sz="8" w:space="0" w:color="000000"/>
            </w:tcBorders>
          </w:tcPr>
          <w:p w14:paraId="0FBB2B7D" w14:textId="77777777" w:rsidR="00003ED3" w:rsidRDefault="00962C87">
            <w:pPr>
              <w:spacing w:line="240" w:lineRule="auto"/>
              <w:jc w:val="center"/>
            </w:pPr>
            <w:r>
              <w:rPr>
                <w:b/>
                <w:sz w:val="20"/>
              </w:rPr>
              <w:t xml:space="preserve">Base </w:t>
            </w:r>
            <w:proofErr w:type="spellStart"/>
            <w:r>
              <w:rPr>
                <w:b/>
                <w:sz w:val="20"/>
              </w:rPr>
              <w:t>normativa</w:t>
            </w:r>
            <w:proofErr w:type="spellEnd"/>
          </w:p>
        </w:tc>
        <w:tc>
          <w:tcPr>
            <w:tcW w:w="3060" w:type="dxa"/>
            <w:tcBorders>
              <w:bottom w:val="single" w:sz="8" w:space="0" w:color="000000"/>
            </w:tcBorders>
          </w:tcPr>
          <w:p w14:paraId="1A801AA0" w14:textId="77777777" w:rsidR="00003ED3" w:rsidRPr="00703AFF" w:rsidRDefault="00962C87">
            <w:pPr>
              <w:spacing w:line="240" w:lineRule="auto"/>
              <w:jc w:val="center"/>
              <w:rPr>
                <w:lang w:val="es-SV"/>
              </w:rPr>
            </w:pPr>
            <w:r w:rsidRPr="00703AFF">
              <w:rPr>
                <w:b/>
                <w:sz w:val="20"/>
                <w:lang w:val="es-SV"/>
              </w:rPr>
              <w:t>Parámetro o control en el sistema</w:t>
            </w:r>
          </w:p>
        </w:tc>
      </w:tr>
      <w:tr w:rsidR="00003ED3" w:rsidRPr="009436BB" w14:paraId="24536DAC" w14:textId="77777777">
        <w:trPr>
          <w:jc w:val="center"/>
        </w:trPr>
        <w:tc>
          <w:tcPr>
            <w:tcW w:w="900" w:type="dxa"/>
          </w:tcPr>
          <w:p w14:paraId="34BF5C85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POL-01</w:t>
            </w:r>
          </w:p>
        </w:tc>
        <w:tc>
          <w:tcPr>
            <w:tcW w:w="3000" w:type="dxa"/>
          </w:tcPr>
          <w:p w14:paraId="2C4D1B81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Marco normativo seleccionable y versionado por fecha de vigencia.</w:t>
            </w:r>
          </w:p>
        </w:tc>
        <w:tc>
          <w:tcPr>
            <w:tcW w:w="2400" w:type="dxa"/>
          </w:tcPr>
          <w:p w14:paraId="2524FEC1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Sección 1 NIIF para PYMES (RF-01, RF-02)</w:t>
            </w:r>
          </w:p>
        </w:tc>
        <w:tc>
          <w:tcPr>
            <w:tcW w:w="3060" w:type="dxa"/>
          </w:tcPr>
          <w:p w14:paraId="174DF241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Configuración de marco, versión y fecha de vigencia; bloqueo de cambios retroactivos.</w:t>
            </w:r>
          </w:p>
        </w:tc>
      </w:tr>
      <w:tr w:rsidR="00003ED3" w:rsidRPr="009436BB" w14:paraId="191EFE19" w14:textId="77777777">
        <w:trPr>
          <w:jc w:val="center"/>
        </w:trPr>
        <w:tc>
          <w:tcPr>
            <w:tcW w:w="900" w:type="dxa"/>
          </w:tcPr>
          <w:p w14:paraId="2FA332F5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POL-02</w:t>
            </w:r>
          </w:p>
        </w:tc>
        <w:tc>
          <w:tcPr>
            <w:tcW w:w="3000" w:type="dxa"/>
          </w:tcPr>
          <w:p w14:paraId="22E6A1D2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Plan de cuentas jerárquico con centros de costo, proyectos y segmentos.</w:t>
            </w:r>
          </w:p>
        </w:tc>
        <w:tc>
          <w:tcPr>
            <w:tcW w:w="2400" w:type="dxa"/>
          </w:tcPr>
          <w:p w14:paraId="04DAAD57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Secciones</w:t>
            </w:r>
            <w:proofErr w:type="spellEnd"/>
            <w:r>
              <w:rPr>
                <w:sz w:val="20"/>
              </w:rPr>
              <w:t xml:space="preserve"> 4 y 5 (RF-03)</w:t>
            </w:r>
          </w:p>
        </w:tc>
        <w:tc>
          <w:tcPr>
            <w:tcW w:w="3060" w:type="dxa"/>
          </w:tcPr>
          <w:p w14:paraId="543890FC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Estructura de cuentas de los grupos 1 a 5 con dimensiones obligatorias por tipo de operación.</w:t>
            </w:r>
          </w:p>
        </w:tc>
      </w:tr>
      <w:tr w:rsidR="00003ED3" w:rsidRPr="009436BB" w14:paraId="62B395AA" w14:textId="77777777">
        <w:trPr>
          <w:jc w:val="center"/>
        </w:trPr>
        <w:tc>
          <w:tcPr>
            <w:tcW w:w="900" w:type="dxa"/>
          </w:tcPr>
          <w:p w14:paraId="5506C3CC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POL-03</w:t>
            </w:r>
          </w:p>
        </w:tc>
        <w:tc>
          <w:tcPr>
            <w:tcW w:w="3000" w:type="dxa"/>
          </w:tcPr>
          <w:p w14:paraId="7F924438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Mapeo de cuentas a rubros, notas y categorías normativas.</w:t>
            </w:r>
          </w:p>
        </w:tc>
        <w:tc>
          <w:tcPr>
            <w:tcW w:w="2400" w:type="dxa"/>
          </w:tcPr>
          <w:p w14:paraId="295013C1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Secciones</w:t>
            </w:r>
            <w:proofErr w:type="spellEnd"/>
            <w:r>
              <w:rPr>
                <w:sz w:val="20"/>
              </w:rPr>
              <w:t xml:space="preserve"> 4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8 (RF-04)</w:t>
            </w:r>
          </w:p>
        </w:tc>
        <w:tc>
          <w:tcPr>
            <w:tcW w:w="3060" w:type="dxa"/>
          </w:tcPr>
          <w:p w14:paraId="00128CE3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Tabla de equivalencias y exportación XBRL con validaciones.</w:t>
            </w:r>
          </w:p>
        </w:tc>
      </w:tr>
      <w:tr w:rsidR="00003ED3" w:rsidRPr="009436BB" w14:paraId="367FEEDF" w14:textId="77777777">
        <w:trPr>
          <w:jc w:val="center"/>
        </w:trPr>
        <w:tc>
          <w:tcPr>
            <w:tcW w:w="900" w:type="dxa"/>
          </w:tcPr>
          <w:p w14:paraId="1E817340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POL-04</w:t>
            </w:r>
          </w:p>
        </w:tc>
        <w:tc>
          <w:tcPr>
            <w:tcW w:w="3000" w:type="dxa"/>
          </w:tcPr>
          <w:p w14:paraId="672F3337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Materialidad, estimaciones, vidas útiles y métodos de valoración.</w:t>
            </w:r>
          </w:p>
        </w:tc>
        <w:tc>
          <w:tcPr>
            <w:tcW w:w="2400" w:type="dxa"/>
          </w:tcPr>
          <w:p w14:paraId="18CCC470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10 (RF-05)</w:t>
            </w:r>
          </w:p>
        </w:tc>
        <w:tc>
          <w:tcPr>
            <w:tcW w:w="3060" w:type="dxa"/>
          </w:tcPr>
          <w:p w14:paraId="0298AF0B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Registro de políticas, umbrales de materialidad y tabla de vidas útiles.</w:t>
            </w:r>
          </w:p>
        </w:tc>
      </w:tr>
      <w:tr w:rsidR="00003ED3" w:rsidRPr="009436BB" w14:paraId="37FD4848" w14:textId="77777777">
        <w:trPr>
          <w:jc w:val="center"/>
        </w:trPr>
        <w:tc>
          <w:tcPr>
            <w:tcW w:w="900" w:type="dxa"/>
          </w:tcPr>
          <w:p w14:paraId="64FBAB7E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POL-05</w:t>
            </w:r>
          </w:p>
        </w:tc>
        <w:tc>
          <w:tcPr>
            <w:tcW w:w="3000" w:type="dxa"/>
          </w:tcPr>
          <w:p w14:paraId="25EEE062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Partida doble y base de devengo en el registro.</w:t>
            </w:r>
          </w:p>
        </w:tc>
        <w:tc>
          <w:tcPr>
            <w:tcW w:w="2400" w:type="dxa"/>
          </w:tcPr>
          <w:p w14:paraId="5822E0BF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Código de Comercio, arts. 435-438 (RF-06, RF-07)</w:t>
            </w:r>
          </w:p>
        </w:tc>
        <w:tc>
          <w:tcPr>
            <w:tcW w:w="3060" w:type="dxa"/>
          </w:tcPr>
          <w:p w14:paraId="4D14F4B9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Validación de débito igual a crédito y bloqueo del registro en el período incorrecto.</w:t>
            </w:r>
          </w:p>
        </w:tc>
      </w:tr>
      <w:tr w:rsidR="00003ED3" w:rsidRPr="009436BB" w14:paraId="293CD799" w14:textId="77777777">
        <w:trPr>
          <w:jc w:val="center"/>
        </w:trPr>
        <w:tc>
          <w:tcPr>
            <w:tcW w:w="900" w:type="dxa"/>
          </w:tcPr>
          <w:p w14:paraId="0ACABB4A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POL-06</w:t>
            </w:r>
          </w:p>
        </w:tc>
        <w:tc>
          <w:tcPr>
            <w:tcW w:w="3000" w:type="dxa"/>
          </w:tcPr>
          <w:p w14:paraId="1E7FC427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Validación de cuentas, períodos, monedas y dimensiones.</w:t>
            </w:r>
          </w:p>
        </w:tc>
        <w:tc>
          <w:tcPr>
            <w:tcW w:w="2400" w:type="dxa"/>
          </w:tcPr>
          <w:p w14:paraId="2694BD79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 xml:space="preserve">Código </w:t>
            </w:r>
            <w:proofErr w:type="spellStart"/>
            <w:r>
              <w:rPr>
                <w:sz w:val="20"/>
              </w:rPr>
              <w:t>Tributario</w:t>
            </w:r>
            <w:proofErr w:type="spellEnd"/>
            <w:r>
              <w:rPr>
                <w:sz w:val="20"/>
              </w:rPr>
              <w:t>, arts. 139-142 (RF-09)</w:t>
            </w:r>
          </w:p>
        </w:tc>
        <w:tc>
          <w:tcPr>
            <w:tcW w:w="3060" w:type="dxa"/>
          </w:tcPr>
          <w:p w14:paraId="3335925D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Catálogo de cuentas activas, calendario contable y monedas habilitadas.</w:t>
            </w:r>
          </w:p>
        </w:tc>
      </w:tr>
      <w:tr w:rsidR="00003ED3" w:rsidRPr="009436BB" w14:paraId="2A041A0B" w14:textId="77777777">
        <w:trPr>
          <w:jc w:val="center"/>
        </w:trPr>
        <w:tc>
          <w:tcPr>
            <w:tcW w:w="900" w:type="dxa"/>
          </w:tcPr>
          <w:p w14:paraId="1E27CBF2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POL-07</w:t>
            </w:r>
          </w:p>
        </w:tc>
        <w:tc>
          <w:tcPr>
            <w:tcW w:w="3000" w:type="dxa"/>
          </w:tcPr>
          <w:p w14:paraId="77C7C1B3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Aprobaciones y flujos de revisión por importe y riesgo.</w:t>
            </w:r>
          </w:p>
        </w:tc>
        <w:tc>
          <w:tcPr>
            <w:tcW w:w="2400" w:type="dxa"/>
          </w:tcPr>
          <w:p w14:paraId="455EF879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Código de Comercio, arts. 283 y 286 (RF-11)</w:t>
            </w:r>
          </w:p>
        </w:tc>
        <w:tc>
          <w:tcPr>
            <w:tcW w:w="3060" w:type="dxa"/>
          </w:tcPr>
          <w:p w14:paraId="676F0AF4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Matriz de umbrales y doble aprobación para operaciones de riesgo alto.</w:t>
            </w:r>
          </w:p>
        </w:tc>
      </w:tr>
      <w:tr w:rsidR="00003ED3" w:rsidRPr="009436BB" w14:paraId="7FBCD897" w14:textId="77777777">
        <w:trPr>
          <w:jc w:val="center"/>
        </w:trPr>
        <w:tc>
          <w:tcPr>
            <w:tcW w:w="900" w:type="dxa"/>
          </w:tcPr>
          <w:p w14:paraId="7A67E4F2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POL-08</w:t>
            </w:r>
          </w:p>
        </w:tc>
        <w:tc>
          <w:tcPr>
            <w:tcW w:w="3000" w:type="dxa"/>
          </w:tcPr>
          <w:p w14:paraId="7EC706A8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Reconocimiento de ingresos por contrato con clientes.</w:t>
            </w:r>
          </w:p>
        </w:tc>
        <w:tc>
          <w:tcPr>
            <w:tcW w:w="2400" w:type="dxa"/>
          </w:tcPr>
          <w:p w14:paraId="345746DB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 xml:space="preserve">IFRS 15 / 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23 (RF-19)</w:t>
            </w:r>
          </w:p>
        </w:tc>
        <w:tc>
          <w:tcPr>
            <w:tcW w:w="3060" w:type="dxa"/>
          </w:tcPr>
          <w:p w14:paraId="134601B9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Contrato, obligaciones de desempeño, precio y método de medición del avance.</w:t>
            </w:r>
          </w:p>
        </w:tc>
      </w:tr>
      <w:tr w:rsidR="00003ED3" w:rsidRPr="009436BB" w14:paraId="11FB829B" w14:textId="77777777">
        <w:trPr>
          <w:jc w:val="center"/>
        </w:trPr>
        <w:tc>
          <w:tcPr>
            <w:tcW w:w="900" w:type="dxa"/>
          </w:tcPr>
          <w:p w14:paraId="0ACE1684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POL-09</w:t>
            </w:r>
          </w:p>
        </w:tc>
        <w:tc>
          <w:tcPr>
            <w:tcW w:w="3000" w:type="dxa"/>
          </w:tcPr>
          <w:p w14:paraId="1F426A98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Capitalización, amortización y deterioro de intangibles.</w:t>
            </w:r>
          </w:p>
        </w:tc>
        <w:tc>
          <w:tcPr>
            <w:tcW w:w="2400" w:type="dxa"/>
          </w:tcPr>
          <w:p w14:paraId="52001C3D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 xml:space="preserve">IAS 38 / 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18 (RF-24, RF-26)</w:t>
            </w:r>
          </w:p>
        </w:tc>
        <w:tc>
          <w:tcPr>
            <w:tcW w:w="3060" w:type="dxa"/>
          </w:tcPr>
          <w:p w14:paraId="694833E3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Estados del intangible: investigación, desarrollo y terminado; amortización y deterioro.</w:t>
            </w:r>
          </w:p>
        </w:tc>
      </w:tr>
      <w:tr w:rsidR="00003ED3" w:rsidRPr="009436BB" w14:paraId="5EB236A2" w14:textId="77777777">
        <w:trPr>
          <w:jc w:val="center"/>
        </w:trPr>
        <w:tc>
          <w:tcPr>
            <w:tcW w:w="900" w:type="dxa"/>
          </w:tcPr>
          <w:p w14:paraId="78CE2070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POL-10</w:t>
            </w:r>
          </w:p>
        </w:tc>
        <w:tc>
          <w:tcPr>
            <w:tcW w:w="3000" w:type="dxa"/>
          </w:tcPr>
          <w:p w14:paraId="16BF685E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Depreciación, bajas y revaluaciones de bienes de uso.</w:t>
            </w:r>
          </w:p>
        </w:tc>
        <w:tc>
          <w:tcPr>
            <w:tcW w:w="2400" w:type="dxa"/>
          </w:tcPr>
          <w:p w14:paraId="4813A568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17 (RF-23)</w:t>
            </w:r>
          </w:p>
        </w:tc>
        <w:tc>
          <w:tcPr>
            <w:tcW w:w="3060" w:type="dxa"/>
          </w:tcPr>
          <w:p w14:paraId="34BD56A8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Componentes, método lineal y revisión anual de vidas útiles.</w:t>
            </w:r>
          </w:p>
        </w:tc>
      </w:tr>
      <w:tr w:rsidR="00003ED3" w:rsidRPr="009436BB" w14:paraId="13EC3D20" w14:textId="77777777">
        <w:trPr>
          <w:jc w:val="center"/>
        </w:trPr>
        <w:tc>
          <w:tcPr>
            <w:tcW w:w="900" w:type="dxa"/>
          </w:tcPr>
          <w:p w14:paraId="75E6C941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POL-11</w:t>
            </w:r>
          </w:p>
        </w:tc>
        <w:tc>
          <w:tcPr>
            <w:tcW w:w="3000" w:type="dxa"/>
          </w:tcPr>
          <w:p w14:paraId="31C3ABBD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Valorización de inventarios y valor neto realizable.</w:t>
            </w:r>
          </w:p>
        </w:tc>
        <w:tc>
          <w:tcPr>
            <w:tcW w:w="2400" w:type="dxa"/>
          </w:tcPr>
          <w:p w14:paraId="3AA04581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13 (RF-25)</w:t>
            </w:r>
          </w:p>
        </w:tc>
        <w:tc>
          <w:tcPr>
            <w:tcW w:w="3060" w:type="dxa"/>
          </w:tcPr>
          <w:p w14:paraId="31974985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Método de costeo, conteos cíclicos y prueba de valor neto realizable.</w:t>
            </w:r>
          </w:p>
        </w:tc>
      </w:tr>
      <w:tr w:rsidR="00003ED3" w:rsidRPr="009436BB" w14:paraId="6B7CD50E" w14:textId="77777777">
        <w:trPr>
          <w:jc w:val="center"/>
        </w:trPr>
        <w:tc>
          <w:tcPr>
            <w:tcW w:w="900" w:type="dxa"/>
          </w:tcPr>
          <w:p w14:paraId="68F1A4E0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POL-12</w:t>
            </w:r>
          </w:p>
        </w:tc>
        <w:tc>
          <w:tcPr>
            <w:tcW w:w="3000" w:type="dxa"/>
          </w:tcPr>
          <w:p w14:paraId="194F24AE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 xml:space="preserve">Impuesto corriente y diferido, e </w:t>
            </w:r>
            <w:r w:rsidRPr="00703AFF">
              <w:rPr>
                <w:sz w:val="20"/>
                <w:lang w:val="es-SV"/>
              </w:rPr>
              <w:lastRenderedPageBreak/>
              <w:t>IVA.</w:t>
            </w:r>
          </w:p>
        </w:tc>
        <w:tc>
          <w:tcPr>
            <w:tcW w:w="2400" w:type="dxa"/>
          </w:tcPr>
          <w:p w14:paraId="0C3EF1FE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lastRenderedPageBreak/>
              <w:t xml:space="preserve">IAS 12 / Sección 29; Ley </w:t>
            </w:r>
            <w:r w:rsidRPr="00703AFF">
              <w:rPr>
                <w:sz w:val="20"/>
                <w:lang w:val="es-SV"/>
              </w:rPr>
              <w:lastRenderedPageBreak/>
              <w:t>de IVA (RF-28)</w:t>
            </w:r>
          </w:p>
        </w:tc>
        <w:tc>
          <w:tcPr>
            <w:tcW w:w="3060" w:type="dxa"/>
          </w:tcPr>
          <w:p w14:paraId="65D65B63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lastRenderedPageBreak/>
              <w:t xml:space="preserve">Bases de IVA débito y crédito, </w:t>
            </w:r>
            <w:r w:rsidRPr="00703AFF">
              <w:rPr>
                <w:sz w:val="20"/>
                <w:lang w:val="es-SV"/>
              </w:rPr>
              <w:lastRenderedPageBreak/>
              <w:t>retenciones, liquidaciones y diferencias temporarias.</w:t>
            </w:r>
          </w:p>
        </w:tc>
      </w:tr>
      <w:tr w:rsidR="00003ED3" w:rsidRPr="009436BB" w14:paraId="7BEBD121" w14:textId="77777777">
        <w:trPr>
          <w:jc w:val="center"/>
        </w:trPr>
        <w:tc>
          <w:tcPr>
            <w:tcW w:w="900" w:type="dxa"/>
          </w:tcPr>
          <w:p w14:paraId="2F067019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lastRenderedPageBreak/>
              <w:t>POL-13</w:t>
            </w:r>
          </w:p>
        </w:tc>
        <w:tc>
          <w:tcPr>
            <w:tcW w:w="3000" w:type="dxa"/>
          </w:tcPr>
          <w:p w14:paraId="25074C38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Moneda extranjera y diferencias cambiarias.</w:t>
            </w:r>
          </w:p>
        </w:tc>
        <w:tc>
          <w:tcPr>
            <w:tcW w:w="2400" w:type="dxa"/>
          </w:tcPr>
          <w:p w14:paraId="2403D1B8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 xml:space="preserve">IAS 21 / 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30 (RF-29)</w:t>
            </w:r>
          </w:p>
        </w:tc>
        <w:tc>
          <w:tcPr>
            <w:tcW w:w="3060" w:type="dxa"/>
          </w:tcPr>
          <w:p w14:paraId="41913D5C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Moneda funcional, tasas históricas y de cierre y tipos de cambio.</w:t>
            </w:r>
          </w:p>
        </w:tc>
      </w:tr>
      <w:tr w:rsidR="00003ED3" w:rsidRPr="009436BB" w14:paraId="7E7C4FE4" w14:textId="77777777">
        <w:trPr>
          <w:jc w:val="center"/>
        </w:trPr>
        <w:tc>
          <w:tcPr>
            <w:tcW w:w="900" w:type="dxa"/>
          </w:tcPr>
          <w:p w14:paraId="20C2CF9C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POL-14</w:t>
            </w:r>
          </w:p>
        </w:tc>
        <w:tc>
          <w:tcPr>
            <w:tcW w:w="3000" w:type="dxa"/>
          </w:tcPr>
          <w:p w14:paraId="6CA34772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Cierre, reapertura, eventos posteriores y errores.</w:t>
            </w:r>
          </w:p>
        </w:tc>
        <w:tc>
          <w:tcPr>
            <w:tcW w:w="2400" w:type="dxa"/>
          </w:tcPr>
          <w:p w14:paraId="4EF8CDF5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IAS 7, IAS 8 e IAS 10 (RF-15 a RF-18)</w:t>
            </w:r>
          </w:p>
        </w:tc>
        <w:tc>
          <w:tcPr>
            <w:tcW w:w="3060" w:type="dxa"/>
          </w:tcPr>
          <w:p w14:paraId="3A021F6C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 xml:space="preserve">Listas de verificación, bloqueos, bitácora de reapertura y </w:t>
            </w:r>
            <w:proofErr w:type="spellStart"/>
            <w:r w:rsidRPr="00703AFF">
              <w:rPr>
                <w:sz w:val="20"/>
                <w:lang w:val="es-SV"/>
              </w:rPr>
              <w:t>reexpresión</w:t>
            </w:r>
            <w:proofErr w:type="spellEnd"/>
            <w:r w:rsidRPr="00703AFF">
              <w:rPr>
                <w:sz w:val="20"/>
                <w:lang w:val="es-SV"/>
              </w:rPr>
              <w:t>.</w:t>
            </w:r>
          </w:p>
        </w:tc>
      </w:tr>
      <w:tr w:rsidR="00003ED3" w:rsidRPr="009436BB" w14:paraId="39544551" w14:textId="77777777">
        <w:trPr>
          <w:jc w:val="center"/>
        </w:trPr>
        <w:tc>
          <w:tcPr>
            <w:tcW w:w="900" w:type="dxa"/>
          </w:tcPr>
          <w:p w14:paraId="0211DFFC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POL-15</w:t>
            </w:r>
          </w:p>
        </w:tc>
        <w:tc>
          <w:tcPr>
            <w:tcW w:w="3000" w:type="dxa"/>
          </w:tcPr>
          <w:p w14:paraId="02CA674B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Trazabilidad, bitácora y evidencia de auditoría.</w:t>
            </w:r>
          </w:p>
        </w:tc>
        <w:tc>
          <w:tcPr>
            <w:tcW w:w="2400" w:type="dxa"/>
          </w:tcPr>
          <w:p w14:paraId="29E96A30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Código de Comercio, arts. 282-291 (RF-31, RF-32)</w:t>
            </w:r>
          </w:p>
        </w:tc>
        <w:tc>
          <w:tcPr>
            <w:tcW w:w="3060" w:type="dxa"/>
          </w:tcPr>
          <w:p w14:paraId="7A9B77EA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Navegación de la cifra al comprobante, al documento y al usuario; bitácora inmutable.</w:t>
            </w:r>
          </w:p>
        </w:tc>
      </w:tr>
    </w:tbl>
    <w:p w14:paraId="70F41142" w14:textId="77777777" w:rsidR="00003ED3" w:rsidRDefault="00962C87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5" w:name="_Toc241406173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t>Marco normativo y versionado</w:t>
      </w:r>
      <w:bookmarkEnd w:id="5"/>
    </w:p>
    <w:p w14:paraId="5E471333" w14:textId="77777777" w:rsidR="00003ED3" w:rsidRPr="00703AFF" w:rsidRDefault="00962C87">
      <w:pPr>
        <w:ind w:firstLine="720"/>
        <w:rPr>
          <w:lang w:val="es-SV"/>
        </w:rPr>
      </w:pPr>
      <w:r w:rsidRPr="00703AFF">
        <w:rPr>
          <w:lang w:val="es-SV"/>
        </w:rPr>
        <w:t>La sociedad adopta las NIIF para las PYMES como marco principal de preparación y presentación de estados financieros, por no estar sujeta a obligación pública de rendir cuentas. El sistema permite seleccionar el marco aplicable —NIIF completas, NIIF para las PYMES o normas locales— y la fecha de vigencia, y conserva la versión aplicada a cada período, regla, plantilla y cálculo (RF-01 y RF-02). Registra además el mapeo de cada cuenta con los rubros de los estados financieros, las notas, las categorías de las NIIF y los conceptos de la taxonomía IFRS (RF-04).</w:t>
      </w:r>
    </w:p>
    <w:p w14:paraId="67B8800A" w14:textId="77777777" w:rsidR="00003ED3" w:rsidRDefault="00962C87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6" w:name="_Toc241406174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t>Plan de cuentas y dimensiones analíticas</w:t>
      </w:r>
      <w:bookmarkEnd w:id="6"/>
    </w:p>
    <w:p w14:paraId="2C14EAC8" w14:textId="77777777" w:rsidR="00003ED3" w:rsidRPr="00703AFF" w:rsidRDefault="00962C87">
      <w:pPr>
        <w:ind w:firstLine="720"/>
        <w:rPr>
          <w:lang w:val="es-SV"/>
        </w:rPr>
      </w:pPr>
      <w:r w:rsidRPr="00703AFF">
        <w:rPr>
          <w:lang w:val="es-SV"/>
        </w:rPr>
        <w:t>El plan de cuentas se organiza jerárquicamente en los grupos 1 a 5, alineados con los rubros de los estados financieros, e incorpora centros de costo, proyectos y segmentos (RF-03). La estructura es indispensable porque el giro exige distinguir los ingresos por servicios, por licencias y por regalías, y presentar por separado los intangibles en desarrollo y los intangibles concluidos (</w:t>
      </w:r>
      <w:proofErr w:type="spellStart"/>
      <w:r w:rsidRPr="00703AFF">
        <w:rPr>
          <w:lang w:val="es-SV"/>
        </w:rPr>
        <w:t>SunGames</w:t>
      </w:r>
      <w:proofErr w:type="spellEnd"/>
      <w:r w:rsidRPr="00703AFF">
        <w:rPr>
          <w:lang w:val="es-SV"/>
        </w:rPr>
        <w:t>, S.A. de C.V., 2026b).</w:t>
      </w:r>
    </w:p>
    <w:p w14:paraId="397FCAC1" w14:textId="77777777" w:rsidR="00003ED3" w:rsidRDefault="00962C87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7" w:name="_Toc241406175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t>Reconocimiento de ingresos</w:t>
      </w:r>
      <w:bookmarkEnd w:id="7"/>
    </w:p>
    <w:p w14:paraId="76922E9E" w14:textId="77777777" w:rsidR="00003ED3" w:rsidRPr="00703AFF" w:rsidRDefault="00962C87">
      <w:pPr>
        <w:ind w:firstLine="720"/>
        <w:rPr>
          <w:lang w:val="es-SV"/>
        </w:rPr>
      </w:pPr>
      <w:r w:rsidRPr="00703AFF">
        <w:rPr>
          <w:lang w:val="es-SV"/>
        </w:rPr>
        <w:t xml:space="preserve">El módulo de ingresos aplica el modelo de cinco pasos de la IFRS 15. Para </w:t>
      </w:r>
      <w:proofErr w:type="spellStart"/>
      <w:r w:rsidRPr="00703AFF">
        <w:rPr>
          <w:lang w:val="es-SV"/>
        </w:rPr>
        <w:t>SunGames</w:t>
      </w:r>
      <w:proofErr w:type="spellEnd"/>
      <w:r w:rsidRPr="00703AFF">
        <w:rPr>
          <w:lang w:val="es-SV"/>
        </w:rPr>
        <w:t xml:space="preserve">, el desarrollo por encargo se reconoce a lo largo del tiempo conforme el grado de avance verificado; la venta de licencias de títulos propios se reconoce cuando se transfiere el control al cliente, </w:t>
      </w:r>
      <w:r w:rsidRPr="00703AFF">
        <w:rPr>
          <w:lang w:val="es-SV"/>
        </w:rPr>
        <w:lastRenderedPageBreak/>
        <w:t>salvo que la licencia otorgue acceso a una propiedad intelectual desarrollada en el tiempo, caso en el cual el reconocimiento se difiere; las regalías se reconocen cuando ocurren las ventas del licenciatario; y los ingresos por suscripciones y acceso digital se reconocen a lo largo del período de acceso (RF-19).</w:t>
      </w:r>
    </w:p>
    <w:p w14:paraId="611361CD" w14:textId="77777777" w:rsidR="00003ED3" w:rsidRDefault="00962C87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8" w:name="_Toc241406176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t>Activos intangibles e impuestos</w:t>
      </w:r>
      <w:bookmarkEnd w:id="8"/>
    </w:p>
    <w:p w14:paraId="3F9BDFCC" w14:textId="77777777" w:rsidR="00003ED3" w:rsidRPr="00703AFF" w:rsidRDefault="00962C87">
      <w:pPr>
        <w:ind w:firstLine="720"/>
        <w:rPr>
          <w:lang w:val="es-SV"/>
        </w:rPr>
      </w:pPr>
      <w:r w:rsidRPr="00703AFF">
        <w:rPr>
          <w:lang w:val="es-SV"/>
        </w:rPr>
        <w:t>Los costos de investigación se reconocen como gasto del período y los costos de desarrollo se capitalizan como intangible en la medida en que se cumplen los criterios de la Sección 18 de las NIIF para las PYMES; concluidos los activos, se amortizan a lo largo de la vida útil del título, con prueba de deterioro cuando existan indicios de pérdida (RF-24 y RF-26). El sistema calcula el impuesto corriente y el diferido, el IVA débito y crédito fiscal y las retenciones (RF-28), y convierte las operaciones en moneda extranjera a la tasa de la transacción y los saldos monetarios a la tasa de cierre (RF-29).</w:t>
      </w:r>
    </w:p>
    <w:p w14:paraId="59E56548" w14:textId="77777777" w:rsidR="00003ED3" w:rsidRDefault="00962C87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9" w:name="_Toc241406177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t>Cierre, reapertura y corrección de errores</w:t>
      </w:r>
      <w:bookmarkEnd w:id="9"/>
    </w:p>
    <w:p w14:paraId="506B62A2" w14:textId="77777777" w:rsidR="00003ED3" w:rsidRPr="00703AFF" w:rsidRDefault="00962C87">
      <w:pPr>
        <w:ind w:firstLine="720"/>
        <w:rPr>
          <w:lang w:val="es-SV"/>
        </w:rPr>
      </w:pPr>
      <w:r w:rsidRPr="00703AFF">
        <w:rPr>
          <w:lang w:val="es-SV"/>
        </w:rPr>
        <w:t>El cierre se ejecuta mediante listas de verificación, bloqueos y autorizaciones (RF-15); la reapertura de un período exige autorización, motivo, usuario y registro de impacto (RF-16); los eventos posteriores al cierre se registran diferenciando los ajustables de los no ajustables (RF-17); y las correcciones de errores se soportan de forma prospectiva o retrospectiva, con vínculo explícito al registro original (RF-18). Ningún asiento contabilizado se modifica ni se elimina físicamente: toda corrección se realiza mediante reversas o ajustes vinculados (RNF-03).</w:t>
      </w:r>
    </w:p>
    <w:p w14:paraId="42B3B4C5" w14:textId="77777777" w:rsidR="00003ED3" w:rsidRPr="00703AFF" w:rsidRDefault="00962C87">
      <w:pPr>
        <w:rPr>
          <w:lang w:val="es-SV"/>
        </w:rPr>
      </w:pPr>
      <w:r w:rsidRPr="00703AFF">
        <w:rPr>
          <w:lang w:val="es-SV"/>
        </w:rPr>
        <w:br w:type="page"/>
      </w:r>
    </w:p>
    <w:p w14:paraId="032AD432" w14:textId="77777777" w:rsidR="00003ED3" w:rsidRDefault="00962C87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10" w:name="_Toc241406178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Documentos fuente del sistema</w:t>
      </w:r>
      <w:bookmarkEnd w:id="10"/>
    </w:p>
    <w:p w14:paraId="1D1B217D" w14:textId="77777777" w:rsidR="00003ED3" w:rsidRPr="00703AFF" w:rsidRDefault="00962C87">
      <w:pPr>
        <w:ind w:firstLine="720"/>
        <w:rPr>
          <w:lang w:val="es-SV"/>
        </w:rPr>
      </w:pPr>
      <w:r w:rsidRPr="00703AFF">
        <w:rPr>
          <w:lang w:val="es-SV"/>
        </w:rPr>
        <w:t>El documento fuente es el soporte que origina la operación y que respalda el asiento contable. Sin documento fuente completo y vigente, la operación no debe registrarse, conforme a la obligación de contabilidad formal y de conservación de la documentación exigida por el Código de Comercio y por el Código Tributario. El sistema lo asocia permanentemente al comprobante y permite consultarlo desde cualquier asiento (RF-10). Cada documento debe identificar emisor y receptor, fecha y número; describir el bien, servicio o derecho transmitido, con cantidad y precio; consignar montos totales, impuestos y retenciones; y referenciar el centro de costo, el proyecto o la cuenta afectada, con la validación de los responsables según los umbrales de aprobación definidos.</w:t>
      </w:r>
    </w:p>
    <w:p w14:paraId="34E0690B" w14:textId="77777777" w:rsidR="00003ED3" w:rsidRPr="00703AFF" w:rsidRDefault="00962C87">
      <w:pPr>
        <w:keepNext/>
        <w:rPr>
          <w:lang w:val="es-SV"/>
        </w:rPr>
      </w:pPr>
      <w:r w:rsidRPr="00703AFF">
        <w:rPr>
          <w:b/>
          <w:lang w:val="es-SV"/>
        </w:rPr>
        <w:t>Tabla 2</w:t>
      </w:r>
    </w:p>
    <w:p w14:paraId="202A910E" w14:textId="77777777" w:rsidR="00003ED3" w:rsidRPr="00703AFF" w:rsidRDefault="00962C87">
      <w:pPr>
        <w:keepNext/>
        <w:rPr>
          <w:lang w:val="es-SV"/>
        </w:rPr>
      </w:pPr>
      <w:r w:rsidRPr="00703AFF">
        <w:rPr>
          <w:i/>
          <w:lang w:val="es-SV"/>
        </w:rPr>
        <w:t>Inventario de documentos fuente por proceso, contenido mínimo y custodia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800"/>
        <w:gridCol w:w="3000"/>
        <w:gridCol w:w="1860"/>
      </w:tblGrid>
      <w:tr w:rsidR="00003ED3" w14:paraId="2BE2B7D3" w14:textId="77777777">
        <w:trPr>
          <w:jc w:val="center"/>
        </w:trPr>
        <w:tc>
          <w:tcPr>
            <w:tcW w:w="1700" w:type="dxa"/>
            <w:tcBorders>
              <w:bottom w:val="single" w:sz="8" w:space="0" w:color="000000"/>
            </w:tcBorders>
          </w:tcPr>
          <w:p w14:paraId="1C0B998F" w14:textId="77777777" w:rsidR="00003ED3" w:rsidRDefault="00962C87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Proceso</w:t>
            </w:r>
            <w:proofErr w:type="spellEnd"/>
          </w:p>
        </w:tc>
        <w:tc>
          <w:tcPr>
            <w:tcW w:w="2800" w:type="dxa"/>
            <w:tcBorders>
              <w:bottom w:val="single" w:sz="8" w:space="0" w:color="000000"/>
            </w:tcBorders>
          </w:tcPr>
          <w:p w14:paraId="040EC3C4" w14:textId="77777777" w:rsidR="00003ED3" w:rsidRDefault="00962C87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Documentos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fuente</w:t>
            </w:r>
            <w:proofErr w:type="spellEnd"/>
          </w:p>
        </w:tc>
        <w:tc>
          <w:tcPr>
            <w:tcW w:w="3000" w:type="dxa"/>
            <w:tcBorders>
              <w:bottom w:val="single" w:sz="8" w:space="0" w:color="000000"/>
            </w:tcBorders>
          </w:tcPr>
          <w:p w14:paraId="4578EE40" w14:textId="77777777" w:rsidR="00003ED3" w:rsidRDefault="00962C87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Contenido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mínimo</w:t>
            </w:r>
            <w:proofErr w:type="spellEnd"/>
          </w:p>
        </w:tc>
        <w:tc>
          <w:tcPr>
            <w:tcW w:w="1860" w:type="dxa"/>
            <w:tcBorders>
              <w:bottom w:val="single" w:sz="8" w:space="0" w:color="000000"/>
            </w:tcBorders>
          </w:tcPr>
          <w:p w14:paraId="4B58E1FE" w14:textId="77777777" w:rsidR="00003ED3" w:rsidRDefault="00962C87">
            <w:pPr>
              <w:spacing w:line="240" w:lineRule="auto"/>
              <w:jc w:val="center"/>
            </w:pPr>
            <w:r>
              <w:rPr>
                <w:b/>
                <w:sz w:val="20"/>
              </w:rPr>
              <w:t>Custodia</w:t>
            </w:r>
          </w:p>
        </w:tc>
      </w:tr>
      <w:tr w:rsidR="00003ED3" w14:paraId="74B71EDB" w14:textId="77777777">
        <w:trPr>
          <w:jc w:val="center"/>
        </w:trPr>
        <w:tc>
          <w:tcPr>
            <w:tcW w:w="1700" w:type="dxa"/>
          </w:tcPr>
          <w:p w14:paraId="33B2D85E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Constitución y capital</w:t>
            </w:r>
          </w:p>
        </w:tc>
        <w:tc>
          <w:tcPr>
            <w:tcW w:w="2800" w:type="dxa"/>
          </w:tcPr>
          <w:p w14:paraId="6F236942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Escritura de constitución, actas de junta y comprobantes de depósito.</w:t>
            </w:r>
          </w:p>
        </w:tc>
        <w:tc>
          <w:tcPr>
            <w:tcW w:w="3000" w:type="dxa"/>
          </w:tcPr>
          <w:p w14:paraId="3C8A0462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Importe, fecha, cuenta bancaria y autorización de la junta.</w:t>
            </w:r>
          </w:p>
        </w:tc>
        <w:tc>
          <w:tcPr>
            <w:tcW w:w="1860" w:type="dxa"/>
          </w:tcPr>
          <w:p w14:paraId="15D703BD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Gerencia General (P-001)</w:t>
            </w:r>
            <w:proofErr w:type="spellEnd"/>
          </w:p>
        </w:tc>
      </w:tr>
      <w:tr w:rsidR="00003ED3" w14:paraId="198DF576" w14:textId="77777777">
        <w:trPr>
          <w:jc w:val="center"/>
        </w:trPr>
        <w:tc>
          <w:tcPr>
            <w:tcW w:w="1700" w:type="dxa"/>
          </w:tcPr>
          <w:p w14:paraId="3027B66A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 xml:space="preserve">Compras, </w:t>
            </w:r>
            <w:proofErr w:type="spellStart"/>
            <w:r>
              <w:rPr>
                <w:sz w:val="20"/>
              </w:rPr>
              <w:t>proveedores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inventarios</w:t>
            </w:r>
            <w:proofErr w:type="spellEnd"/>
          </w:p>
        </w:tc>
        <w:tc>
          <w:tcPr>
            <w:tcW w:w="2800" w:type="dxa"/>
          </w:tcPr>
          <w:p w14:paraId="7E8DC7E9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Solicitud y orden de compra, factura del proveedor, entrada o salida de almacén y comprobante de pago.</w:t>
            </w:r>
          </w:p>
        </w:tc>
        <w:tc>
          <w:tcPr>
            <w:tcW w:w="3000" w:type="dxa"/>
          </w:tcPr>
          <w:p w14:paraId="203B39D2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Detalle del bien o servicio, cantidad, impuestos, condiciones de crédito y centro de costo.</w:t>
            </w:r>
          </w:p>
        </w:tc>
        <w:tc>
          <w:tcPr>
            <w:tcW w:w="1860" w:type="dxa"/>
          </w:tcPr>
          <w:p w14:paraId="1B25F0A7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Operaciones y Servicio al Cliente (P-008)</w:t>
            </w:r>
            <w:proofErr w:type="spellEnd"/>
            <w:proofErr w:type="spellStart"/>
            <w:proofErr w:type="spellEnd"/>
          </w:p>
        </w:tc>
      </w:tr>
      <w:tr w:rsidR="00003ED3" w14:paraId="7C285C21" w14:textId="77777777">
        <w:trPr>
          <w:jc w:val="center"/>
        </w:trPr>
        <w:tc>
          <w:tcPr>
            <w:tcW w:w="1700" w:type="dxa"/>
          </w:tcPr>
          <w:p w14:paraId="760E6B95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 xml:space="preserve">Ventas de </w:t>
            </w:r>
            <w:proofErr w:type="spellStart"/>
            <w:r>
              <w:rPr>
                <w:sz w:val="20"/>
              </w:rPr>
              <w:t>licencias</w:t>
            </w:r>
            <w:proofErr w:type="spellEnd"/>
          </w:p>
        </w:tc>
        <w:tc>
          <w:tcPr>
            <w:tcW w:w="2800" w:type="dxa"/>
          </w:tcPr>
          <w:p w14:paraId="22422A6B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Contrato o pedido, comprobante de entrega o publicación, factura y confirmación de la plataforma.</w:t>
            </w:r>
          </w:p>
        </w:tc>
        <w:tc>
          <w:tcPr>
            <w:tcW w:w="3000" w:type="dxa"/>
          </w:tcPr>
          <w:p w14:paraId="5F6204F0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Producto o derecho licenciado, período de la licencia y obligación de desempeño cumplida.</w:t>
            </w:r>
          </w:p>
        </w:tc>
        <w:tc>
          <w:tcPr>
            <w:tcW w:w="1860" w:type="dxa"/>
          </w:tcPr>
          <w:p w14:paraId="4E64629F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Comercial y Marketing (P-006)</w:t>
            </w:r>
            <w:proofErr w:type="spellEnd"/>
          </w:p>
        </w:tc>
      </w:tr>
      <w:tr w:rsidR="00003ED3" w14:paraId="255AF304" w14:textId="77777777">
        <w:trPr>
          <w:jc w:val="center"/>
        </w:trPr>
        <w:tc>
          <w:tcPr>
            <w:tcW w:w="1700" w:type="dxa"/>
          </w:tcPr>
          <w:p w14:paraId="33634D2F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Regalías</w:t>
            </w:r>
            <w:proofErr w:type="spellEnd"/>
          </w:p>
        </w:tc>
        <w:tc>
          <w:tcPr>
            <w:tcW w:w="2800" w:type="dxa"/>
          </w:tcPr>
          <w:p w14:paraId="0394CCD5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Contrato de licenciamiento, reporte de ventas del licenciatario, factura y estado de cuenta.</w:t>
            </w:r>
          </w:p>
        </w:tc>
        <w:tc>
          <w:tcPr>
            <w:tcW w:w="3000" w:type="dxa"/>
          </w:tcPr>
          <w:p w14:paraId="7E82C92A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Base de cálculo, porcentaje o cuota, deducciones y retenciones.</w:t>
            </w:r>
          </w:p>
        </w:tc>
        <w:tc>
          <w:tcPr>
            <w:tcW w:w="1860" w:type="dxa"/>
          </w:tcPr>
          <w:p w14:paraId="7A6C3C87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Comercial y Marketing (P-006)</w:t>
            </w:r>
            <w:proofErr w:type="spellEnd"/>
          </w:p>
        </w:tc>
      </w:tr>
      <w:tr w:rsidR="00003ED3" w14:paraId="628C34F5" w14:textId="77777777">
        <w:trPr>
          <w:jc w:val="center"/>
        </w:trPr>
        <w:tc>
          <w:tcPr>
            <w:tcW w:w="1700" w:type="dxa"/>
          </w:tcPr>
          <w:p w14:paraId="2D29B08E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 xml:space="preserve">Desarrollo por </w:t>
            </w:r>
            <w:proofErr w:type="spellStart"/>
            <w:r>
              <w:rPr>
                <w:sz w:val="20"/>
              </w:rPr>
              <w:t>encargo</w:t>
            </w:r>
            <w:proofErr w:type="spellEnd"/>
          </w:p>
        </w:tc>
        <w:tc>
          <w:tcPr>
            <w:tcW w:w="2800" w:type="dxa"/>
          </w:tcPr>
          <w:p w14:paraId="3366F1BB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Contrato de servicios, orden de cambio, acta de hito, informe de avance y factura.</w:t>
            </w:r>
          </w:p>
        </w:tc>
        <w:tc>
          <w:tcPr>
            <w:tcW w:w="3000" w:type="dxa"/>
          </w:tcPr>
          <w:p w14:paraId="0F546AFA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Hito, porcentaje de avance, entregable aceptado y plazo de cobro.</w:t>
            </w:r>
          </w:p>
        </w:tc>
        <w:tc>
          <w:tcPr>
            <w:tcW w:w="1860" w:type="dxa"/>
          </w:tcPr>
          <w:p w14:paraId="3498BCB5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Tecnología</w:t>
            </w:r>
            <w:proofErr w:type="spellEnd"/>
            <w:r>
              <w:rPr>
                <w:sz w:val="20"/>
              </w:rPr>
              <w:t xml:space="preserve"> y Desarrollo (P-004)</w:t>
            </w:r>
          </w:p>
        </w:tc>
      </w:tr>
      <w:tr w:rsidR="00003ED3" w14:paraId="38F5FD92" w14:textId="77777777">
        <w:trPr>
          <w:jc w:val="center"/>
        </w:trPr>
        <w:tc>
          <w:tcPr>
            <w:tcW w:w="1700" w:type="dxa"/>
          </w:tcPr>
          <w:p w14:paraId="37D8869A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Planillas</w:t>
            </w:r>
            <w:proofErr w:type="spellEnd"/>
            <w:r>
              <w:rPr>
                <w:sz w:val="20"/>
              </w:rPr>
              <w:t xml:space="preserve"> y personal</w:t>
            </w:r>
          </w:p>
        </w:tc>
        <w:tc>
          <w:tcPr>
            <w:tcW w:w="2800" w:type="dxa"/>
          </w:tcPr>
          <w:p w14:paraId="08B0957E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Planilla, reporte de asistencia, contrato laboral, liquidaciones y retenciones.</w:t>
            </w:r>
          </w:p>
        </w:tc>
        <w:tc>
          <w:tcPr>
            <w:tcW w:w="3000" w:type="dxa"/>
          </w:tcPr>
          <w:p w14:paraId="7963CA8D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Puesto, período, salario, deducciones y aportes patronales.</w:t>
            </w:r>
          </w:p>
        </w:tc>
        <w:tc>
          <w:tcPr>
            <w:tcW w:w="1860" w:type="dxa"/>
          </w:tcPr>
          <w:p w14:paraId="045E83E1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Talento Humano (P-007)</w:t>
            </w:r>
          </w:p>
        </w:tc>
      </w:tr>
      <w:tr w:rsidR="00003ED3" w14:paraId="325A31B9" w14:textId="77777777">
        <w:trPr>
          <w:jc w:val="center"/>
        </w:trPr>
        <w:tc>
          <w:tcPr>
            <w:tcW w:w="1700" w:type="dxa"/>
          </w:tcPr>
          <w:p w14:paraId="500D91AB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 xml:space="preserve">Costos de desarrollo </w:t>
            </w:r>
            <w:proofErr w:type="spellStart"/>
            <w:r>
              <w:rPr>
                <w:sz w:val="20"/>
              </w:rPr>
              <w:t>propios</w:t>
            </w:r>
            <w:proofErr w:type="spellEnd"/>
          </w:p>
        </w:tc>
        <w:tc>
          <w:tcPr>
            <w:tcW w:w="2800" w:type="dxa"/>
          </w:tcPr>
          <w:p w14:paraId="339A3FD6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Reporte de horas, orden de trabajo, licencias de motores y contratos de cesión de derechos.</w:t>
            </w:r>
          </w:p>
        </w:tc>
        <w:tc>
          <w:tcPr>
            <w:tcW w:w="3000" w:type="dxa"/>
          </w:tcPr>
          <w:p w14:paraId="3F8FD21A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Proyecto o título, fase, recurso consumido, fecha y responsable.</w:t>
            </w:r>
          </w:p>
        </w:tc>
        <w:tc>
          <w:tcPr>
            <w:tcW w:w="1860" w:type="dxa"/>
          </w:tcPr>
          <w:p w14:paraId="0B7C15BA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Tecnología</w:t>
            </w:r>
            <w:proofErr w:type="spellEnd"/>
            <w:r>
              <w:rPr>
                <w:sz w:val="20"/>
              </w:rPr>
              <w:t xml:space="preserve"> y Desarrollo (P-004)</w:t>
            </w:r>
          </w:p>
        </w:tc>
      </w:tr>
      <w:tr w:rsidR="00003ED3" w:rsidRPr="009436BB" w14:paraId="60DCDA03" w14:textId="77777777">
        <w:trPr>
          <w:jc w:val="center"/>
        </w:trPr>
        <w:tc>
          <w:tcPr>
            <w:tcW w:w="1700" w:type="dxa"/>
          </w:tcPr>
          <w:p w14:paraId="4932660A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Tesorería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bancos</w:t>
            </w:r>
            <w:proofErr w:type="spellEnd"/>
          </w:p>
        </w:tc>
        <w:tc>
          <w:tcPr>
            <w:tcW w:w="2800" w:type="dxa"/>
          </w:tcPr>
          <w:p w14:paraId="2D8173B0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Recibo, transferencia, estado de cuenta y conciliación bancaria.</w:t>
            </w:r>
          </w:p>
        </w:tc>
        <w:tc>
          <w:tcPr>
            <w:tcW w:w="3000" w:type="dxa"/>
          </w:tcPr>
          <w:p w14:paraId="5A3FE98C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Banco, cuenta, importe, fecha, beneficiario y referencia.</w:t>
            </w:r>
          </w:p>
        </w:tc>
        <w:tc>
          <w:tcPr>
            <w:tcW w:w="1860" w:type="dxa"/>
          </w:tcPr>
          <w:p w14:paraId="60EF8C0E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Auxiliar Contable y Tesorero (P-003)</w:t>
            </w:r>
          </w:p>
        </w:tc>
      </w:tr>
      <w:tr w:rsidR="00003ED3" w14:paraId="5EF24091" w14:textId="77777777">
        <w:trPr>
          <w:jc w:val="center"/>
        </w:trPr>
        <w:tc>
          <w:tcPr>
            <w:tcW w:w="1700" w:type="dxa"/>
          </w:tcPr>
          <w:p w14:paraId="13A498A2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lastRenderedPageBreak/>
              <w:t>Impuestos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cierre</w:t>
            </w:r>
            <w:proofErr w:type="spellEnd"/>
          </w:p>
        </w:tc>
        <w:tc>
          <w:tcPr>
            <w:tcW w:w="2800" w:type="dxa"/>
          </w:tcPr>
          <w:p w14:paraId="2C8035C7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Declaraciones, comprobantes de retención, libros de compras y ventas, listas de verificación y aprobaciones.</w:t>
            </w:r>
          </w:p>
        </w:tc>
        <w:tc>
          <w:tcPr>
            <w:tcW w:w="3000" w:type="dxa"/>
          </w:tcPr>
          <w:p w14:paraId="4D9BCC3D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Período, base imponible, impuesto, retenciones, partidas pendientes y descuadres.</w:t>
            </w:r>
          </w:p>
        </w:tc>
        <w:tc>
          <w:tcPr>
            <w:tcW w:w="1860" w:type="dxa"/>
          </w:tcPr>
          <w:p w14:paraId="6CF71BCC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Finanzas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Contabilidad</w:t>
            </w:r>
            <w:proofErr w:type="spellEnd"/>
            <w:r>
              <w:rPr>
                <w:sz w:val="20"/>
              </w:rPr>
              <w:t xml:space="preserve"> (P-002)</w:t>
            </w:r>
          </w:p>
        </w:tc>
      </w:tr>
    </w:tbl>
    <w:p w14:paraId="0EA3E467" w14:textId="77777777" w:rsidR="00003ED3" w:rsidRPr="00703AFF" w:rsidRDefault="00962C87">
      <w:pPr>
        <w:ind w:firstLine="720"/>
        <w:rPr>
          <w:lang w:val="es-SV"/>
        </w:rPr>
      </w:pPr>
      <w:r w:rsidRPr="00703AFF">
        <w:rPr>
          <w:lang w:val="es-SV"/>
        </w:rPr>
        <w:t>Los documentos se conservan de forma ordenada y accesible, con una política de retención alineada a los plazos legales aplicables. El sistema controla los accesos por perfil, cifra la información sensible en tránsito y en reposo, y registra en bitácora toda consulta, descarga o exportación (RNF-01, RNF-04, RNF-05 y RNF-20).</w:t>
      </w:r>
    </w:p>
    <w:p w14:paraId="407E0235" w14:textId="77777777" w:rsidR="00003ED3" w:rsidRPr="00703AFF" w:rsidRDefault="00962C87">
      <w:pPr>
        <w:rPr>
          <w:lang w:val="es-SV"/>
        </w:rPr>
      </w:pPr>
      <w:r w:rsidRPr="00703AFF">
        <w:rPr>
          <w:lang w:val="es-SV"/>
        </w:rPr>
        <w:br w:type="page"/>
      </w:r>
    </w:p>
    <w:p w14:paraId="3D278D56" w14:textId="77777777" w:rsidR="00003ED3" w:rsidRDefault="00962C87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11" w:name="_Toc241406179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Flujo de información contable</w:t>
      </w:r>
      <w:bookmarkEnd w:id="11"/>
    </w:p>
    <w:p w14:paraId="3165ED2A" w14:textId="77777777" w:rsidR="00003ED3" w:rsidRPr="00703AFF" w:rsidRDefault="00962C87">
      <w:pPr>
        <w:ind w:firstLine="720"/>
        <w:rPr>
          <w:lang w:val="es-SV"/>
        </w:rPr>
      </w:pPr>
      <w:r w:rsidRPr="00703AFF">
        <w:rPr>
          <w:lang w:val="es-SV"/>
        </w:rPr>
        <w:t>El flujo recorre cuatro momentos: la generación del hecho económico en la unidad que lo ejecuta; la captura del documento fuente; el registro y la validación del comprobante; y la consolidación en los libros, que alimentan los reportes, las conciliaciones, los cálculos de impuestos y el cierre. El flujo se ejecuta en un sentido único y se documenta en la bitácora del sistema, lo que permite reconstruir cómo se obtuvo cualquier saldo o reporte (RNF-07). Las interfases con las áreas operativas —planilla, horas por proyecto, contratos y almacén— se gestionan mediante formularios y cargas de datos, con exportación en formatos CSV, XLSX, XML, JSON y XBRL (RNF-15).</w:t>
      </w:r>
    </w:p>
    <w:p w14:paraId="2E4844B1" w14:textId="77777777" w:rsidR="00003ED3" w:rsidRPr="00703AFF" w:rsidRDefault="00962C87">
      <w:pPr>
        <w:keepNext/>
        <w:rPr>
          <w:lang w:val="es-SV"/>
        </w:rPr>
      </w:pPr>
      <w:r w:rsidRPr="00703AFF">
        <w:rPr>
          <w:b/>
          <w:lang w:val="es-SV"/>
        </w:rPr>
        <w:t>Tabla 3</w:t>
      </w:r>
    </w:p>
    <w:p w14:paraId="25800B60" w14:textId="77777777" w:rsidR="00003ED3" w:rsidRPr="00703AFF" w:rsidRDefault="00962C87">
      <w:pPr>
        <w:keepNext/>
        <w:rPr>
          <w:lang w:val="es-SV"/>
        </w:rPr>
      </w:pPr>
      <w:r w:rsidRPr="00703AFF">
        <w:rPr>
          <w:i/>
          <w:lang w:val="es-SV"/>
        </w:rPr>
        <w:t>Flujo de información por proceso: entrada, registro, salida y control clave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000"/>
        <w:gridCol w:w="2300"/>
        <w:gridCol w:w="1900"/>
        <w:gridCol w:w="1460"/>
      </w:tblGrid>
      <w:tr w:rsidR="00003ED3" w14:paraId="4BEA6DB0" w14:textId="77777777">
        <w:trPr>
          <w:jc w:val="center"/>
        </w:trPr>
        <w:tc>
          <w:tcPr>
            <w:tcW w:w="1700" w:type="dxa"/>
            <w:tcBorders>
              <w:bottom w:val="single" w:sz="8" w:space="0" w:color="000000"/>
            </w:tcBorders>
          </w:tcPr>
          <w:p w14:paraId="3C4129E2" w14:textId="77777777" w:rsidR="00003ED3" w:rsidRDefault="00962C87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Proceso</w:t>
            </w:r>
            <w:proofErr w:type="spellEnd"/>
          </w:p>
        </w:tc>
        <w:tc>
          <w:tcPr>
            <w:tcW w:w="2000" w:type="dxa"/>
            <w:tcBorders>
              <w:bottom w:val="single" w:sz="8" w:space="0" w:color="000000"/>
            </w:tcBorders>
          </w:tcPr>
          <w:p w14:paraId="2AF08BEF" w14:textId="77777777" w:rsidR="00003ED3" w:rsidRDefault="00962C87">
            <w:pPr>
              <w:spacing w:line="240" w:lineRule="auto"/>
              <w:jc w:val="center"/>
            </w:pPr>
            <w:r>
              <w:rPr>
                <w:b/>
                <w:sz w:val="20"/>
              </w:rPr>
              <w:t>Entrada</w:t>
            </w:r>
          </w:p>
        </w:tc>
        <w:tc>
          <w:tcPr>
            <w:tcW w:w="2300" w:type="dxa"/>
            <w:tcBorders>
              <w:bottom w:val="single" w:sz="8" w:space="0" w:color="000000"/>
            </w:tcBorders>
          </w:tcPr>
          <w:p w14:paraId="69351894" w14:textId="77777777" w:rsidR="00003ED3" w:rsidRDefault="00962C87">
            <w:pPr>
              <w:spacing w:line="240" w:lineRule="auto"/>
              <w:jc w:val="center"/>
            </w:pPr>
            <w:r>
              <w:rPr>
                <w:b/>
                <w:sz w:val="20"/>
              </w:rPr>
              <w:t xml:space="preserve">Registro </w:t>
            </w:r>
            <w:proofErr w:type="spellStart"/>
            <w:r>
              <w:rPr>
                <w:b/>
                <w:sz w:val="20"/>
              </w:rPr>
              <w:t>contable</w:t>
            </w:r>
            <w:proofErr w:type="spellEnd"/>
          </w:p>
        </w:tc>
        <w:tc>
          <w:tcPr>
            <w:tcW w:w="1900" w:type="dxa"/>
            <w:tcBorders>
              <w:bottom w:val="single" w:sz="8" w:space="0" w:color="000000"/>
            </w:tcBorders>
          </w:tcPr>
          <w:p w14:paraId="34FCCDEB" w14:textId="77777777" w:rsidR="00003ED3" w:rsidRDefault="00962C87">
            <w:pPr>
              <w:spacing w:line="240" w:lineRule="auto"/>
              <w:jc w:val="center"/>
            </w:pPr>
            <w:r>
              <w:rPr>
                <w:b/>
                <w:sz w:val="20"/>
              </w:rPr>
              <w:t>Salida</w:t>
            </w:r>
          </w:p>
        </w:tc>
        <w:tc>
          <w:tcPr>
            <w:tcW w:w="1460" w:type="dxa"/>
            <w:tcBorders>
              <w:bottom w:val="single" w:sz="8" w:space="0" w:color="000000"/>
            </w:tcBorders>
          </w:tcPr>
          <w:p w14:paraId="61747647" w14:textId="77777777" w:rsidR="00003ED3" w:rsidRDefault="00962C87">
            <w:pPr>
              <w:spacing w:line="240" w:lineRule="auto"/>
              <w:jc w:val="center"/>
            </w:pPr>
            <w:r>
              <w:rPr>
                <w:b/>
                <w:sz w:val="20"/>
              </w:rPr>
              <w:t>Control clave</w:t>
            </w:r>
          </w:p>
        </w:tc>
      </w:tr>
      <w:tr w:rsidR="00003ED3" w:rsidRPr="009436BB" w14:paraId="187520B3" w14:textId="77777777">
        <w:trPr>
          <w:jc w:val="center"/>
        </w:trPr>
        <w:tc>
          <w:tcPr>
            <w:tcW w:w="1700" w:type="dxa"/>
          </w:tcPr>
          <w:p w14:paraId="7B7EE85A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Compra de bienes, servicios y licencias</w:t>
            </w:r>
          </w:p>
        </w:tc>
        <w:tc>
          <w:tcPr>
            <w:tcW w:w="2000" w:type="dxa"/>
          </w:tcPr>
          <w:p w14:paraId="4EA4C8B8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Orden de compra y factura del proveedor.</w:t>
            </w:r>
          </w:p>
        </w:tc>
        <w:tc>
          <w:tcPr>
            <w:tcW w:w="2300" w:type="dxa"/>
          </w:tcPr>
          <w:p w14:paraId="22B516C8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Bienes o gastos contra proveedores o cuentas por pagar; IVA crédito.</w:t>
            </w:r>
          </w:p>
        </w:tc>
        <w:tc>
          <w:tcPr>
            <w:tcW w:w="1900" w:type="dxa"/>
          </w:tcPr>
          <w:p w14:paraId="1837CBA1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Comprobante de compra, pago y actualización del auxiliar.</w:t>
            </w:r>
          </w:p>
        </w:tc>
        <w:tc>
          <w:tcPr>
            <w:tcW w:w="1460" w:type="dxa"/>
          </w:tcPr>
          <w:p w14:paraId="2F8B9237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Validación de la orden, cotejo de tres elementos y aprobación por monto.</w:t>
            </w:r>
          </w:p>
        </w:tc>
      </w:tr>
      <w:tr w:rsidR="00003ED3" w:rsidRPr="009436BB" w14:paraId="6EA0B36F" w14:textId="77777777">
        <w:trPr>
          <w:jc w:val="center"/>
        </w:trPr>
        <w:tc>
          <w:tcPr>
            <w:tcW w:w="1700" w:type="dxa"/>
          </w:tcPr>
          <w:p w14:paraId="607428E6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Venta de licencias y regalías</w:t>
            </w:r>
          </w:p>
        </w:tc>
        <w:tc>
          <w:tcPr>
            <w:tcW w:w="2000" w:type="dxa"/>
          </w:tcPr>
          <w:p w14:paraId="6351F065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Contrato, confirmación de plataforma o reporte de ventas.</w:t>
            </w:r>
          </w:p>
        </w:tc>
        <w:tc>
          <w:tcPr>
            <w:tcW w:w="2300" w:type="dxa"/>
          </w:tcPr>
          <w:p w14:paraId="598041A9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Cuentas por cobrar o bancos contra ingresos por licencias o regalías; IVA débito.</w:t>
            </w:r>
          </w:p>
        </w:tc>
        <w:tc>
          <w:tcPr>
            <w:tcW w:w="1900" w:type="dxa"/>
          </w:tcPr>
          <w:p w14:paraId="2863CA9C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Factura, estado de cuenta y reporte de ingresos por línea.</w:t>
            </w:r>
          </w:p>
        </w:tc>
        <w:tc>
          <w:tcPr>
            <w:tcW w:w="1460" w:type="dxa"/>
          </w:tcPr>
          <w:p w14:paraId="176090D3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Verificación de la condición de reconocimiento y del período.</w:t>
            </w:r>
          </w:p>
        </w:tc>
      </w:tr>
      <w:tr w:rsidR="00003ED3" w:rsidRPr="009436BB" w14:paraId="1ABCE885" w14:textId="77777777">
        <w:trPr>
          <w:jc w:val="center"/>
        </w:trPr>
        <w:tc>
          <w:tcPr>
            <w:tcW w:w="1700" w:type="dxa"/>
          </w:tcPr>
          <w:p w14:paraId="26109FCA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 xml:space="preserve">Desarrollo por </w:t>
            </w:r>
            <w:proofErr w:type="spellStart"/>
            <w:r>
              <w:rPr>
                <w:sz w:val="20"/>
              </w:rPr>
              <w:t>encargo</w:t>
            </w:r>
            <w:proofErr w:type="spellEnd"/>
          </w:p>
        </w:tc>
        <w:tc>
          <w:tcPr>
            <w:tcW w:w="2000" w:type="dxa"/>
          </w:tcPr>
          <w:p w14:paraId="66CEC29A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Acta de hito e informe de avance.</w:t>
            </w:r>
          </w:p>
        </w:tc>
        <w:tc>
          <w:tcPr>
            <w:tcW w:w="2300" w:type="dxa"/>
          </w:tcPr>
          <w:p w14:paraId="250C6CF5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Cuentas por cobrar contra ingresos por servicios, según el grado de avance.</w:t>
            </w:r>
          </w:p>
        </w:tc>
        <w:tc>
          <w:tcPr>
            <w:tcW w:w="1900" w:type="dxa"/>
          </w:tcPr>
          <w:p w14:paraId="68BCB2C4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Factura por hito y estado de cuentas por cobrar por contrato.</w:t>
            </w:r>
          </w:p>
        </w:tc>
        <w:tc>
          <w:tcPr>
            <w:tcW w:w="1460" w:type="dxa"/>
          </w:tcPr>
          <w:p w14:paraId="2A22F926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Conciliación entre avance físico, avance facturado y costo acumulado.</w:t>
            </w:r>
          </w:p>
        </w:tc>
      </w:tr>
      <w:tr w:rsidR="00003ED3" w:rsidRPr="009436BB" w14:paraId="5A6D769F" w14:textId="77777777">
        <w:trPr>
          <w:jc w:val="center"/>
        </w:trPr>
        <w:tc>
          <w:tcPr>
            <w:tcW w:w="1700" w:type="dxa"/>
          </w:tcPr>
          <w:p w14:paraId="5C30F541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Planillas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beneficios</w:t>
            </w:r>
            <w:proofErr w:type="spellEnd"/>
          </w:p>
        </w:tc>
        <w:tc>
          <w:tcPr>
            <w:tcW w:w="2000" w:type="dxa"/>
          </w:tcPr>
          <w:p w14:paraId="5D3DAEA1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Planilla y reporte de asistencia.</w:t>
            </w:r>
          </w:p>
        </w:tc>
        <w:tc>
          <w:tcPr>
            <w:tcW w:w="2300" w:type="dxa"/>
          </w:tcPr>
          <w:p w14:paraId="22614589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Costo de desarrollo o gastos de personal contra cuentas por pagar y retenciones.</w:t>
            </w:r>
          </w:p>
        </w:tc>
        <w:tc>
          <w:tcPr>
            <w:tcW w:w="1900" w:type="dxa"/>
          </w:tcPr>
          <w:p w14:paraId="08B55398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Comprobante de nómina, retenciones practicadas y costo por proyecto.</w:t>
            </w:r>
          </w:p>
        </w:tc>
        <w:tc>
          <w:tcPr>
            <w:tcW w:w="1460" w:type="dxa"/>
          </w:tcPr>
          <w:p w14:paraId="2F5491E3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Validación de la planilla contra la asistencia y cálculo de retenciones.</w:t>
            </w:r>
          </w:p>
        </w:tc>
      </w:tr>
      <w:tr w:rsidR="00003ED3" w:rsidRPr="009436BB" w14:paraId="56DBD83B" w14:textId="77777777">
        <w:trPr>
          <w:jc w:val="center"/>
        </w:trPr>
        <w:tc>
          <w:tcPr>
            <w:tcW w:w="1700" w:type="dxa"/>
          </w:tcPr>
          <w:p w14:paraId="346CA4B4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 xml:space="preserve">Cierre del </w:t>
            </w:r>
            <w:proofErr w:type="spellStart"/>
            <w:r>
              <w:rPr>
                <w:sz w:val="20"/>
              </w:rPr>
              <w:t>período</w:t>
            </w:r>
            <w:proofErr w:type="spellEnd"/>
          </w:p>
        </w:tc>
        <w:tc>
          <w:tcPr>
            <w:tcW w:w="2000" w:type="dxa"/>
          </w:tcPr>
          <w:p w14:paraId="46F7594B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Listas de verificación, conciliaciones y ajustes propuestos.</w:t>
            </w:r>
          </w:p>
        </w:tc>
        <w:tc>
          <w:tcPr>
            <w:tcW w:w="2300" w:type="dxa"/>
          </w:tcPr>
          <w:p w14:paraId="1A296C2A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Asientos de ajuste, amortización, depreciación e impuestos.</w:t>
            </w:r>
          </w:p>
        </w:tc>
        <w:tc>
          <w:tcPr>
            <w:tcW w:w="1900" w:type="dxa"/>
          </w:tcPr>
          <w:p w14:paraId="42273989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Balanza de comprobación, estados financieros y paquete de cierre.</w:t>
            </w:r>
          </w:p>
        </w:tc>
        <w:tc>
          <w:tcPr>
            <w:tcW w:w="1460" w:type="dxa"/>
          </w:tcPr>
          <w:p w14:paraId="75D71209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Bloqueo del período y registro de las aprobaciones del cierre.</w:t>
            </w:r>
          </w:p>
        </w:tc>
      </w:tr>
    </w:tbl>
    <w:p w14:paraId="4B033E1A" w14:textId="77777777" w:rsidR="00003ED3" w:rsidRPr="00703AFF" w:rsidRDefault="00962C87">
      <w:pPr>
        <w:ind w:firstLine="720"/>
        <w:rPr>
          <w:lang w:val="es-SV"/>
        </w:rPr>
      </w:pPr>
      <w:r w:rsidRPr="00703AFF">
        <w:rPr>
          <w:lang w:val="es-SV"/>
        </w:rPr>
        <w:lastRenderedPageBreak/>
        <w:t>Los controles mínimos del ciclo se definieron alineados con la segregación de funciones exigida por los requerimientos no funcionales: quien registra no aprueba, quien aprueba no paga, y quien modifica maestros o ejecuta el cierre no opera las cuentas correspondientes.</w:t>
      </w:r>
    </w:p>
    <w:p w14:paraId="56725026" w14:textId="77777777" w:rsidR="00003ED3" w:rsidRPr="00703AFF" w:rsidRDefault="00962C87">
      <w:pPr>
        <w:keepNext/>
        <w:rPr>
          <w:lang w:val="es-SV"/>
        </w:rPr>
      </w:pPr>
      <w:r w:rsidRPr="00703AFF">
        <w:rPr>
          <w:b/>
          <w:lang w:val="es-SV"/>
        </w:rPr>
        <w:t>Tabla 4</w:t>
      </w:r>
    </w:p>
    <w:p w14:paraId="7A79A070" w14:textId="77777777" w:rsidR="00003ED3" w:rsidRPr="00703AFF" w:rsidRDefault="00962C87">
      <w:pPr>
        <w:keepNext/>
        <w:rPr>
          <w:lang w:val="es-SV"/>
        </w:rPr>
      </w:pPr>
      <w:r w:rsidRPr="00703AFF">
        <w:rPr>
          <w:i/>
          <w:lang w:val="es-SV"/>
        </w:rPr>
        <w:t>Puntos de control y segregación de funciones por actividad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003ED3" w14:paraId="4F1E6ECD" w14:textId="77777777">
        <w:trPr>
          <w:jc w:val="center"/>
        </w:trPr>
        <w:tc>
          <w:tcPr>
            <w:tcW w:w="1900" w:type="dxa"/>
            <w:tcBorders>
              <w:bottom w:val="single" w:sz="8" w:space="0" w:color="000000"/>
            </w:tcBorders>
          </w:tcPr>
          <w:p w14:paraId="270CD257" w14:textId="77777777" w:rsidR="00003ED3" w:rsidRDefault="00962C87">
            <w:pPr>
              <w:spacing w:line="240" w:lineRule="auto"/>
              <w:jc w:val="center"/>
            </w:pPr>
            <w:r>
              <w:rPr>
                <w:b/>
                <w:sz w:val="20"/>
              </w:rPr>
              <w:t>Actividad</w:t>
            </w:r>
          </w:p>
        </w:tc>
        <w:tc>
          <w:tcPr>
            <w:tcW w:w="3000" w:type="dxa"/>
            <w:tcBorders>
              <w:bottom w:val="single" w:sz="8" w:space="0" w:color="000000"/>
            </w:tcBorders>
          </w:tcPr>
          <w:p w14:paraId="31EE0B94" w14:textId="77777777" w:rsidR="00003ED3" w:rsidRPr="00703AFF" w:rsidRDefault="00962C87">
            <w:pPr>
              <w:spacing w:line="240" w:lineRule="auto"/>
              <w:jc w:val="center"/>
              <w:rPr>
                <w:lang w:val="es-SV"/>
              </w:rPr>
            </w:pPr>
            <w:r w:rsidRPr="00703AFF">
              <w:rPr>
                <w:b/>
                <w:sz w:val="20"/>
                <w:lang w:val="es-SV"/>
              </w:rPr>
              <w:t>Perfiles que no deben combinarse</w:t>
            </w:r>
          </w:p>
        </w:tc>
        <w:tc>
          <w:tcPr>
            <w:tcW w:w="4460" w:type="dxa"/>
            <w:tcBorders>
              <w:bottom w:val="single" w:sz="8" w:space="0" w:color="000000"/>
            </w:tcBorders>
          </w:tcPr>
          <w:p w14:paraId="143EFA8B" w14:textId="77777777" w:rsidR="00003ED3" w:rsidRDefault="00962C87">
            <w:pPr>
              <w:spacing w:line="240" w:lineRule="auto"/>
              <w:jc w:val="center"/>
            </w:pPr>
            <w:r>
              <w:rPr>
                <w:b/>
                <w:sz w:val="20"/>
              </w:rPr>
              <w:t xml:space="preserve">Control </w:t>
            </w:r>
            <w:proofErr w:type="spellStart"/>
            <w:r>
              <w:rPr>
                <w:b/>
                <w:sz w:val="20"/>
              </w:rPr>
              <w:t>aplicado</w:t>
            </w:r>
            <w:proofErr w:type="spellEnd"/>
          </w:p>
        </w:tc>
      </w:tr>
      <w:tr w:rsidR="00003ED3" w:rsidRPr="009436BB" w14:paraId="3498D291" w14:textId="77777777">
        <w:trPr>
          <w:jc w:val="center"/>
        </w:trPr>
        <w:tc>
          <w:tcPr>
            <w:tcW w:w="1900" w:type="dxa"/>
          </w:tcPr>
          <w:p w14:paraId="5D8D932D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 xml:space="preserve">Registro de </w:t>
            </w:r>
            <w:proofErr w:type="spellStart"/>
            <w:r>
              <w:rPr>
                <w:sz w:val="20"/>
              </w:rPr>
              <w:t>transacciones</w:t>
            </w:r>
            <w:proofErr w:type="spellEnd"/>
          </w:p>
        </w:tc>
        <w:tc>
          <w:tcPr>
            <w:tcW w:w="3000" w:type="dxa"/>
          </w:tcPr>
          <w:p w14:paraId="1B5403FC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Registro, aprobación y pago en la misma persona.</w:t>
            </w:r>
          </w:p>
        </w:tc>
        <w:tc>
          <w:tcPr>
            <w:tcW w:w="4460" w:type="dxa"/>
          </w:tcPr>
          <w:p w14:paraId="01299DD6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Perfiles separados con permisos por cuenta, entidad y operación (RNF-01, RNF-02).</w:t>
            </w:r>
          </w:p>
        </w:tc>
      </w:tr>
      <w:tr w:rsidR="00003ED3" w:rsidRPr="009436BB" w14:paraId="4EB7EBF8" w14:textId="77777777">
        <w:trPr>
          <w:jc w:val="center"/>
        </w:trPr>
        <w:tc>
          <w:tcPr>
            <w:tcW w:w="1900" w:type="dxa"/>
          </w:tcPr>
          <w:p w14:paraId="65D2C484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Aprobación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operaciones</w:t>
            </w:r>
            <w:proofErr w:type="spellEnd"/>
          </w:p>
        </w:tc>
        <w:tc>
          <w:tcPr>
            <w:tcW w:w="3000" w:type="dxa"/>
          </w:tcPr>
          <w:p w14:paraId="61C9D800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Aprobación por el mismo usuario que capturó la operación.</w:t>
            </w:r>
          </w:p>
        </w:tc>
        <w:tc>
          <w:tcPr>
            <w:tcW w:w="4460" w:type="dxa"/>
          </w:tcPr>
          <w:p w14:paraId="17706AA5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Matriz de umbrales con doble aprobación para operaciones de riesgo alto (RF-11).</w:t>
            </w:r>
          </w:p>
        </w:tc>
      </w:tr>
      <w:tr w:rsidR="00003ED3" w:rsidRPr="009436BB" w14:paraId="5FCC2A8B" w14:textId="77777777">
        <w:trPr>
          <w:jc w:val="center"/>
        </w:trPr>
        <w:tc>
          <w:tcPr>
            <w:tcW w:w="1900" w:type="dxa"/>
          </w:tcPr>
          <w:p w14:paraId="00E4737F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Modificación</w:t>
            </w:r>
            <w:proofErr w:type="spellEnd"/>
            <w:r>
              <w:rPr>
                <w:sz w:val="20"/>
              </w:rPr>
              <w:t xml:space="preserve"> de maestros</w:t>
            </w:r>
          </w:p>
        </w:tc>
        <w:tc>
          <w:tcPr>
            <w:tcW w:w="3000" w:type="dxa"/>
          </w:tcPr>
          <w:p w14:paraId="572F7FEA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Edición del plan de cuentas, de tasas o de políticas por el operador de captura.</w:t>
            </w:r>
          </w:p>
        </w:tc>
        <w:tc>
          <w:tcPr>
            <w:tcW w:w="4460" w:type="dxa"/>
          </w:tcPr>
          <w:p w14:paraId="544B175D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Perfil administrativo independiente, con bitácora de cambios (RF-32).</w:t>
            </w:r>
          </w:p>
        </w:tc>
      </w:tr>
      <w:tr w:rsidR="00003ED3" w:rsidRPr="009436BB" w14:paraId="685D0B79" w14:textId="77777777">
        <w:trPr>
          <w:jc w:val="center"/>
        </w:trPr>
        <w:tc>
          <w:tcPr>
            <w:tcW w:w="1900" w:type="dxa"/>
          </w:tcPr>
          <w:p w14:paraId="3688F595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 xml:space="preserve">Cierre de </w:t>
            </w:r>
            <w:proofErr w:type="spellStart"/>
            <w:r>
              <w:rPr>
                <w:sz w:val="20"/>
              </w:rPr>
              <w:t>período</w:t>
            </w:r>
            <w:proofErr w:type="spellEnd"/>
          </w:p>
        </w:tc>
        <w:tc>
          <w:tcPr>
            <w:tcW w:w="3000" w:type="dxa"/>
          </w:tcPr>
          <w:p w14:paraId="3F421BDD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Cierre y registro de ajustes en el mismo período sin control.</w:t>
            </w:r>
          </w:p>
        </w:tc>
        <w:tc>
          <w:tcPr>
            <w:tcW w:w="4460" w:type="dxa"/>
          </w:tcPr>
          <w:p w14:paraId="6633B2BE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Lista de verificación, bloqueos, autorizaciones y registro de impacto en la reapertura (RF-15, RF-16).</w:t>
            </w:r>
          </w:p>
        </w:tc>
      </w:tr>
      <w:tr w:rsidR="00003ED3" w:rsidRPr="009436BB" w14:paraId="0C9FB715" w14:textId="77777777">
        <w:trPr>
          <w:jc w:val="center"/>
        </w:trPr>
        <w:tc>
          <w:tcPr>
            <w:tcW w:w="1900" w:type="dxa"/>
          </w:tcPr>
          <w:p w14:paraId="548E02BD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Acceso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información</w:t>
            </w:r>
            <w:proofErr w:type="spellEnd"/>
            <w:r>
              <w:rPr>
                <w:sz w:val="20"/>
              </w:rPr>
              <w:t xml:space="preserve"> sensible</w:t>
            </w:r>
          </w:p>
        </w:tc>
        <w:tc>
          <w:tcPr>
            <w:tcW w:w="3000" w:type="dxa"/>
          </w:tcPr>
          <w:p w14:paraId="670BE812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Acceso de los operadores a bitácoras y reportes de auditoría.</w:t>
            </w:r>
          </w:p>
        </w:tc>
        <w:tc>
          <w:tcPr>
            <w:tcW w:w="4460" w:type="dxa"/>
          </w:tcPr>
          <w:p w14:paraId="4ED2EB75" w14:textId="77777777" w:rsidR="00003ED3" w:rsidRPr="00703AFF" w:rsidRDefault="00962C87">
            <w:pPr>
              <w:spacing w:line="240" w:lineRule="auto"/>
              <w:rPr>
                <w:lang w:val="es-SV"/>
              </w:rPr>
            </w:pPr>
            <w:r w:rsidRPr="00703AFF">
              <w:rPr>
                <w:sz w:val="20"/>
                <w:lang w:val="es-SV"/>
              </w:rPr>
              <w:t>Bitácora inmutable, control de sesiones y registro de exportaciones (RNF-05, RNF-06).</w:t>
            </w:r>
          </w:p>
        </w:tc>
      </w:tr>
    </w:tbl>
    <w:p w14:paraId="663F505B" w14:textId="77777777" w:rsidR="00003ED3" w:rsidRPr="00703AFF" w:rsidRDefault="00962C87">
      <w:pPr>
        <w:rPr>
          <w:lang w:val="es-SV"/>
        </w:rPr>
      </w:pPr>
      <w:r w:rsidRPr="00703AFF">
        <w:rPr>
          <w:lang w:val="es-SV"/>
        </w:rPr>
        <w:br w:type="page"/>
      </w:r>
    </w:p>
    <w:p w14:paraId="25FAA7F3" w14:textId="77777777" w:rsidR="00003ED3" w:rsidRDefault="00962C87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12" w:name="_Toc241406180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Trazabilidad, auditoría y reportes</w:t>
      </w:r>
      <w:bookmarkEnd w:id="12"/>
    </w:p>
    <w:p w14:paraId="1C09D68B" w14:textId="77777777" w:rsidR="00003ED3" w:rsidRPr="00703AFF" w:rsidRDefault="00962C87">
      <w:pPr>
        <w:ind w:firstLine="720"/>
        <w:rPr>
          <w:lang w:val="es-SV"/>
        </w:rPr>
      </w:pPr>
      <w:r w:rsidRPr="00703AFF">
        <w:rPr>
          <w:lang w:val="es-SV"/>
        </w:rPr>
        <w:t xml:space="preserve">El sistema permite navegar desde una cifra reportada hasta el saldo contable, el comprobante, el documento fuente, el usuario que la capturó y la regla normativa aplicada (RF-31). La bitácora registra la creación, aprobación, modificación, reversa, eliminación lógica, exportación y acceso a información sensible, y no puede ser alterada por los usuarios operativos (RF-32 y RNF-06). Las conciliaciones de bancos, cuentas por cobrar, cuentas por pagar, inventarios, activos, impuestos e </w:t>
      </w:r>
      <w:proofErr w:type="spellStart"/>
      <w:r w:rsidRPr="00703AFF">
        <w:rPr>
          <w:lang w:val="es-SV"/>
        </w:rPr>
        <w:t>intercompañías</w:t>
      </w:r>
      <w:proofErr w:type="spellEnd"/>
      <w:r w:rsidRPr="00703AFF">
        <w:rPr>
          <w:lang w:val="es-SV"/>
        </w:rPr>
        <w:t xml:space="preserve"> se ejecutan con la periodicidad definida y se incorporan al paquete de cierre (RF-33 y RF-34). Los estados y las notas se exportan en formatos XBRL e </w:t>
      </w:r>
      <w:proofErr w:type="spellStart"/>
      <w:r w:rsidRPr="00703AFF">
        <w:rPr>
          <w:lang w:val="es-SV"/>
        </w:rPr>
        <w:t>iXBRL</w:t>
      </w:r>
      <w:proofErr w:type="spellEnd"/>
      <w:r w:rsidRPr="00703AFF">
        <w:rPr>
          <w:lang w:val="es-SV"/>
        </w:rPr>
        <w:t xml:space="preserve"> con etiquetas, unidades, períodos y dimensiones, validados contra la taxonomía IFRS correspondiente (RF-35).</w:t>
      </w:r>
    </w:p>
    <w:p w14:paraId="40784DFD" w14:textId="77777777" w:rsidR="00003ED3" w:rsidRPr="00703AFF" w:rsidRDefault="00962C87">
      <w:pPr>
        <w:rPr>
          <w:lang w:val="es-SV"/>
        </w:rPr>
      </w:pPr>
      <w:r w:rsidRPr="00703AFF">
        <w:rPr>
          <w:lang w:val="es-SV"/>
        </w:rPr>
        <w:br w:type="page"/>
      </w:r>
    </w:p>
    <w:p w14:paraId="6254C54A" w14:textId="77777777" w:rsidR="00003ED3" w:rsidRDefault="00962C87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13" w:name="_Toc241406181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Conclusión</w:t>
      </w:r>
      <w:bookmarkEnd w:id="13"/>
    </w:p>
    <w:p w14:paraId="692194AD" w14:textId="77777777" w:rsidR="00003ED3" w:rsidRPr="00703AFF" w:rsidRDefault="00962C87">
      <w:pPr>
        <w:ind w:firstLine="720"/>
        <w:rPr>
          <w:lang w:val="es-SV"/>
        </w:rPr>
      </w:pPr>
      <w:r w:rsidRPr="00703AFF">
        <w:rPr>
          <w:lang w:val="es-SV"/>
        </w:rPr>
        <w:t xml:space="preserve">El diseño contable establecido define quince políticas con su base normativa y su materialización en el sistema, nueve procesos documentales con su contenido mínimo y su custodia, y el flujo de información con sus puntos de control y su segregación de funciones. En conjunto, la especificación garantiza que la operación de </w:t>
      </w:r>
      <w:proofErr w:type="spellStart"/>
      <w:r w:rsidRPr="00703AFF">
        <w:rPr>
          <w:lang w:val="es-SV"/>
        </w:rPr>
        <w:t>SunGames</w:t>
      </w:r>
      <w:proofErr w:type="spellEnd"/>
      <w:r w:rsidRPr="00703AFF">
        <w:rPr>
          <w:lang w:val="es-SV"/>
        </w:rPr>
        <w:t xml:space="preserve"> se registre una sola vez, con la valoración normativa correspondiente, con respaldo documental verificable y con la trazabilidad exigida por la normativa comercial, tributaria y de auditoría. Este diseño es la base sobre la que se construye el aplicativo y sobre la que opera la contabilidad de costos que se documenta en el documento complementario de esta entrega.</w:t>
      </w:r>
    </w:p>
    <w:p w14:paraId="4851A729" w14:textId="77777777" w:rsidR="00003ED3" w:rsidRPr="00703AFF" w:rsidRDefault="00962C87">
      <w:pPr>
        <w:keepNext/>
        <w:rPr>
          <w:lang w:val="es-SV"/>
        </w:rPr>
      </w:pPr>
      <w:r w:rsidRPr="00703AFF">
        <w:rPr>
          <w:b/>
          <w:lang w:val="es-SV"/>
        </w:rPr>
        <w:t>Tabla 5</w:t>
      </w:r>
    </w:p>
    <w:p w14:paraId="7F86A276" w14:textId="77777777" w:rsidR="00003ED3" w:rsidRPr="00703AFF" w:rsidRDefault="00962C87">
      <w:pPr>
        <w:keepNext/>
        <w:rPr>
          <w:lang w:val="es-SV"/>
        </w:rPr>
      </w:pPr>
      <w:r w:rsidRPr="00703AFF">
        <w:rPr>
          <w:i/>
          <w:lang w:val="es-SV"/>
        </w:rPr>
        <w:t>Aprobación y firmas del documento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3119"/>
        <w:gridCol w:w="3122"/>
      </w:tblGrid>
      <w:tr w:rsidR="00003ED3" w14:paraId="0C673428" w14:textId="77777777">
        <w:trPr>
          <w:jc w:val="center"/>
        </w:trPr>
        <w:tc>
          <w:tcPr>
            <w:tcW w:w="3119" w:type="dxa"/>
            <w:tcBorders>
              <w:bottom w:val="single" w:sz="8" w:space="0" w:color="000000"/>
            </w:tcBorders>
          </w:tcPr>
          <w:p w14:paraId="6B138F83" w14:textId="77777777" w:rsidR="00003ED3" w:rsidRDefault="00962C87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Elaborado</w:t>
            </w:r>
            <w:proofErr w:type="spellEnd"/>
            <w:r>
              <w:rPr>
                <w:b/>
                <w:sz w:val="20"/>
              </w:rPr>
              <w:t xml:space="preserve"> por</w:t>
            </w:r>
          </w:p>
        </w:tc>
        <w:tc>
          <w:tcPr>
            <w:tcW w:w="3119" w:type="dxa"/>
            <w:tcBorders>
              <w:bottom w:val="single" w:sz="8" w:space="0" w:color="000000"/>
            </w:tcBorders>
          </w:tcPr>
          <w:p w14:paraId="68757E29" w14:textId="77777777" w:rsidR="00003ED3" w:rsidRDefault="00962C87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Revisado</w:t>
            </w:r>
            <w:proofErr w:type="spellEnd"/>
            <w:r>
              <w:rPr>
                <w:b/>
                <w:sz w:val="20"/>
              </w:rPr>
              <w:t xml:space="preserve"> por</w:t>
            </w:r>
          </w:p>
        </w:tc>
        <w:tc>
          <w:tcPr>
            <w:tcW w:w="3122" w:type="dxa"/>
            <w:tcBorders>
              <w:bottom w:val="single" w:sz="8" w:space="0" w:color="000000"/>
            </w:tcBorders>
          </w:tcPr>
          <w:p w14:paraId="7E75E88C" w14:textId="77777777" w:rsidR="00003ED3" w:rsidRDefault="00962C87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Aprobado</w:t>
            </w:r>
            <w:proofErr w:type="spellEnd"/>
            <w:r>
              <w:rPr>
                <w:b/>
                <w:sz w:val="20"/>
              </w:rPr>
              <w:t xml:space="preserve"> por (Junta </w:t>
            </w:r>
            <w:proofErr w:type="spellStart"/>
            <w:r>
              <w:rPr>
                <w:b/>
                <w:sz w:val="20"/>
              </w:rPr>
              <w:t>Directiva</w:t>
            </w:r>
            <w:proofErr w:type="spellEnd"/>
            <w:r>
              <w:rPr>
                <w:b/>
                <w:sz w:val="20"/>
              </w:rPr>
              <w:t>)</w:t>
            </w:r>
          </w:p>
        </w:tc>
      </w:tr>
      <w:tr w:rsidR="00003ED3" w14:paraId="0F9BD426" w14:textId="77777777">
        <w:trPr>
          <w:jc w:val="center"/>
        </w:trPr>
        <w:tc>
          <w:tcPr>
            <w:tcW w:w="3119" w:type="dxa"/>
          </w:tcPr>
          <w:p w14:paraId="6E488838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Nombre: [____________]</w:t>
            </w:r>
          </w:p>
        </w:tc>
        <w:tc>
          <w:tcPr>
            <w:tcW w:w="3119" w:type="dxa"/>
          </w:tcPr>
          <w:p w14:paraId="6F9EB431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Nombre: [____________]</w:t>
            </w:r>
          </w:p>
        </w:tc>
        <w:tc>
          <w:tcPr>
            <w:tcW w:w="3122" w:type="dxa"/>
          </w:tcPr>
          <w:p w14:paraId="3673B2B7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Nombre: [____________]</w:t>
            </w:r>
          </w:p>
        </w:tc>
      </w:tr>
      <w:tr w:rsidR="00003ED3" w14:paraId="43582CE7" w14:textId="77777777">
        <w:trPr>
          <w:jc w:val="center"/>
        </w:trPr>
        <w:tc>
          <w:tcPr>
            <w:tcW w:w="3119" w:type="dxa"/>
          </w:tcPr>
          <w:p w14:paraId="68267C16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Cargo: [____________]</w:t>
            </w:r>
          </w:p>
        </w:tc>
        <w:tc>
          <w:tcPr>
            <w:tcW w:w="3119" w:type="dxa"/>
          </w:tcPr>
          <w:p w14:paraId="2773405E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Cargo: [____________]</w:t>
            </w:r>
          </w:p>
        </w:tc>
        <w:tc>
          <w:tcPr>
            <w:tcW w:w="3122" w:type="dxa"/>
          </w:tcPr>
          <w:p w14:paraId="0B7930F7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Cargo: [____________]</w:t>
            </w:r>
          </w:p>
        </w:tc>
      </w:tr>
    </w:tbl>
    <w:p w14:paraId="28BF6419" w14:textId="77777777" w:rsidR="00003ED3" w:rsidRDefault="00962C87">
      <w:r>
        <w:br w:type="page"/>
      </w:r>
    </w:p>
    <w:p w14:paraId="516FE62D" w14:textId="77777777" w:rsidR="00003ED3" w:rsidRDefault="00962C87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14" w:name="_Toc241406182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Referencias</w:t>
      </w:r>
      <w:bookmarkEnd w:id="14"/>
    </w:p>
    <w:p w14:paraId="4CDE370C" w14:textId="77777777" w:rsidR="00003ED3" w:rsidRPr="00703AFF" w:rsidRDefault="00962C87">
      <w:pPr>
        <w:ind w:left="720" w:hanging="720"/>
        <w:rPr>
          <w:lang w:val="es-SV"/>
        </w:rPr>
      </w:pPr>
      <w:r w:rsidRPr="00703AFF">
        <w:rPr>
          <w:lang w:val="es-SV"/>
        </w:rPr>
        <w:t xml:space="preserve">Asamblea Legislativa de la República de El Salvador. (1970). </w:t>
      </w:r>
      <w:r w:rsidRPr="00703AFF">
        <w:rPr>
          <w:i/>
          <w:lang w:val="es-SV"/>
        </w:rPr>
        <w:t>Código de comercio de la República de El Salvador</w:t>
      </w:r>
      <w:r w:rsidRPr="00703AFF">
        <w:rPr>
          <w:lang w:val="es-SV"/>
        </w:rPr>
        <w:t xml:space="preserve"> (Decreto Legislativo </w:t>
      </w:r>
      <w:proofErr w:type="spellStart"/>
      <w:r w:rsidRPr="00703AFF">
        <w:rPr>
          <w:lang w:val="es-SV"/>
        </w:rPr>
        <w:t>n.°</w:t>
      </w:r>
      <w:proofErr w:type="spellEnd"/>
      <w:r w:rsidRPr="00703AFF">
        <w:rPr>
          <w:lang w:val="es-SV"/>
        </w:rPr>
        <w:t xml:space="preserve"> 671 del 8 de mayo de 1970; Diario Oficial </w:t>
      </w:r>
      <w:proofErr w:type="spellStart"/>
      <w:r w:rsidRPr="00703AFF">
        <w:rPr>
          <w:lang w:val="es-SV"/>
        </w:rPr>
        <w:t>n.°</w:t>
      </w:r>
      <w:proofErr w:type="spellEnd"/>
      <w:r w:rsidRPr="00703AFF">
        <w:rPr>
          <w:lang w:val="es-SV"/>
        </w:rPr>
        <w:t xml:space="preserve"> 140, Tomo 228, del 31 de julio de 1970).</w:t>
      </w:r>
    </w:p>
    <w:p w14:paraId="03F29404" w14:textId="77777777" w:rsidR="00003ED3" w:rsidRPr="00703AFF" w:rsidRDefault="00962C87">
      <w:pPr>
        <w:ind w:left="720" w:hanging="720"/>
        <w:rPr>
          <w:lang w:val="es-SV"/>
        </w:rPr>
      </w:pPr>
      <w:r w:rsidRPr="00703AFF">
        <w:rPr>
          <w:lang w:val="es-SV"/>
        </w:rPr>
        <w:t xml:space="preserve">Asamblea Legislativo de la República de El Salvador. (1992). </w:t>
      </w:r>
      <w:r w:rsidRPr="00703AFF">
        <w:rPr>
          <w:i/>
          <w:lang w:val="es-SV"/>
        </w:rPr>
        <w:t>Ley del impuesto a la transferencia de bienes muebles y a la prestación de servicios</w:t>
      </w:r>
      <w:r w:rsidRPr="00703AFF">
        <w:rPr>
          <w:lang w:val="es-SV"/>
        </w:rPr>
        <w:t xml:space="preserve"> (Decreto Legislativo </w:t>
      </w:r>
      <w:proofErr w:type="spellStart"/>
      <w:r w:rsidRPr="00703AFF">
        <w:rPr>
          <w:lang w:val="es-SV"/>
        </w:rPr>
        <w:t>n.°</w:t>
      </w:r>
      <w:proofErr w:type="spellEnd"/>
      <w:r w:rsidRPr="00703AFF">
        <w:rPr>
          <w:lang w:val="es-SV"/>
        </w:rPr>
        <w:t xml:space="preserve"> 296 del 24 de julio de 1992; Diario Oficial </w:t>
      </w:r>
      <w:proofErr w:type="spellStart"/>
      <w:r w:rsidRPr="00703AFF">
        <w:rPr>
          <w:lang w:val="es-SV"/>
        </w:rPr>
        <w:t>n.°</w:t>
      </w:r>
      <w:proofErr w:type="spellEnd"/>
      <w:r w:rsidRPr="00703AFF">
        <w:rPr>
          <w:lang w:val="es-SV"/>
        </w:rPr>
        <w:t xml:space="preserve"> 143, Tomo 316, del 31 de julio de 1992).</w:t>
      </w:r>
    </w:p>
    <w:p w14:paraId="0C2509F7" w14:textId="77777777" w:rsidR="00003ED3" w:rsidRPr="00703AFF" w:rsidRDefault="00962C87">
      <w:pPr>
        <w:ind w:left="720" w:hanging="720"/>
        <w:rPr>
          <w:lang w:val="es-SV"/>
        </w:rPr>
      </w:pPr>
      <w:r w:rsidRPr="00703AFF">
        <w:rPr>
          <w:lang w:val="es-SV"/>
        </w:rPr>
        <w:t xml:space="preserve">Asamblea Legislativa de la República de El Salvador. (2000). </w:t>
      </w:r>
      <w:r w:rsidRPr="00703AFF">
        <w:rPr>
          <w:i/>
          <w:lang w:val="es-SV"/>
        </w:rPr>
        <w:t>Código tributario de la República de El Salvador</w:t>
      </w:r>
      <w:r w:rsidRPr="00703AFF">
        <w:rPr>
          <w:lang w:val="es-SV"/>
        </w:rPr>
        <w:t xml:space="preserve"> (Decreto Legislativo </w:t>
      </w:r>
      <w:proofErr w:type="spellStart"/>
      <w:r w:rsidRPr="00703AFF">
        <w:rPr>
          <w:lang w:val="es-SV"/>
        </w:rPr>
        <w:t>n.°</w:t>
      </w:r>
      <w:proofErr w:type="spellEnd"/>
      <w:r w:rsidRPr="00703AFF">
        <w:rPr>
          <w:lang w:val="es-SV"/>
        </w:rPr>
        <w:t xml:space="preserve"> 230 del 14 de diciembre de 2000; Diario Oficial </w:t>
      </w:r>
      <w:proofErr w:type="spellStart"/>
      <w:r w:rsidRPr="00703AFF">
        <w:rPr>
          <w:lang w:val="es-SV"/>
        </w:rPr>
        <w:t>n.°</w:t>
      </w:r>
      <w:proofErr w:type="spellEnd"/>
      <w:r w:rsidRPr="00703AFF">
        <w:rPr>
          <w:lang w:val="es-SV"/>
        </w:rPr>
        <w:t xml:space="preserve"> 241, Tomo 349, del 22 de diciembre de 2000).</w:t>
      </w:r>
    </w:p>
    <w:p w14:paraId="03FBF82A" w14:textId="77777777" w:rsidR="00003ED3" w:rsidRPr="00703AFF" w:rsidRDefault="00962C87">
      <w:pPr>
        <w:ind w:left="720" w:hanging="720"/>
        <w:rPr>
          <w:lang w:val="es-SV"/>
        </w:rPr>
      </w:pPr>
      <w:r>
        <w:t xml:space="preserve">Committee of Sponsoring Organizations of the Treadway Commission. </w:t>
      </w:r>
      <w:r w:rsidRPr="00703AFF">
        <w:rPr>
          <w:lang w:val="es-SV"/>
        </w:rPr>
        <w:t xml:space="preserve">(2013). </w:t>
      </w:r>
      <w:proofErr w:type="spellStart"/>
      <w:r w:rsidRPr="00703AFF">
        <w:rPr>
          <w:i/>
          <w:lang w:val="es-SV"/>
        </w:rPr>
        <w:t>Internal</w:t>
      </w:r>
      <w:proofErr w:type="spellEnd"/>
      <w:r w:rsidRPr="00703AFF">
        <w:rPr>
          <w:i/>
          <w:lang w:val="es-SV"/>
        </w:rPr>
        <w:t xml:space="preserve"> control: </w:t>
      </w:r>
      <w:proofErr w:type="spellStart"/>
      <w:r w:rsidRPr="00703AFF">
        <w:rPr>
          <w:i/>
          <w:lang w:val="es-SV"/>
        </w:rPr>
        <w:t>Integrated</w:t>
      </w:r>
      <w:proofErr w:type="spellEnd"/>
      <w:r w:rsidRPr="00703AFF">
        <w:rPr>
          <w:i/>
          <w:lang w:val="es-SV"/>
        </w:rPr>
        <w:t xml:space="preserve"> </w:t>
      </w:r>
      <w:proofErr w:type="spellStart"/>
      <w:r w:rsidRPr="00703AFF">
        <w:rPr>
          <w:i/>
          <w:lang w:val="es-SV"/>
        </w:rPr>
        <w:t>framework</w:t>
      </w:r>
      <w:proofErr w:type="spellEnd"/>
      <w:r w:rsidRPr="00703AFF">
        <w:rPr>
          <w:lang w:val="es-SV"/>
        </w:rPr>
        <w:t>. COSO.</w:t>
      </w:r>
    </w:p>
    <w:p w14:paraId="746C15E8" w14:textId="77777777" w:rsidR="00003ED3" w:rsidRPr="00703AFF" w:rsidRDefault="00962C87">
      <w:pPr>
        <w:ind w:left="720" w:hanging="720"/>
        <w:rPr>
          <w:lang w:val="es-SV"/>
        </w:rPr>
      </w:pPr>
      <w:r w:rsidRPr="00703AFF">
        <w:rPr>
          <w:lang w:val="es-SV"/>
        </w:rPr>
        <w:t xml:space="preserve">Consejo de Normas Internacionales de Contabilidad. (2009). </w:t>
      </w:r>
      <w:r w:rsidRPr="00703AFF">
        <w:rPr>
          <w:i/>
          <w:lang w:val="es-SV"/>
        </w:rPr>
        <w:t>Estado de flujos de efectivo [IAS 7]</w:t>
      </w:r>
      <w:r w:rsidRPr="00703AFF">
        <w:rPr>
          <w:lang w:val="es-SV"/>
        </w:rPr>
        <w:t>. Fundación IFRS.</w:t>
      </w:r>
    </w:p>
    <w:p w14:paraId="71915D63" w14:textId="77777777" w:rsidR="00003ED3" w:rsidRPr="00703AFF" w:rsidRDefault="00962C87">
      <w:pPr>
        <w:ind w:left="720" w:hanging="720"/>
        <w:rPr>
          <w:lang w:val="es-SV"/>
        </w:rPr>
      </w:pPr>
      <w:r w:rsidRPr="00703AFF">
        <w:rPr>
          <w:lang w:val="es-SV"/>
        </w:rPr>
        <w:t xml:space="preserve">Consejo de Normas Internacionales de Contabilidad. (2014). </w:t>
      </w:r>
      <w:r w:rsidRPr="00703AFF">
        <w:rPr>
          <w:i/>
          <w:lang w:val="es-SV"/>
        </w:rPr>
        <w:t>Ingresos de actividades ordinarias procedentes de contratos con clientes [IFRS 15]</w:t>
      </w:r>
      <w:r w:rsidRPr="00703AFF">
        <w:rPr>
          <w:lang w:val="es-SV"/>
        </w:rPr>
        <w:t>. Fundación IFRS.</w:t>
      </w:r>
    </w:p>
    <w:p w14:paraId="70B8A5C2" w14:textId="77777777" w:rsidR="00003ED3" w:rsidRPr="00703AFF" w:rsidRDefault="00962C87">
      <w:pPr>
        <w:ind w:left="720" w:hanging="720"/>
        <w:rPr>
          <w:lang w:val="es-SV"/>
        </w:rPr>
      </w:pPr>
      <w:r w:rsidRPr="00703AFF">
        <w:rPr>
          <w:lang w:val="es-SV"/>
        </w:rPr>
        <w:t xml:space="preserve">Consejo de Normas Internacionales de Contabilidad. (2015). </w:t>
      </w:r>
      <w:r w:rsidRPr="00703AFF">
        <w:rPr>
          <w:i/>
          <w:lang w:val="es-SV"/>
        </w:rPr>
        <w:t>Norma internacional de información financiera para pequeñas y medianas entidades (NIIF para las PYMES)</w:t>
      </w:r>
      <w:r w:rsidRPr="00703AFF">
        <w:rPr>
          <w:lang w:val="es-SV"/>
        </w:rPr>
        <w:t>. Fundación IFRS.</w:t>
      </w:r>
    </w:p>
    <w:p w14:paraId="76BBFAFC" w14:textId="77777777" w:rsidR="00003ED3" w:rsidRPr="00703AFF" w:rsidRDefault="00962C87">
      <w:pPr>
        <w:ind w:left="720" w:hanging="720"/>
        <w:rPr>
          <w:lang w:val="es-SV"/>
        </w:rPr>
      </w:pPr>
      <w:r w:rsidRPr="00703AFF">
        <w:rPr>
          <w:lang w:val="es-SV"/>
        </w:rPr>
        <w:t xml:space="preserve">Corte de Cuentas de la República. (2004). </w:t>
      </w:r>
      <w:r w:rsidRPr="00703AFF">
        <w:rPr>
          <w:i/>
          <w:lang w:val="es-SV"/>
        </w:rPr>
        <w:t>Normas técnicas de control interno</w:t>
      </w:r>
      <w:r w:rsidRPr="00703AFF">
        <w:rPr>
          <w:lang w:val="es-SV"/>
        </w:rPr>
        <w:t xml:space="preserve"> (Decreto </w:t>
      </w:r>
      <w:proofErr w:type="spellStart"/>
      <w:r w:rsidRPr="00703AFF">
        <w:rPr>
          <w:lang w:val="es-SV"/>
        </w:rPr>
        <w:t>n.°</w:t>
      </w:r>
      <w:proofErr w:type="spellEnd"/>
      <w:r w:rsidRPr="00703AFF">
        <w:rPr>
          <w:lang w:val="es-SV"/>
        </w:rPr>
        <w:t xml:space="preserve"> 4 de la Presidencia de la Corte de Cuentas de la República del 14 de septiembre de 2004; Diario Oficial </w:t>
      </w:r>
      <w:proofErr w:type="spellStart"/>
      <w:r w:rsidRPr="00703AFF">
        <w:rPr>
          <w:lang w:val="es-SV"/>
        </w:rPr>
        <w:t>n.°</w:t>
      </w:r>
      <w:proofErr w:type="spellEnd"/>
      <w:r w:rsidRPr="00703AFF">
        <w:rPr>
          <w:lang w:val="es-SV"/>
        </w:rPr>
        <w:t xml:space="preserve"> 180, Tomo 364, del 29 de septiembre de 2004).</w:t>
      </w:r>
    </w:p>
    <w:p w14:paraId="24988AF6" w14:textId="77777777" w:rsidR="00003ED3" w:rsidRPr="00703AFF" w:rsidRDefault="00962C87">
      <w:pPr>
        <w:ind w:left="720" w:hanging="720"/>
        <w:rPr>
          <w:lang w:val="es-SV"/>
        </w:rPr>
      </w:pPr>
      <w:proofErr w:type="spellStart"/>
      <w:r w:rsidRPr="00703AFF">
        <w:rPr>
          <w:lang w:val="es-SV"/>
        </w:rPr>
        <w:lastRenderedPageBreak/>
        <w:t>SunGames</w:t>
      </w:r>
      <w:proofErr w:type="spellEnd"/>
      <w:r w:rsidRPr="00703AFF">
        <w:rPr>
          <w:lang w:val="es-SV"/>
        </w:rPr>
        <w:t xml:space="preserve">, S.A. de C.V. (2026b). </w:t>
      </w:r>
      <w:r w:rsidRPr="00703AFF">
        <w:rPr>
          <w:i/>
          <w:lang w:val="es-SV"/>
        </w:rPr>
        <w:t>Caracterización del giro, productos y servicios ofrecidos (SG-CAR-001)</w:t>
      </w:r>
      <w:r w:rsidRPr="00703AFF">
        <w:rPr>
          <w:lang w:val="es-SV"/>
        </w:rPr>
        <w:t xml:space="preserve"> [Documento interno]. Universidad de El Salvador.</w:t>
      </w:r>
    </w:p>
    <w:p w14:paraId="0B17CB20" w14:textId="77777777" w:rsidR="00003ED3" w:rsidRPr="00703AFF" w:rsidRDefault="00962C87">
      <w:pPr>
        <w:ind w:left="720" w:hanging="720"/>
        <w:rPr>
          <w:lang w:val="es-SV"/>
        </w:rPr>
      </w:pPr>
      <w:proofErr w:type="spellStart"/>
      <w:r w:rsidRPr="00703AFF">
        <w:rPr>
          <w:lang w:val="es-SV"/>
        </w:rPr>
        <w:t>SunGames</w:t>
      </w:r>
      <w:proofErr w:type="spellEnd"/>
      <w:r w:rsidRPr="00703AFF">
        <w:rPr>
          <w:lang w:val="es-SV"/>
        </w:rPr>
        <w:t xml:space="preserve">, S.A. de C.V. (2026c). </w:t>
      </w:r>
      <w:r w:rsidRPr="00703AFF">
        <w:rPr>
          <w:i/>
          <w:lang w:val="es-SV"/>
        </w:rPr>
        <w:t>Manual de estructura orgánica (SG-MEO-001), manual de organización y funciones (SG-MOF-001) y manual de descripción de puestos (SG-MDP-001)</w:t>
      </w:r>
      <w:r w:rsidRPr="00703AFF">
        <w:rPr>
          <w:lang w:val="es-SV"/>
        </w:rPr>
        <w:t xml:space="preserve"> [Documentos internos]. Universidad de El Salvador.</w:t>
      </w:r>
    </w:p>
    <w:p w14:paraId="2AD8303E" w14:textId="77777777" w:rsidR="00003ED3" w:rsidRPr="00703AFF" w:rsidRDefault="00962C87">
      <w:pPr>
        <w:ind w:left="720" w:hanging="720"/>
        <w:rPr>
          <w:lang w:val="es-SV"/>
        </w:rPr>
      </w:pPr>
      <w:r w:rsidRPr="00703AFF">
        <w:rPr>
          <w:lang w:val="es-SV"/>
        </w:rPr>
        <w:t xml:space="preserve">Universidad de El Salvador. (2026). </w:t>
      </w:r>
      <w:r w:rsidRPr="00703AFF">
        <w:rPr>
          <w:i/>
          <w:lang w:val="es-SV"/>
        </w:rPr>
        <w:t>Requerimientos funcionales y no funcionales del sistema contable (RF y RNF)</w:t>
      </w:r>
      <w:r w:rsidRPr="00703AFF">
        <w:rPr>
          <w:lang w:val="es-SV"/>
        </w:rPr>
        <w:t xml:space="preserve"> [Documento técnico del proyecto SIC115]. Facultad de Ingeniería y Arquitectura, Escuela de Ingeniería en Sistemas Informáticos.</w:t>
      </w:r>
    </w:p>
    <w:p w14:paraId="42BF750B" w14:textId="77777777" w:rsidR="00003ED3" w:rsidRPr="00703AFF" w:rsidRDefault="00962C87">
      <w:pPr>
        <w:rPr>
          <w:lang w:val="es-SV"/>
        </w:rPr>
      </w:pPr>
      <w:r w:rsidRPr="00703AFF">
        <w:rPr>
          <w:lang w:val="es-SV"/>
        </w:rPr>
        <w:br w:type="page"/>
      </w:r>
    </w:p>
    <w:p w14:paraId="45F9FB84" w14:textId="77777777" w:rsidR="00003ED3" w:rsidRPr="00703AFF" w:rsidRDefault="00962C87">
      <w:pPr>
        <w:keepNext/>
        <w:jc w:val="center"/>
        <w:rPr>
          <w:lang w:val="es-SV"/>
        </w:rPr>
      </w:pPr>
      <w:r w:rsidRPr="00703AFF">
        <w:rPr>
          <w:b/>
          <w:lang w:val="es-SV"/>
        </w:rPr>
        <w:lastRenderedPageBreak/>
        <w:t>Apéndice A</w:t>
      </w:r>
    </w:p>
    <w:p w14:paraId="2232CC99" w14:textId="77777777" w:rsidR="00003ED3" w:rsidRPr="00703AFF" w:rsidRDefault="00962C87">
      <w:pPr>
        <w:keepNext/>
        <w:jc w:val="center"/>
        <w:outlineLvl w:val="0"/>
        <w:rPr>
          <w:lang w:val="es-SV"/>
        </w:rPr>
      </w:pPr>
      <w:bookmarkStart w:id="15" w:name="_Toc241406183"/>
      <w:r w:rsidRPr="00703AFF">
        <w:rPr>
          <w:b/>
          <w:lang w:val="es-SV"/>
        </w:rPr>
        <w:t>CONTROL DE VERSIONES Y ELABORACIÓN DEL DOCUMENTO</w:t>
      </w:r>
      <w:bookmarkEnd w:id="15"/>
    </w:p>
    <w:p w14:paraId="11DFD4AA" w14:textId="77777777" w:rsidR="00003ED3" w:rsidRPr="00703AFF" w:rsidRDefault="00962C87">
      <w:pPr>
        <w:ind w:firstLine="720"/>
        <w:rPr>
          <w:lang w:val="es-SV"/>
        </w:rPr>
      </w:pPr>
      <w:r w:rsidRPr="00703AFF">
        <w:rPr>
          <w:lang w:val="es-SV"/>
        </w:rPr>
        <w:t>El presente documento se controla mediante el siguiente registro de versiones (ver Tabla A1).</w:t>
      </w:r>
    </w:p>
    <w:p w14:paraId="52EE3162" w14:textId="77777777" w:rsidR="00003ED3" w:rsidRPr="00703AFF" w:rsidRDefault="00962C87">
      <w:pPr>
        <w:keepNext/>
        <w:rPr>
          <w:lang w:val="es-SV"/>
        </w:rPr>
      </w:pPr>
      <w:r w:rsidRPr="00703AFF">
        <w:rPr>
          <w:b/>
          <w:lang w:val="es-SV"/>
        </w:rPr>
        <w:t>Tabla A1</w:t>
      </w:r>
    </w:p>
    <w:p w14:paraId="16E95C37" w14:textId="77777777" w:rsidR="00003ED3" w:rsidRPr="00703AFF" w:rsidRDefault="00962C87">
      <w:pPr>
        <w:keepNext/>
        <w:rPr>
          <w:lang w:val="es-SV"/>
        </w:rPr>
      </w:pPr>
      <w:r w:rsidRPr="00703AFF">
        <w:rPr>
          <w:i/>
          <w:lang w:val="es-SV"/>
        </w:rPr>
        <w:t>Control de versiones del documento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2127"/>
        <w:gridCol w:w="1702"/>
        <w:gridCol w:w="1560"/>
        <w:gridCol w:w="1844"/>
      </w:tblGrid>
      <w:tr w:rsidR="00003ED3" w14:paraId="254476F6" w14:textId="77777777">
        <w:trPr>
          <w:jc w:val="center"/>
        </w:trPr>
        <w:tc>
          <w:tcPr>
            <w:tcW w:w="851" w:type="dxa"/>
            <w:tcBorders>
              <w:bottom w:val="single" w:sz="8" w:space="0" w:color="000000"/>
            </w:tcBorders>
          </w:tcPr>
          <w:p w14:paraId="118354C5" w14:textId="77777777" w:rsidR="00003ED3" w:rsidRDefault="00962C87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Versión</w:t>
            </w:r>
            <w:proofErr w:type="spellEnd"/>
          </w:p>
        </w:tc>
        <w:tc>
          <w:tcPr>
            <w:tcW w:w="1276" w:type="dxa"/>
            <w:tcBorders>
              <w:bottom w:val="single" w:sz="8" w:space="0" w:color="000000"/>
            </w:tcBorders>
          </w:tcPr>
          <w:p w14:paraId="7657B22D" w14:textId="77777777" w:rsidR="00003ED3" w:rsidRDefault="00962C87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Fecha</w:t>
            </w:r>
            <w:proofErr w:type="spellEnd"/>
          </w:p>
        </w:tc>
        <w:tc>
          <w:tcPr>
            <w:tcW w:w="2127" w:type="dxa"/>
            <w:tcBorders>
              <w:bottom w:val="single" w:sz="8" w:space="0" w:color="000000"/>
            </w:tcBorders>
          </w:tcPr>
          <w:p w14:paraId="1D5B536C" w14:textId="77777777" w:rsidR="00003ED3" w:rsidRDefault="00962C87">
            <w:pPr>
              <w:spacing w:line="240" w:lineRule="auto"/>
              <w:jc w:val="center"/>
            </w:pPr>
            <w:r>
              <w:rPr>
                <w:b/>
                <w:sz w:val="20"/>
              </w:rPr>
              <w:t xml:space="preserve">Descripción / </w:t>
            </w:r>
            <w:proofErr w:type="spellStart"/>
            <w:r>
              <w:rPr>
                <w:b/>
                <w:sz w:val="20"/>
              </w:rPr>
              <w:t>motivo</w:t>
            </w:r>
            <w:proofErr w:type="spellEnd"/>
            <w:r>
              <w:rPr>
                <w:b/>
                <w:sz w:val="20"/>
              </w:rPr>
              <w:t xml:space="preserve"> del </w:t>
            </w:r>
            <w:proofErr w:type="spellStart"/>
            <w:r>
              <w:rPr>
                <w:b/>
                <w:sz w:val="20"/>
              </w:rPr>
              <w:t>cambio</w:t>
            </w:r>
            <w:proofErr w:type="spellEnd"/>
          </w:p>
        </w:tc>
        <w:tc>
          <w:tcPr>
            <w:tcW w:w="1702" w:type="dxa"/>
            <w:tcBorders>
              <w:bottom w:val="single" w:sz="8" w:space="0" w:color="000000"/>
            </w:tcBorders>
          </w:tcPr>
          <w:p w14:paraId="539C1F70" w14:textId="77777777" w:rsidR="00003ED3" w:rsidRDefault="00962C87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Elaborado</w:t>
            </w:r>
            <w:proofErr w:type="spellEnd"/>
            <w:r>
              <w:rPr>
                <w:b/>
                <w:sz w:val="20"/>
              </w:rPr>
              <w:t xml:space="preserve"> por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</w:tcPr>
          <w:p w14:paraId="276EF749" w14:textId="77777777" w:rsidR="00003ED3" w:rsidRDefault="00962C87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Revisado</w:t>
            </w:r>
            <w:proofErr w:type="spellEnd"/>
            <w:r>
              <w:rPr>
                <w:b/>
                <w:sz w:val="20"/>
              </w:rPr>
              <w:t xml:space="preserve"> por</w:t>
            </w:r>
          </w:p>
        </w:tc>
        <w:tc>
          <w:tcPr>
            <w:tcW w:w="1844" w:type="dxa"/>
            <w:tcBorders>
              <w:bottom w:val="single" w:sz="8" w:space="0" w:color="000000"/>
            </w:tcBorders>
          </w:tcPr>
          <w:p w14:paraId="67117F10" w14:textId="77777777" w:rsidR="00003ED3" w:rsidRDefault="00962C87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Aprobado</w:t>
            </w:r>
            <w:proofErr w:type="spellEnd"/>
            <w:r>
              <w:rPr>
                <w:b/>
                <w:sz w:val="20"/>
              </w:rPr>
              <w:t xml:space="preserve"> por</w:t>
            </w:r>
          </w:p>
        </w:tc>
      </w:tr>
      <w:tr w:rsidR="00003ED3" w14:paraId="0B15DC45" w14:textId="77777777">
        <w:trPr>
          <w:jc w:val="center"/>
        </w:trPr>
        <w:tc>
          <w:tcPr>
            <w:tcW w:w="851" w:type="dxa"/>
          </w:tcPr>
          <w:p w14:paraId="4E946F4B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1.0</w:t>
            </w:r>
          </w:p>
        </w:tc>
        <w:tc>
          <w:tcPr>
            <w:tcW w:w="1276" w:type="dxa"/>
          </w:tcPr>
          <w:p w14:paraId="2F7E655E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30/09/2026</w:t>
            </w:r>
          </w:p>
        </w:tc>
        <w:tc>
          <w:tcPr>
            <w:tcW w:w="2127" w:type="dxa"/>
          </w:tcPr>
          <w:p w14:paraId="1F0387D0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Emisión</w:t>
            </w:r>
            <w:proofErr w:type="spellEnd"/>
            <w:r>
              <w:rPr>
                <w:sz w:val="20"/>
              </w:rPr>
              <w:t xml:space="preserve"> inicial del </w:t>
            </w:r>
            <w:proofErr w:type="spellStart"/>
            <w:r>
              <w:rPr>
                <w:sz w:val="20"/>
              </w:rPr>
              <w:t>documento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702" w:type="dxa"/>
          </w:tcPr>
          <w:p w14:paraId="657E0709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Josué N. Renderos Hernández</w:t>
            </w:r>
          </w:p>
        </w:tc>
        <w:tc>
          <w:tcPr>
            <w:tcW w:w="1560" w:type="dxa"/>
          </w:tcPr>
          <w:p w14:paraId="2EE0C142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Gerencia</w:t>
            </w:r>
            <w:proofErr w:type="spellEnd"/>
            <w:r>
              <w:rPr>
                <w:sz w:val="20"/>
              </w:rPr>
              <w:t xml:space="preserve"> General</w:t>
            </w:r>
          </w:p>
        </w:tc>
        <w:tc>
          <w:tcPr>
            <w:tcW w:w="1844" w:type="dxa"/>
          </w:tcPr>
          <w:p w14:paraId="7F62C469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 xml:space="preserve">Junta </w:t>
            </w:r>
            <w:proofErr w:type="spellStart"/>
            <w:r>
              <w:rPr>
                <w:sz w:val="20"/>
              </w:rPr>
              <w:t>Directiva</w:t>
            </w:r>
            <w:proofErr w:type="spellEnd"/>
          </w:p>
        </w:tc>
      </w:tr>
      <w:tr w:rsidR="00003ED3" w14:paraId="0B15DC45" w14:textId="77777777">
        <w:trPr>
          <w:jc w:val="center"/>
        </w:trPr>
        <w:tc>
          <w:tcPr>
            <w:tcW w:w="851" w:type="dxa"/>
          </w:tcPr>
          <w:p w14:paraId="4E946F4B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1.1</w:t>
            </w:r>
          </w:p>
        </w:tc>
        <w:tc>
          <w:tcPr>
            <w:tcW w:w="1276" w:type="dxa"/>
          </w:tcPr>
          <w:p w14:paraId="2F7E655E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06/10/2026</w:t>
            </w:r>
          </w:p>
        </w:tc>
        <w:tc>
          <w:tcPr>
            <w:tcW w:w="2127" w:type="dxa"/>
          </w:tcPr>
          <w:p w14:paraId="1F0387D0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Actualización de los custodios de los documentos fuente a la plantilla de ocho colaboradores (P-001 a P-008).</w:t>
            </w:r>
            <w:proofErr w:type="spellEnd"/>
            <w:proofErr w:type="spellStart"/>
            <w:proofErr w:type="spellEnd"/>
          </w:p>
        </w:tc>
        <w:tc>
          <w:tcPr>
            <w:tcW w:w="1702" w:type="dxa"/>
          </w:tcPr>
          <w:p w14:paraId="657E0709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Departamento de talento humano</w:t>
            </w:r>
          </w:p>
        </w:tc>
        <w:tc>
          <w:tcPr>
            <w:tcW w:w="1560" w:type="dxa"/>
          </w:tcPr>
          <w:p w14:paraId="2EE0C142" w14:textId="77777777" w:rsidR="00003ED3" w:rsidRDefault="00962C87">
            <w:pPr>
              <w:spacing w:line="240" w:lineRule="auto"/>
            </w:pPr>
            <w:proofErr w:type="spellStart"/>
            <w:r>
              <w:rPr>
                <w:sz w:val="20"/>
              </w:rPr>
              <w:t>Gerencia general</w:t>
            </w:r>
            <w:proofErr w:type="spellEnd"/>
          </w:p>
        </w:tc>
        <w:tc>
          <w:tcPr>
            <w:tcW w:w="1844" w:type="dxa"/>
          </w:tcPr>
          <w:p w14:paraId="7F62C469" w14:textId="77777777" w:rsidR="00003ED3" w:rsidRDefault="00962C87">
            <w:pPr>
              <w:spacing w:line="240" w:lineRule="auto"/>
            </w:pPr>
            <w:r>
              <w:rPr>
                <w:sz w:val="20"/>
              </w:rPr>
              <w:t>Junta directiva</w:t>
            </w:r>
            <w:proofErr w:type="spellStart"/>
            <w:proofErr w:type="spellEnd"/>
          </w:p>
        </w:tc>
      </w:tr>
    </w:tbl>
    <w:p w14:paraId="60AFFABD" w14:textId="77777777" w:rsidR="00003ED3" w:rsidRPr="00703AFF" w:rsidRDefault="00962C87">
      <w:pPr>
        <w:spacing w:before="120" w:line="240" w:lineRule="auto"/>
        <w:rPr>
          <w:lang w:val="es-SV"/>
        </w:rPr>
      </w:pPr>
      <w:r w:rsidRPr="00703AFF">
        <w:rPr>
          <w:i/>
          <w:sz w:val="22"/>
          <w:lang w:val="es-SV"/>
        </w:rPr>
        <w:t xml:space="preserve">Nota. </w:t>
      </w:r>
      <w:r w:rsidRPr="00703AFF">
        <w:rPr>
          <w:sz w:val="22"/>
          <w:lang w:val="es-SV"/>
        </w:rPr>
        <w:t>La aprobación de cambios sustanciales corresponde a la Junta Directiva de la sociedad.</w:t>
      </w:r>
    </w:p>
    <w:sectPr w:rsidR="00003ED3" w:rsidRPr="00703AFF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DA5CA" w14:textId="77777777" w:rsidR="00320538" w:rsidRDefault="00320538">
      <w:pPr>
        <w:spacing w:line="240" w:lineRule="auto"/>
      </w:pPr>
      <w:r>
        <w:separator/>
      </w:r>
    </w:p>
  </w:endnote>
  <w:endnote w:type="continuationSeparator" w:id="0">
    <w:p w14:paraId="4801116C" w14:textId="77777777" w:rsidR="00320538" w:rsidRDefault="003205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E1A4F" w14:textId="77777777" w:rsidR="001426A8" w:rsidRDefault="001426A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77E7B" w14:textId="77777777" w:rsidR="001426A8" w:rsidRDefault="001426A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8CFA5" w14:textId="77777777" w:rsidR="001426A8" w:rsidRDefault="001426A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6E48E" w14:textId="77777777" w:rsidR="00320538" w:rsidRDefault="00320538">
      <w:pPr>
        <w:spacing w:line="240" w:lineRule="auto"/>
      </w:pPr>
      <w:r>
        <w:separator/>
      </w:r>
    </w:p>
  </w:footnote>
  <w:footnote w:type="continuationSeparator" w:id="0">
    <w:p w14:paraId="3D64982D" w14:textId="77777777" w:rsidR="00320538" w:rsidRDefault="003205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67CF" w14:textId="77777777" w:rsidR="001426A8" w:rsidRDefault="001426A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BD0C2" w14:textId="306DFC80" w:rsidR="00360547" w:rsidRDefault="00BE5CE1">
    <w:pPr>
      <w:pStyle w:val="Encabezado"/>
      <w:jc w:val="right"/>
    </w:pPr>
    <w:r>
      <w:fldChar w:fldCharType="begin"/>
    </w:r>
    <w:r>
      <w:instrText xml:space="preserve"> PAGE </w:instrText>
    </w:r>
    <w:r>
      <w:fldChar w:fldCharType="separate"/>
    </w:r>
    <w:r w:rsidR="00F30F2C"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3C80" w14:textId="77777777" w:rsidR="001426A8" w:rsidRDefault="001426A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003631">
    <w:abstractNumId w:val="8"/>
  </w:num>
  <w:num w:numId="2" w16cid:durableId="952174973">
    <w:abstractNumId w:val="6"/>
  </w:num>
  <w:num w:numId="3" w16cid:durableId="1471049583">
    <w:abstractNumId w:val="5"/>
  </w:num>
  <w:num w:numId="4" w16cid:durableId="934942108">
    <w:abstractNumId w:val="4"/>
  </w:num>
  <w:num w:numId="5" w16cid:durableId="147600986">
    <w:abstractNumId w:val="7"/>
  </w:num>
  <w:num w:numId="6" w16cid:durableId="1768887082">
    <w:abstractNumId w:val="3"/>
  </w:num>
  <w:num w:numId="7" w16cid:durableId="237862489">
    <w:abstractNumId w:val="2"/>
  </w:num>
  <w:num w:numId="8" w16cid:durableId="809052191">
    <w:abstractNumId w:val="1"/>
  </w:num>
  <w:num w:numId="9" w16cid:durableId="32763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ED3"/>
    <w:rsid w:val="00034616"/>
    <w:rsid w:val="0006063C"/>
    <w:rsid w:val="000649E4"/>
    <w:rsid w:val="00095839"/>
    <w:rsid w:val="000E6400"/>
    <w:rsid w:val="001426A8"/>
    <w:rsid w:val="0015074B"/>
    <w:rsid w:val="002519F0"/>
    <w:rsid w:val="0029639D"/>
    <w:rsid w:val="00320538"/>
    <w:rsid w:val="00326F90"/>
    <w:rsid w:val="00360547"/>
    <w:rsid w:val="0039486C"/>
    <w:rsid w:val="00576401"/>
    <w:rsid w:val="0058415F"/>
    <w:rsid w:val="005F2EE5"/>
    <w:rsid w:val="0062083E"/>
    <w:rsid w:val="006A0BD4"/>
    <w:rsid w:val="006D088C"/>
    <w:rsid w:val="00703AFF"/>
    <w:rsid w:val="0089290D"/>
    <w:rsid w:val="008A0C3A"/>
    <w:rsid w:val="009436BB"/>
    <w:rsid w:val="00962C87"/>
    <w:rsid w:val="00A2591C"/>
    <w:rsid w:val="00AA1D8D"/>
    <w:rsid w:val="00B06258"/>
    <w:rsid w:val="00B47730"/>
    <w:rsid w:val="00BE5CE1"/>
    <w:rsid w:val="00CB0664"/>
    <w:rsid w:val="00E4017D"/>
    <w:rsid w:val="00EA327E"/>
    <w:rsid w:val="00ED7CF0"/>
    <w:rsid w:val="00F30F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8AEED433-88DF-4DE1-B28D-D883FE2B98E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A0C3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8A0C3A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8A0C3A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8A0C3A"/>
    <w:pPr>
      <w:ind w:left="72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8A0C3A"/>
    <w:pPr>
      <w:ind w:left="96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8A0C3A"/>
    <w:pPr>
      <w:ind w:left="12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8A0C3A"/>
    <w:pPr>
      <w:ind w:left="144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8A0C3A"/>
    <w:pPr>
      <w:ind w:left="168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8A0C3A"/>
    <w:pPr>
      <w:ind w:left="1920"/>
    </w:pPr>
    <w:rPr>
      <w:rFonts w:asciiTheme="minorHAnsi" w:hAnsi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A0C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6FF02-E7A7-42E9-BDA4-B63B667B1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16</Pages>
  <Words>3165</Words>
  <Characters>17413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rh23022@ues.edu.sv</cp:lastModifiedBy>
  <cp:revision>16</cp:revision>
  <dcterms:created xsi:type="dcterms:W3CDTF">2013-12-23T23:15:00Z</dcterms:created>
  <dcterms:modified xsi:type="dcterms:W3CDTF">2026-10-06T19:31:00Z</dcterms:modified>
  <cp:category/>
</cp:coreProperties>
</file>