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B366B" w14:textId="2049A243" w:rsidR="006A0BD4" w:rsidRPr="006A0BD4" w:rsidRDefault="006A0BD4" w:rsidP="005F2EE5">
      <w:pPr>
        <w:jc w:val="center"/>
        <w:rPr>
          <w:lang w:val="es-ES"/>
        </w:rPr>
      </w:pPr>
      <w:r w:rsidRPr="006A0BD4">
        <w:rPr>
          <w:lang w:val="es-ES"/>
        </w:rPr>
        <w:t>UNIVERSIDAD DE EL SALVADOR</w:t>
      </w:r>
    </w:p>
    <w:p w14:paraId="02C38942" w14:textId="77777777" w:rsidR="006A0BD4" w:rsidRPr="006A0BD4" w:rsidRDefault="006A0BD4" w:rsidP="005F2EE5">
      <w:pPr>
        <w:jc w:val="center"/>
        <w:rPr>
          <w:lang w:val="es-ES"/>
        </w:rPr>
      </w:pPr>
      <w:r w:rsidRPr="006A0BD4">
        <w:rPr>
          <w:lang w:val="es-ES"/>
        </w:rPr>
        <w:t>FACULTAD DE INGENIERÍA Y ARQUITECTURA</w:t>
      </w:r>
    </w:p>
    <w:p w14:paraId="2275490C" w14:textId="77777777" w:rsidR="006A0BD4" w:rsidRPr="006A0BD4" w:rsidRDefault="006A0BD4" w:rsidP="005F2EE5">
      <w:pPr>
        <w:jc w:val="center"/>
        <w:rPr>
          <w:lang w:val="es-ES"/>
        </w:rPr>
      </w:pPr>
      <w:r w:rsidRPr="006A0BD4">
        <w:rPr>
          <w:lang w:val="es-ES"/>
        </w:rPr>
        <w:t>ESCUELA DE INGENIERIA DE SISTEMAS INFORMÁTICOS</w:t>
      </w:r>
    </w:p>
    <w:p w14:paraId="08802150" w14:textId="77777777" w:rsidR="006A0BD4" w:rsidRPr="006A0BD4" w:rsidRDefault="006A0BD4" w:rsidP="005F2EE5">
      <w:pPr>
        <w:jc w:val="center"/>
        <w:rPr>
          <w:lang w:val="es-ES"/>
        </w:rPr>
      </w:pPr>
      <w:r w:rsidRPr="006A0BD4">
        <w:rPr>
          <w:lang w:val="es-ES"/>
        </w:rPr>
        <w:t>SISTEMAS CONTABLES SIC115</w:t>
      </w:r>
    </w:p>
    <w:p w14:paraId="368ABD46" w14:textId="77777777" w:rsidR="006A0BD4" w:rsidRPr="006A0BD4" w:rsidRDefault="006A0BD4" w:rsidP="005F2EE5">
      <w:pPr>
        <w:jc w:val="center"/>
        <w:rPr>
          <w:lang w:val="es-ES"/>
        </w:rPr>
      </w:pPr>
      <w:r w:rsidRPr="006A0BD4">
        <w:rPr>
          <w:lang w:val="es-ES"/>
        </w:rPr>
        <w:t>CICLO II-2026</w:t>
      </w:r>
    </w:p>
    <w:p w14:paraId="038BFDA6" w14:textId="23F9A5B9" w:rsidR="006A0BD4" w:rsidRPr="006A0BD4" w:rsidRDefault="006A0BD4" w:rsidP="005F2EE5">
      <w:pPr>
        <w:jc w:val="center"/>
        <w:rPr>
          <w:lang w:val="es-ES"/>
        </w:rPr>
      </w:pPr>
      <w:r w:rsidRPr="006A0BD4">
        <w:rPr>
          <w:lang w:val="es-ES"/>
        </w:rPr>
        <w:drawing>
          <wp:anchor distT="0" distB="0" distL="114300" distR="114300" simplePos="0" relativeHeight="251657216" behindDoc="0" locked="0" layoutInCell="1" allowOverlap="1" wp14:anchorId="0D50DE77" wp14:editId="26663E0F">
            <wp:simplePos x="0" y="0"/>
            <wp:positionH relativeFrom="column">
              <wp:posOffset>996950</wp:posOffset>
            </wp:positionH>
            <wp:positionV relativeFrom="paragraph">
              <wp:posOffset>73660</wp:posOffset>
            </wp:positionV>
            <wp:extent cx="1542968" cy="1923295"/>
            <wp:effectExtent l="0" t="0" r="635" b="1270"/>
            <wp:wrapNone/>
            <wp:docPr id="727176803" name="Imagen 727176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42968" cy="1923295"/>
                    </a:xfrm>
                    <a:prstGeom prst="rect">
                      <a:avLst/>
                    </a:prstGeom>
                  </pic:spPr>
                </pic:pic>
              </a:graphicData>
            </a:graphic>
            <wp14:sizeRelH relativeFrom="margin">
              <wp14:pctWidth>0</wp14:pctWidth>
            </wp14:sizeRelH>
            <wp14:sizeRelV relativeFrom="margin">
              <wp14:pctHeight>0</wp14:pctHeight>
            </wp14:sizeRelV>
          </wp:anchor>
        </w:drawing>
      </w:r>
      <w:r w:rsidRPr="006A0BD4">
        <w:rPr>
          <w:lang w:val="es-ES"/>
        </w:rPr>
        <w:drawing>
          <wp:anchor distT="0" distB="0" distL="114300" distR="114300" simplePos="0" relativeHeight="251665408" behindDoc="0" locked="0" layoutInCell="1" allowOverlap="1" wp14:anchorId="49605594" wp14:editId="1C72B27B">
            <wp:simplePos x="0" y="0"/>
            <wp:positionH relativeFrom="column">
              <wp:posOffset>3176270</wp:posOffset>
            </wp:positionH>
            <wp:positionV relativeFrom="paragraph">
              <wp:posOffset>385445</wp:posOffset>
            </wp:positionV>
            <wp:extent cx="3299460" cy="1281547"/>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99460" cy="1281547"/>
                    </a:xfrm>
                    <a:prstGeom prst="rect">
                      <a:avLst/>
                    </a:prstGeom>
                  </pic:spPr>
                </pic:pic>
              </a:graphicData>
            </a:graphic>
            <wp14:sizeRelH relativeFrom="margin">
              <wp14:pctWidth>0</wp14:pctWidth>
            </wp14:sizeRelH>
            <wp14:sizeRelV relativeFrom="margin">
              <wp14:pctHeight>0</wp14:pctHeight>
            </wp14:sizeRelV>
          </wp:anchor>
        </w:drawing>
      </w:r>
    </w:p>
    <w:p w14:paraId="2C8E8D44" w14:textId="20E2483A" w:rsidR="006A0BD4" w:rsidRPr="006A0BD4" w:rsidRDefault="006A0BD4" w:rsidP="005F2EE5">
      <w:pPr>
        <w:jc w:val="center"/>
        <w:rPr>
          <w:lang w:val="es-ES"/>
        </w:rPr>
      </w:pPr>
    </w:p>
    <w:p w14:paraId="73CE39E0" w14:textId="3B4AD386" w:rsidR="006A0BD4" w:rsidRPr="006A0BD4" w:rsidRDefault="006A0BD4" w:rsidP="005F2EE5">
      <w:pPr>
        <w:jc w:val="center"/>
        <w:rPr>
          <w:lang w:val="es-ES"/>
        </w:rPr>
      </w:pPr>
    </w:p>
    <w:p w14:paraId="498F2DDA" w14:textId="77777777" w:rsidR="006A0BD4" w:rsidRPr="006A0BD4" w:rsidRDefault="006A0BD4" w:rsidP="005F2EE5">
      <w:pPr>
        <w:jc w:val="center"/>
        <w:rPr>
          <w:lang w:val="es-ES"/>
        </w:rPr>
      </w:pPr>
    </w:p>
    <w:p w14:paraId="14DED831" w14:textId="77777777" w:rsidR="006A0BD4" w:rsidRPr="006A0BD4" w:rsidRDefault="006A0BD4" w:rsidP="005F2EE5">
      <w:pPr>
        <w:jc w:val="center"/>
        <w:rPr>
          <w:lang w:val="es-ES"/>
        </w:rPr>
      </w:pPr>
    </w:p>
    <w:p w14:paraId="44189B07" w14:textId="77777777" w:rsidR="006A0BD4" w:rsidRPr="006A0BD4" w:rsidRDefault="006A0BD4" w:rsidP="005F2EE5">
      <w:pPr>
        <w:jc w:val="center"/>
        <w:rPr>
          <w:lang w:val="es-ES"/>
        </w:rPr>
      </w:pPr>
    </w:p>
    <w:p w14:paraId="7F004377" w14:textId="77777777" w:rsidR="006A0BD4" w:rsidRPr="006A0BD4" w:rsidRDefault="006A0BD4" w:rsidP="005F2EE5">
      <w:pPr>
        <w:jc w:val="center"/>
        <w:rPr>
          <w:lang w:val="es-ES"/>
        </w:rPr>
      </w:pPr>
    </w:p>
    <w:p w14:paraId="482929F6" w14:textId="6B62129C" w:rsidR="006A0BD4" w:rsidRPr="006A0BD4" w:rsidRDefault="006A0BD4" w:rsidP="005F2EE5">
      <w:pPr>
        <w:jc w:val="center"/>
        <w:rPr>
          <w:i/>
          <w:iCs/>
          <w:lang w:val="es-ES"/>
        </w:rPr>
      </w:pPr>
      <w:r w:rsidRPr="006A0BD4">
        <w:rPr>
          <w:lang w:val="es-ES"/>
        </w:rPr>
        <w:t>“</w:t>
      </w:r>
      <w:r w:rsidR="0062083E">
        <w:rPr>
          <w:i/>
          <w:iCs/>
          <w:lang w:val="es-ES"/>
        </w:rPr>
        <w:t>ESTÁNDARES DE ACUERDO A NIIF APLICABLES A SUNGAMES, S.A. DE C.V.</w:t>
      </w:r>
      <w:r w:rsidRPr="006A0BD4">
        <w:rPr>
          <w:i/>
          <w:iCs/>
          <w:lang w:val="es-ES"/>
        </w:rPr>
        <w:t>”</w:t>
      </w:r>
    </w:p>
    <w:p w14:paraId="6E3B9469" w14:textId="77777777" w:rsidR="006A0BD4" w:rsidRPr="006A0BD4" w:rsidRDefault="006A0BD4" w:rsidP="005F2EE5">
      <w:pPr>
        <w:jc w:val="center"/>
        <w:rPr>
          <w:i/>
          <w:iCs/>
          <w:lang w:val="es-ES"/>
        </w:rPr>
      </w:pPr>
    </w:p>
    <w:p w14:paraId="7EB97C5F" w14:textId="1A1752F8" w:rsidR="006A0BD4" w:rsidRPr="006A0BD4" w:rsidRDefault="006A0BD4" w:rsidP="005F2EE5">
      <w:pPr>
        <w:jc w:val="center"/>
        <w:rPr>
          <w:lang w:val="es-ES"/>
        </w:rPr>
      </w:pPr>
      <w:r w:rsidRPr="006A0BD4">
        <w:rPr>
          <w:lang w:val="es-ES"/>
        </w:rPr>
        <w:t>PRESENTADO POR:</w:t>
      </w:r>
    </w:p>
    <w:p w14:paraId="2CE54F02" w14:textId="0BD6B18A" w:rsidR="006A0BD4" w:rsidRPr="006A0BD4" w:rsidRDefault="006A0BD4" w:rsidP="005F2EE5">
      <w:pPr>
        <w:jc w:val="center"/>
        <w:rPr>
          <w:lang w:val="es-ES"/>
        </w:rPr>
      </w:pPr>
    </w:p>
    <w:tbl>
      <w:tblPr>
        <w:tblStyle w:val="Tablaconcuadrcula"/>
        <w:tblW w:w="0" w:type="auto"/>
        <w:tblLook w:val="04A0" w:firstRow="1" w:lastRow="0" w:firstColumn="1" w:lastColumn="0" w:noHBand="0" w:noVBand="1"/>
      </w:tblPr>
      <w:tblGrid>
        <w:gridCol w:w="3131"/>
        <w:gridCol w:w="3131"/>
        <w:gridCol w:w="3132"/>
      </w:tblGrid>
      <w:tr w:rsidR="006A0BD4" w:rsidRPr="006A0BD4" w14:paraId="523F080A" w14:textId="77777777" w:rsidTr="00BF5755">
        <w:tc>
          <w:tcPr>
            <w:tcW w:w="3131" w:type="dxa"/>
            <w:shd w:val="clear" w:color="auto" w:fill="95B3D7" w:themeFill="accent1" w:themeFillTint="99"/>
          </w:tcPr>
          <w:p w14:paraId="7414DB5C" w14:textId="77777777" w:rsidR="006A0BD4" w:rsidRPr="006A0BD4" w:rsidRDefault="006A0BD4" w:rsidP="005F2EE5">
            <w:pPr>
              <w:jc w:val="center"/>
              <w:rPr>
                <w:lang w:val="es-ES"/>
              </w:rPr>
            </w:pPr>
            <w:proofErr w:type="gramStart"/>
            <w:r w:rsidRPr="006A0BD4">
              <w:rPr>
                <w:lang w:val="es-ES"/>
              </w:rPr>
              <w:t>CARNET</w:t>
            </w:r>
            <w:proofErr w:type="gramEnd"/>
          </w:p>
        </w:tc>
        <w:tc>
          <w:tcPr>
            <w:tcW w:w="3131" w:type="dxa"/>
            <w:shd w:val="clear" w:color="auto" w:fill="95B3D7" w:themeFill="accent1" w:themeFillTint="99"/>
          </w:tcPr>
          <w:p w14:paraId="5F305E3E" w14:textId="77777777" w:rsidR="006A0BD4" w:rsidRPr="006A0BD4" w:rsidRDefault="006A0BD4" w:rsidP="005F2EE5">
            <w:pPr>
              <w:jc w:val="center"/>
              <w:rPr>
                <w:lang w:val="es-ES"/>
              </w:rPr>
            </w:pPr>
            <w:r w:rsidRPr="006A0BD4">
              <w:rPr>
                <w:lang w:val="es-ES"/>
              </w:rPr>
              <w:t>APELLIDOS</w:t>
            </w:r>
          </w:p>
        </w:tc>
        <w:tc>
          <w:tcPr>
            <w:tcW w:w="3132" w:type="dxa"/>
            <w:shd w:val="clear" w:color="auto" w:fill="95B3D7" w:themeFill="accent1" w:themeFillTint="99"/>
          </w:tcPr>
          <w:p w14:paraId="5D9C5A3F" w14:textId="77777777" w:rsidR="006A0BD4" w:rsidRPr="006A0BD4" w:rsidRDefault="006A0BD4" w:rsidP="005F2EE5">
            <w:pPr>
              <w:jc w:val="center"/>
              <w:rPr>
                <w:lang w:val="es-ES"/>
              </w:rPr>
            </w:pPr>
            <w:r w:rsidRPr="006A0BD4">
              <w:rPr>
                <w:lang w:val="es-ES"/>
              </w:rPr>
              <w:t>NOMBRES</w:t>
            </w:r>
          </w:p>
        </w:tc>
      </w:tr>
      <w:tr w:rsidR="006A0BD4" w:rsidRPr="006A0BD4" w14:paraId="6A8E8144" w14:textId="77777777" w:rsidTr="00BF5755">
        <w:tc>
          <w:tcPr>
            <w:tcW w:w="3131" w:type="dxa"/>
          </w:tcPr>
          <w:p w14:paraId="572449B6" w14:textId="77777777" w:rsidR="006A0BD4" w:rsidRPr="006A0BD4" w:rsidRDefault="006A0BD4" w:rsidP="005F2EE5">
            <w:pPr>
              <w:jc w:val="center"/>
              <w:rPr>
                <w:lang w:val="es-ES"/>
              </w:rPr>
            </w:pPr>
            <w:r w:rsidRPr="006A0BD4">
              <w:rPr>
                <w:lang w:val="es-ES"/>
              </w:rPr>
              <w:t>GS24026</w:t>
            </w:r>
          </w:p>
        </w:tc>
        <w:tc>
          <w:tcPr>
            <w:tcW w:w="3131" w:type="dxa"/>
          </w:tcPr>
          <w:p w14:paraId="262CC268" w14:textId="77777777" w:rsidR="006A0BD4" w:rsidRPr="006A0BD4" w:rsidRDefault="006A0BD4" w:rsidP="005F2EE5">
            <w:pPr>
              <w:jc w:val="center"/>
              <w:rPr>
                <w:lang w:val="es-ES"/>
              </w:rPr>
            </w:pPr>
            <w:r w:rsidRPr="006A0BD4">
              <w:rPr>
                <w:lang w:val="es-ES"/>
              </w:rPr>
              <w:t>González Sánchez</w:t>
            </w:r>
          </w:p>
        </w:tc>
        <w:tc>
          <w:tcPr>
            <w:tcW w:w="3132" w:type="dxa"/>
          </w:tcPr>
          <w:p w14:paraId="1E2AC9DA" w14:textId="77777777" w:rsidR="006A0BD4" w:rsidRPr="006A0BD4" w:rsidRDefault="006A0BD4" w:rsidP="005F2EE5">
            <w:pPr>
              <w:jc w:val="center"/>
              <w:rPr>
                <w:lang w:val="es-ES"/>
              </w:rPr>
            </w:pPr>
            <w:r w:rsidRPr="006A0BD4">
              <w:rPr>
                <w:lang w:val="es-ES"/>
              </w:rPr>
              <w:t>Diego Edgardo</w:t>
            </w:r>
          </w:p>
        </w:tc>
      </w:tr>
      <w:tr w:rsidR="006A0BD4" w:rsidRPr="006A0BD4" w14:paraId="0E5A30F4" w14:textId="77777777" w:rsidTr="00BF5755">
        <w:tc>
          <w:tcPr>
            <w:tcW w:w="3131" w:type="dxa"/>
          </w:tcPr>
          <w:p w14:paraId="7801FC12" w14:textId="77777777" w:rsidR="006A0BD4" w:rsidRPr="006A0BD4" w:rsidRDefault="006A0BD4" w:rsidP="005F2EE5">
            <w:pPr>
              <w:jc w:val="center"/>
              <w:rPr>
                <w:lang w:val="es-ES"/>
              </w:rPr>
            </w:pPr>
            <w:r w:rsidRPr="006A0BD4">
              <w:rPr>
                <w:lang w:val="es-ES"/>
              </w:rPr>
              <w:t>RH23022</w:t>
            </w:r>
          </w:p>
        </w:tc>
        <w:tc>
          <w:tcPr>
            <w:tcW w:w="3131" w:type="dxa"/>
          </w:tcPr>
          <w:p w14:paraId="7F302DBB" w14:textId="77777777" w:rsidR="006A0BD4" w:rsidRPr="006A0BD4" w:rsidRDefault="006A0BD4" w:rsidP="005F2EE5">
            <w:pPr>
              <w:jc w:val="center"/>
              <w:rPr>
                <w:lang w:val="es-ES"/>
              </w:rPr>
            </w:pPr>
            <w:r w:rsidRPr="006A0BD4">
              <w:rPr>
                <w:lang w:val="es-ES"/>
              </w:rPr>
              <w:t>Renderos Hernández</w:t>
            </w:r>
          </w:p>
        </w:tc>
        <w:tc>
          <w:tcPr>
            <w:tcW w:w="3132" w:type="dxa"/>
          </w:tcPr>
          <w:p w14:paraId="76574E0D" w14:textId="77777777" w:rsidR="006A0BD4" w:rsidRPr="006A0BD4" w:rsidRDefault="006A0BD4" w:rsidP="005F2EE5">
            <w:pPr>
              <w:jc w:val="center"/>
              <w:rPr>
                <w:lang w:val="es-ES"/>
              </w:rPr>
            </w:pPr>
            <w:r w:rsidRPr="006A0BD4">
              <w:rPr>
                <w:lang w:val="es-ES"/>
              </w:rPr>
              <w:t>Josué Nehemías</w:t>
            </w:r>
          </w:p>
        </w:tc>
      </w:tr>
      <w:tr w:rsidR="006A0BD4" w:rsidRPr="006A0BD4" w14:paraId="31C04D63" w14:textId="77777777" w:rsidTr="00BF5755">
        <w:tc>
          <w:tcPr>
            <w:tcW w:w="3131" w:type="dxa"/>
          </w:tcPr>
          <w:p w14:paraId="3514A73B" w14:textId="77777777" w:rsidR="006A0BD4" w:rsidRPr="006A0BD4" w:rsidRDefault="006A0BD4" w:rsidP="005F2EE5">
            <w:pPr>
              <w:jc w:val="center"/>
              <w:rPr>
                <w:lang w:val="es-ES"/>
              </w:rPr>
            </w:pPr>
            <w:r w:rsidRPr="006A0BD4">
              <w:rPr>
                <w:lang w:val="es-ES"/>
              </w:rPr>
              <w:t>RR24028</w:t>
            </w:r>
          </w:p>
        </w:tc>
        <w:tc>
          <w:tcPr>
            <w:tcW w:w="3131" w:type="dxa"/>
          </w:tcPr>
          <w:p w14:paraId="74604AD0" w14:textId="77777777" w:rsidR="006A0BD4" w:rsidRPr="006A0BD4" w:rsidRDefault="006A0BD4" w:rsidP="005F2EE5">
            <w:pPr>
              <w:jc w:val="center"/>
              <w:rPr>
                <w:lang w:val="es-ES"/>
              </w:rPr>
            </w:pPr>
            <w:r w:rsidRPr="006A0BD4">
              <w:rPr>
                <w:lang w:val="es-ES"/>
              </w:rPr>
              <w:t xml:space="preserve">Rivas </w:t>
            </w:r>
            <w:proofErr w:type="spellStart"/>
            <w:r w:rsidRPr="006A0BD4">
              <w:rPr>
                <w:lang w:val="es-ES"/>
              </w:rPr>
              <w:t>Rivas</w:t>
            </w:r>
            <w:proofErr w:type="spellEnd"/>
          </w:p>
        </w:tc>
        <w:tc>
          <w:tcPr>
            <w:tcW w:w="3132" w:type="dxa"/>
          </w:tcPr>
          <w:p w14:paraId="2D22F93C" w14:textId="77777777" w:rsidR="006A0BD4" w:rsidRPr="006A0BD4" w:rsidRDefault="006A0BD4" w:rsidP="005F2EE5">
            <w:pPr>
              <w:jc w:val="center"/>
              <w:rPr>
                <w:lang w:val="es-ES"/>
              </w:rPr>
            </w:pPr>
            <w:r w:rsidRPr="006A0BD4">
              <w:rPr>
                <w:lang w:val="es-ES"/>
              </w:rPr>
              <w:t>David Alexander</w:t>
            </w:r>
          </w:p>
        </w:tc>
      </w:tr>
    </w:tbl>
    <w:p w14:paraId="39659998" w14:textId="77777777" w:rsidR="006A0BD4" w:rsidRPr="006A0BD4" w:rsidRDefault="006A0BD4" w:rsidP="005F2EE5">
      <w:pPr>
        <w:jc w:val="center"/>
        <w:rPr>
          <w:lang w:val="es-ES"/>
        </w:rPr>
      </w:pPr>
    </w:p>
    <w:p w14:paraId="09C232C4" w14:textId="4665AC83" w:rsidR="006A0BD4" w:rsidRPr="006A0BD4" w:rsidRDefault="006A0BD4" w:rsidP="005F2EE5">
      <w:pPr>
        <w:jc w:val="center"/>
        <w:rPr>
          <w:lang w:val="es-ES"/>
        </w:rPr>
      </w:pPr>
      <w:r w:rsidRPr="006A0BD4">
        <w:rPr>
          <w:lang w:val="es-ES"/>
        </w:rPr>
        <w:t>A LA INGENIERA:</w:t>
      </w:r>
    </w:p>
    <w:p w14:paraId="7A2234CF" w14:textId="4597EBF7" w:rsidR="006A0BD4" w:rsidRPr="006A0BD4" w:rsidRDefault="006A0BD4" w:rsidP="005F2EE5">
      <w:pPr>
        <w:jc w:val="center"/>
        <w:rPr>
          <w:lang w:val="es-ES"/>
        </w:rPr>
      </w:pPr>
      <w:r w:rsidRPr="006A0BD4">
        <w:rPr>
          <w:lang w:val="es-ES"/>
        </w:rPr>
        <w:t>LIZETH CARMELINE GOCHEZ DE PEÑATE</w:t>
      </w:r>
    </w:p>
    <w:p w14:paraId="107721EB" w14:textId="09E9A57F" w:rsidR="00360547" w:rsidRPr="00F30F2C" w:rsidRDefault="008A0C3A">
      <w:pPr>
        <w:keepNext/>
        <w:jc w:val="center"/>
        <w:outlineLvl w:val="0"/>
        <w:rPr>
          <w:lang w:val="es-SV"/>
        </w:rPr>
      </w:pPr>
      <w:bookmarkStart w:id="0" w:name="_Toc241085500"/>
      <w:r w:rsidRPr="00F30F2C">
        <w:rPr>
          <w:b/>
          <w:lang w:val="es-SV"/>
        </w:rPr>
        <w:lastRenderedPageBreak/>
        <w:t>TABLA DE CONTENIDO</w:t>
      </w:r>
      <w:bookmarkEnd w:id="0"/>
    </w:p>
    <w:p>
      <w:pPr>
        <w:pStyle w:val="TDC1"/>
        <w:tabs>
          <w:tab w:val="right" w:leader="hyphen" w:pos="9350"/>
        </w:tabs>
        <w:rPr>
          <w:noProof/>
          <w:sz w:val="24"/>
        </w:rPr>
      </w:pPr>
      <w:r>
        <w:rPr>
          <w:lang w:val="es-SV"/>
        </w:rPr>
        <w:fldChar w:fldCharType="begin"/>
      </w:r>
      <w:r>
        <w:rPr>
          <w:lang w:val="es-SV"/>
        </w:rPr>
        <w:instrText xml:space="preserve"> TOC \o "1-3" \h \z \u </w:instrText>
      </w:r>
      <w:r>
        <w:rPr>
          <w:lang w:val="es-SV"/>
        </w:rPr>
        <w:fldChar w:fldCharType="separate"/>
      </w:r>
      <w:hyperlink w:anchor="TocNIIF100" w:history="1">
        <w:r>
          <w:rPr>
            <w:rStyle w:val="Hipervnculo"/>
            <w:noProof/>
            <w:lang w:val="es-SV"/>
          </w:rPr>
          <w:t xml:space="preserve">Introducción</w:t>
        </w:r>
        <w:r>
          <w:rPr>
            <w:noProof/>
            <w:webHidden/>
          </w:rPr>
          <w:tab/>
        </w:r>
        <w:r>
          <w:rPr>
            <w:noProof/>
            <w:webHidden/>
          </w:rPr>
          <w:fldChar w:fldCharType="begin"/>
        </w:r>
        <w:r>
          <w:rPr>
            <w:noProof/>
            <w:webHidden/>
          </w:rPr>
          <w:instrText xml:space="preserve"> PAGEREF TocNIIF100 \h </w:instrText>
        </w:r>
        <w:r>
          <w:rPr>
            <w:noProof/>
            <w:webHidden/>
          </w:rPr>
          <w:fldChar w:fldCharType="separate"/>
        </w:r>
        <w:r>
          <w:rPr>
            <w:noProof/>
            <w:webHidden/>
          </w:rPr>
          <w:t>3</w:t>
        </w:r>
        <w:r>
          <w:rPr>
            <w:noProof/>
            <w:webHidden/>
          </w:rPr>
          <w:fldChar w:fldCharType="end"/>
        </w:r>
      </w:hyperlink>
    </w:p>
    <w:p>
      <w:pPr>
        <w:pStyle w:val="TDC1"/>
        <w:tabs>
          <w:tab w:val="right" w:leader="hyphen" w:pos="9350"/>
        </w:tabs>
        <w:rPr>
          <w:noProof/>
          <w:sz w:val="24"/>
        </w:rPr>
      </w:pPr>
      <w:hyperlink w:anchor="TocNIIF101" w:history="1">
        <w:r>
          <w:rPr>
            <w:rStyle w:val="Hipervnculo"/>
            <w:noProof/>
            <w:lang w:val="es-SV"/>
          </w:rPr>
          <w:t xml:space="preserve">Elección del Marco Aplicable</w:t>
        </w:r>
        <w:r>
          <w:rPr>
            <w:noProof/>
            <w:webHidden/>
          </w:rPr>
          <w:tab/>
        </w:r>
        <w:r>
          <w:rPr>
            <w:noProof/>
            <w:webHidden/>
          </w:rPr>
          <w:fldChar w:fldCharType="begin"/>
        </w:r>
        <w:r>
          <w:rPr>
            <w:noProof/>
            <w:webHidden/>
          </w:rPr>
          <w:instrText xml:space="preserve"> PAGEREF TocNIIF101 \h </w:instrText>
        </w:r>
        <w:r>
          <w:rPr>
            <w:noProof/>
            <w:webHidden/>
          </w:rPr>
          <w:fldChar w:fldCharType="separate"/>
        </w:r>
        <w:r>
          <w:rPr>
            <w:noProof/>
            <w:webHidden/>
          </w:rPr>
          <w:t>3</w:t>
        </w:r>
        <w:r>
          <w:rPr>
            <w:noProof/>
            <w:webHidden/>
          </w:rPr>
          <w:fldChar w:fldCharType="end"/>
        </w:r>
      </w:hyperlink>
    </w:p>
    <w:p>
      <w:pPr>
        <w:pStyle w:val="TDC1"/>
        <w:tabs>
          <w:tab w:val="right" w:leader="hyphen" w:pos="9350"/>
        </w:tabs>
        <w:rPr>
          <w:noProof/>
          <w:sz w:val="24"/>
        </w:rPr>
      </w:pPr>
      <w:hyperlink w:anchor="TocNIIF102" w:history="1">
        <w:r>
          <w:rPr>
            <w:rStyle w:val="Hipervnculo"/>
            <w:noProof/>
            <w:lang w:val="es-SV"/>
          </w:rPr>
          <w:t xml:space="preserve">Fundamentos de Presentación de los Estados Financieros</w:t>
        </w:r>
        <w:r>
          <w:rPr>
            <w:noProof/>
            <w:webHidden/>
          </w:rPr>
          <w:tab/>
        </w:r>
        <w:r>
          <w:rPr>
            <w:noProof/>
            <w:webHidden/>
          </w:rPr>
          <w:fldChar w:fldCharType="begin"/>
        </w:r>
        <w:r>
          <w:rPr>
            <w:noProof/>
            <w:webHidden/>
          </w:rPr>
          <w:instrText xml:space="preserve"> PAGEREF TocNIIF102 \h </w:instrText>
        </w:r>
        <w:r>
          <w:rPr>
            <w:noProof/>
            <w:webHidden/>
          </w:rPr>
          <w:fldChar w:fldCharType="separate"/>
        </w:r>
        <w:r>
          <w:rPr>
            <w:noProof/>
            <w:webHidden/>
          </w:rPr>
          <w:t>4</w:t>
        </w:r>
        <w:r>
          <w:rPr>
            <w:noProof/>
            <w:webHidden/>
          </w:rPr>
          <w:fldChar w:fldCharType="end"/>
        </w:r>
      </w:hyperlink>
    </w:p>
    <w:p>
      <w:pPr>
        <w:pStyle w:val="TDC2"/>
        <w:tabs>
          <w:tab w:val="right" w:leader="hyphen" w:pos="9350"/>
        </w:tabs>
        <w:rPr>
          <w:noProof/>
          <w:sz w:val="24"/>
        </w:rPr>
      </w:pPr>
      <w:hyperlink w:anchor="TocNIIF103" w:history="1">
        <w:r>
          <w:rPr>
            <w:rStyle w:val="Hipervnculo"/>
            <w:noProof/>
            <w:lang w:val="es-SV"/>
          </w:rPr>
          <w:t xml:space="preserve">Objetivo y características de la información</w:t>
        </w:r>
        <w:r>
          <w:rPr>
            <w:noProof/>
            <w:webHidden/>
          </w:rPr>
          <w:tab/>
        </w:r>
        <w:r>
          <w:rPr>
            <w:noProof/>
            <w:webHidden/>
          </w:rPr>
          <w:fldChar w:fldCharType="begin"/>
        </w:r>
        <w:r>
          <w:rPr>
            <w:noProof/>
            <w:webHidden/>
          </w:rPr>
          <w:instrText xml:space="preserve"> PAGEREF TocNIIF103 \h </w:instrText>
        </w:r>
        <w:r>
          <w:rPr>
            <w:noProof/>
            <w:webHidden/>
          </w:rPr>
          <w:fldChar w:fldCharType="separate"/>
        </w:r>
        <w:r>
          <w:rPr>
            <w:noProof/>
            <w:webHidden/>
          </w:rPr>
          <w:t>4</w:t>
        </w:r>
        <w:r>
          <w:rPr>
            <w:noProof/>
            <w:webHidden/>
          </w:rPr>
          <w:fldChar w:fldCharType="end"/>
        </w:r>
      </w:hyperlink>
    </w:p>
    <w:p>
      <w:pPr>
        <w:pStyle w:val="TDC2"/>
        <w:tabs>
          <w:tab w:val="right" w:leader="hyphen" w:pos="9350"/>
        </w:tabs>
        <w:rPr>
          <w:noProof/>
          <w:sz w:val="24"/>
        </w:rPr>
      </w:pPr>
      <w:hyperlink w:anchor="TocNIIF104" w:history="1">
        <w:r>
          <w:rPr>
            <w:rStyle w:val="Hipervnculo"/>
            <w:noProof/>
            <w:lang w:val="es-SV"/>
          </w:rPr>
          <w:t xml:space="preserve">Juego completo de estados financieros</w:t>
        </w:r>
        <w:r>
          <w:rPr>
            <w:noProof/>
            <w:webHidden/>
          </w:rPr>
          <w:tab/>
        </w:r>
        <w:r>
          <w:rPr>
            <w:noProof/>
            <w:webHidden/>
          </w:rPr>
          <w:fldChar w:fldCharType="begin"/>
        </w:r>
        <w:r>
          <w:rPr>
            <w:noProof/>
            <w:webHidden/>
          </w:rPr>
          <w:instrText xml:space="preserve"> PAGEREF TocNIIF104 \h </w:instrText>
        </w:r>
        <w:r>
          <w:rPr>
            <w:noProof/>
            <w:webHidden/>
          </w:rPr>
          <w:fldChar w:fldCharType="separate"/>
        </w:r>
        <w:r>
          <w:rPr>
            <w:noProof/>
            <w:webHidden/>
          </w:rPr>
          <w:t>5</w:t>
        </w:r>
        <w:r>
          <w:rPr>
            <w:noProof/>
            <w:webHidden/>
          </w:rPr>
          <w:fldChar w:fldCharType="end"/>
        </w:r>
      </w:hyperlink>
    </w:p>
    <w:p>
      <w:pPr>
        <w:pStyle w:val="TDC2"/>
        <w:tabs>
          <w:tab w:val="right" w:leader="hyphen" w:pos="9350"/>
        </w:tabs>
        <w:rPr>
          <w:noProof/>
          <w:sz w:val="24"/>
        </w:rPr>
      </w:pPr>
      <w:hyperlink w:anchor="TocNIIF105" w:history="1">
        <w:r>
          <w:rPr>
            <w:rStyle w:val="Hipervnculo"/>
            <w:noProof/>
            <w:lang w:val="es-SV"/>
          </w:rPr>
          <w:t xml:space="preserve">Políticas contables, cambios y errores (Sección 10)</w:t>
        </w:r>
        <w:r>
          <w:rPr>
            <w:noProof/>
            <w:webHidden/>
          </w:rPr>
          <w:tab/>
        </w:r>
        <w:r>
          <w:rPr>
            <w:noProof/>
            <w:webHidden/>
          </w:rPr>
          <w:fldChar w:fldCharType="begin"/>
        </w:r>
        <w:r>
          <w:rPr>
            <w:noProof/>
            <w:webHidden/>
          </w:rPr>
          <w:instrText xml:space="preserve"> PAGEREF TocNIIF105 \h </w:instrText>
        </w:r>
        <w:r>
          <w:rPr>
            <w:noProof/>
            <w:webHidden/>
          </w:rPr>
          <w:fldChar w:fldCharType="separate"/>
        </w:r>
        <w:r>
          <w:rPr>
            <w:noProof/>
            <w:webHidden/>
          </w:rPr>
          <w:t>5</w:t>
        </w:r>
        <w:r>
          <w:rPr>
            <w:noProof/>
            <w:webHidden/>
          </w:rPr>
          <w:fldChar w:fldCharType="end"/>
        </w:r>
      </w:hyperlink>
    </w:p>
    <w:p>
      <w:pPr>
        <w:pStyle w:val="TDC1"/>
        <w:tabs>
          <w:tab w:val="right" w:leader="hyphen" w:pos="9350"/>
        </w:tabs>
        <w:rPr>
          <w:noProof/>
          <w:sz w:val="24"/>
        </w:rPr>
      </w:pPr>
      <w:hyperlink w:anchor="TocNIIF106" w:history="1">
        <w:r>
          <w:rPr>
            <w:rStyle w:val="Hipervnculo"/>
            <w:noProof/>
            <w:lang w:val="es-SV"/>
          </w:rPr>
          <w:t xml:space="preserve">Estándares Aplicables al Giro de Videojuegos</w:t>
        </w:r>
        <w:r>
          <w:rPr>
            <w:noProof/>
            <w:webHidden/>
          </w:rPr>
          <w:tab/>
        </w:r>
        <w:r>
          <w:rPr>
            <w:noProof/>
            <w:webHidden/>
          </w:rPr>
          <w:fldChar w:fldCharType="begin"/>
        </w:r>
        <w:r>
          <w:rPr>
            <w:noProof/>
            <w:webHidden/>
          </w:rPr>
          <w:instrText xml:space="preserve"> PAGEREF TocNIIF106 \h </w:instrText>
        </w:r>
        <w:r>
          <w:rPr>
            <w:noProof/>
            <w:webHidden/>
          </w:rPr>
          <w:fldChar w:fldCharType="separate"/>
        </w:r>
        <w:r>
          <w:rPr>
            <w:noProof/>
            <w:webHidden/>
          </w:rPr>
          <w:t>5</w:t>
        </w:r>
        <w:r>
          <w:rPr>
            <w:noProof/>
            <w:webHidden/>
          </w:rPr>
          <w:fldChar w:fldCharType="end"/>
        </w:r>
      </w:hyperlink>
    </w:p>
    <w:p>
      <w:pPr>
        <w:pStyle w:val="TDC2"/>
        <w:tabs>
          <w:tab w:val="right" w:leader="hyphen" w:pos="9350"/>
        </w:tabs>
        <w:rPr>
          <w:noProof/>
          <w:sz w:val="24"/>
        </w:rPr>
      </w:pPr>
      <w:hyperlink w:anchor="TocNIIF107" w:history="1">
        <w:r>
          <w:rPr>
            <w:rStyle w:val="Hipervnculo"/>
            <w:noProof/>
            <w:lang w:val="es-SV"/>
          </w:rPr>
          <w:t xml:space="preserve">Reconocimiento de ingresos (Sección 23 e IFRS 15)</w:t>
        </w:r>
        <w:r>
          <w:rPr>
            <w:noProof/>
            <w:webHidden/>
          </w:rPr>
          <w:tab/>
        </w:r>
        <w:r>
          <w:rPr>
            <w:noProof/>
            <w:webHidden/>
          </w:rPr>
          <w:fldChar w:fldCharType="begin"/>
        </w:r>
        <w:r>
          <w:rPr>
            <w:noProof/>
            <w:webHidden/>
          </w:rPr>
          <w:instrText xml:space="preserve"> PAGEREF TocNIIF107 \h </w:instrText>
        </w:r>
        <w:r>
          <w:rPr>
            <w:noProof/>
            <w:webHidden/>
          </w:rPr>
          <w:fldChar w:fldCharType="separate"/>
        </w:r>
        <w:r>
          <w:rPr>
            <w:noProof/>
            <w:webHidden/>
          </w:rPr>
          <w:t>5</w:t>
        </w:r>
        <w:r>
          <w:rPr>
            <w:noProof/>
            <w:webHidden/>
          </w:rPr>
          <w:fldChar w:fldCharType="end"/>
        </w:r>
      </w:hyperlink>
    </w:p>
    <w:p>
      <w:pPr>
        <w:pStyle w:val="TDC2"/>
        <w:tabs>
          <w:tab w:val="right" w:leader="hyphen" w:pos="9350"/>
        </w:tabs>
        <w:rPr>
          <w:noProof/>
          <w:sz w:val="24"/>
        </w:rPr>
      </w:pPr>
      <w:hyperlink w:anchor="TocNIIF108" w:history="1">
        <w:r>
          <w:rPr>
            <w:rStyle w:val="Hipervnculo"/>
            <w:noProof/>
            <w:lang w:val="es-SV"/>
          </w:rPr>
          <w:t xml:space="preserve">Activos intangibles (Sección 18 e IAS 38)</w:t>
        </w:r>
        <w:r>
          <w:rPr>
            <w:noProof/>
            <w:webHidden/>
          </w:rPr>
          <w:tab/>
        </w:r>
        <w:r>
          <w:rPr>
            <w:noProof/>
            <w:webHidden/>
          </w:rPr>
          <w:fldChar w:fldCharType="begin"/>
        </w:r>
        <w:r>
          <w:rPr>
            <w:noProof/>
            <w:webHidden/>
          </w:rPr>
          <w:instrText xml:space="preserve"> PAGEREF TocNIIF108 \h </w:instrText>
        </w:r>
        <w:r>
          <w:rPr>
            <w:noProof/>
            <w:webHidden/>
          </w:rPr>
          <w:fldChar w:fldCharType="separate"/>
        </w:r>
        <w:r>
          <w:rPr>
            <w:noProof/>
            <w:webHidden/>
          </w:rPr>
          <w:t>5</w:t>
        </w:r>
        <w:r>
          <w:rPr>
            <w:noProof/>
            <w:webHidden/>
          </w:rPr>
          <w:fldChar w:fldCharType="end"/>
        </w:r>
      </w:hyperlink>
    </w:p>
    <w:p>
      <w:pPr>
        <w:pStyle w:val="TDC2"/>
        <w:tabs>
          <w:tab w:val="right" w:leader="hyphen" w:pos="9350"/>
        </w:tabs>
        <w:rPr>
          <w:noProof/>
          <w:sz w:val="24"/>
        </w:rPr>
      </w:pPr>
      <w:hyperlink w:anchor="TocNIIF109" w:history="1">
        <w:r>
          <w:rPr>
            <w:rStyle w:val="Hipervnculo"/>
            <w:noProof/>
            <w:lang w:val="es-SV"/>
          </w:rPr>
          <w:t xml:space="preserve">Propiedades, planta y equipo (Sección 17)</w:t>
        </w:r>
        <w:r>
          <w:rPr>
            <w:noProof/>
            <w:webHidden/>
          </w:rPr>
          <w:tab/>
        </w:r>
        <w:r>
          <w:rPr>
            <w:noProof/>
            <w:webHidden/>
          </w:rPr>
          <w:fldChar w:fldCharType="begin"/>
        </w:r>
        <w:r>
          <w:rPr>
            <w:noProof/>
            <w:webHidden/>
          </w:rPr>
          <w:instrText xml:space="preserve"> PAGEREF TocNIIF109 \h </w:instrText>
        </w:r>
        <w:r>
          <w:rPr>
            <w:noProof/>
            <w:webHidden/>
          </w:rPr>
          <w:fldChar w:fldCharType="separate"/>
        </w:r>
        <w:r>
          <w:rPr>
            <w:noProof/>
            <w:webHidden/>
          </w:rPr>
          <w:t>5</w:t>
        </w:r>
        <w:r>
          <w:rPr>
            <w:noProof/>
            <w:webHidden/>
          </w:rPr>
          <w:fldChar w:fldCharType="end"/>
        </w:r>
      </w:hyperlink>
    </w:p>
    <w:p>
      <w:pPr>
        <w:pStyle w:val="TDC2"/>
        <w:tabs>
          <w:tab w:val="right" w:leader="hyphen" w:pos="9350"/>
        </w:tabs>
        <w:rPr>
          <w:noProof/>
          <w:sz w:val="24"/>
        </w:rPr>
      </w:pPr>
      <w:hyperlink w:anchor="TocNIIF110" w:history="1">
        <w:r>
          <w:rPr>
            <w:rStyle w:val="Hipervnculo"/>
            <w:noProof/>
            <w:lang w:val="es-SV"/>
          </w:rPr>
          <w:t xml:space="preserve">Inventarios (Sección 13)</w:t>
        </w:r>
        <w:r>
          <w:rPr>
            <w:noProof/>
            <w:webHidden/>
          </w:rPr>
          <w:tab/>
        </w:r>
        <w:r>
          <w:rPr>
            <w:noProof/>
            <w:webHidden/>
          </w:rPr>
          <w:fldChar w:fldCharType="begin"/>
        </w:r>
        <w:r>
          <w:rPr>
            <w:noProof/>
            <w:webHidden/>
          </w:rPr>
          <w:instrText xml:space="preserve"> PAGEREF TocNIIF110 \h </w:instrText>
        </w:r>
        <w:r>
          <w:rPr>
            <w:noProof/>
            <w:webHidden/>
          </w:rPr>
          <w:fldChar w:fldCharType="separate"/>
        </w:r>
        <w:r>
          <w:rPr>
            <w:noProof/>
            <w:webHidden/>
          </w:rPr>
          <w:t>5</w:t>
        </w:r>
        <w:r>
          <w:rPr>
            <w:noProof/>
            <w:webHidden/>
          </w:rPr>
          <w:fldChar w:fldCharType="end"/>
        </w:r>
      </w:hyperlink>
    </w:p>
    <w:p>
      <w:pPr>
        <w:pStyle w:val="TDC2"/>
        <w:tabs>
          <w:tab w:val="right" w:leader="hyphen" w:pos="9350"/>
        </w:tabs>
        <w:rPr>
          <w:noProof/>
          <w:sz w:val="24"/>
        </w:rPr>
      </w:pPr>
      <w:hyperlink w:anchor="TocNIIF111" w:history="1">
        <w:r>
          <w:rPr>
            <w:rStyle w:val="Hipervnculo"/>
            <w:noProof/>
            <w:lang w:val="es-SV"/>
          </w:rPr>
          <w:t xml:space="preserve">Moneda funcional (IAS 21)</w:t>
        </w:r>
        <w:r>
          <w:rPr>
            <w:noProof/>
            <w:webHidden/>
          </w:rPr>
          <w:tab/>
        </w:r>
        <w:r>
          <w:rPr>
            <w:noProof/>
            <w:webHidden/>
          </w:rPr>
          <w:fldChar w:fldCharType="begin"/>
        </w:r>
        <w:r>
          <w:rPr>
            <w:noProof/>
            <w:webHidden/>
          </w:rPr>
          <w:instrText xml:space="preserve"> PAGEREF TocNIIF111 \h </w:instrText>
        </w:r>
        <w:r>
          <w:rPr>
            <w:noProof/>
            <w:webHidden/>
          </w:rPr>
          <w:fldChar w:fldCharType="separate"/>
        </w:r>
        <w:r>
          <w:rPr>
            <w:noProof/>
            <w:webHidden/>
          </w:rPr>
          <w:t>6</w:t>
        </w:r>
        <w:r>
          <w:rPr>
            <w:noProof/>
            <w:webHidden/>
          </w:rPr>
          <w:fldChar w:fldCharType="end"/>
        </w:r>
      </w:hyperlink>
    </w:p>
    <w:p>
      <w:pPr>
        <w:pStyle w:val="TDC2"/>
        <w:tabs>
          <w:tab w:val="right" w:leader="hyphen" w:pos="9350"/>
        </w:tabs>
        <w:rPr>
          <w:noProof/>
          <w:sz w:val="24"/>
        </w:rPr>
      </w:pPr>
      <w:hyperlink w:anchor="TocNIIF112" w:history="1">
        <w:r>
          <w:rPr>
            <w:rStyle w:val="Hipervnculo"/>
            <w:noProof/>
            <w:lang w:val="es-SV"/>
          </w:rPr>
          <w:t xml:space="preserve">Estados de flujos de efectivo (Sección 7 e IAS 7)</w:t>
        </w:r>
        <w:r>
          <w:rPr>
            <w:noProof/>
            <w:webHidden/>
          </w:rPr>
          <w:tab/>
        </w:r>
        <w:r>
          <w:rPr>
            <w:noProof/>
            <w:webHidden/>
          </w:rPr>
          <w:fldChar w:fldCharType="begin"/>
        </w:r>
        <w:r>
          <w:rPr>
            <w:noProof/>
            <w:webHidden/>
          </w:rPr>
          <w:instrText xml:space="preserve"> PAGEREF TocNIIF112 \h </w:instrText>
        </w:r>
        <w:r>
          <w:rPr>
            <w:noProof/>
            <w:webHidden/>
          </w:rPr>
          <w:fldChar w:fldCharType="separate"/>
        </w:r>
        <w:r>
          <w:rPr>
            <w:noProof/>
            <w:webHidden/>
          </w:rPr>
          <w:t>6</w:t>
        </w:r>
        <w:r>
          <w:rPr>
            <w:noProof/>
            <w:webHidden/>
          </w:rPr>
          <w:fldChar w:fldCharType="end"/>
        </w:r>
      </w:hyperlink>
    </w:p>
    <w:p>
      <w:pPr>
        <w:pStyle w:val="TDC1"/>
        <w:tabs>
          <w:tab w:val="right" w:leader="hyphen" w:pos="9350"/>
        </w:tabs>
        <w:rPr>
          <w:noProof/>
          <w:sz w:val="24"/>
        </w:rPr>
      </w:pPr>
      <w:hyperlink w:anchor="TocNIIF113" w:history="1">
        <w:r>
          <w:rPr>
            <w:rStyle w:val="Hipervnculo"/>
            <w:noProof/>
            <w:lang w:val="es-SV"/>
          </w:rPr>
          <w:t xml:space="preserve">Estándares Tributarios y de Valoración Complementarios</w:t>
        </w:r>
        <w:r>
          <w:rPr>
            <w:noProof/>
            <w:webHidden/>
          </w:rPr>
          <w:tab/>
        </w:r>
        <w:r>
          <w:rPr>
            <w:noProof/>
            <w:webHidden/>
          </w:rPr>
          <w:fldChar w:fldCharType="begin"/>
        </w:r>
        <w:r>
          <w:rPr>
            <w:noProof/>
            <w:webHidden/>
          </w:rPr>
          <w:instrText xml:space="preserve"> PAGEREF TocNIIF113 \h </w:instrText>
        </w:r>
        <w:r>
          <w:rPr>
            <w:noProof/>
            <w:webHidden/>
          </w:rPr>
          <w:fldChar w:fldCharType="separate"/>
        </w:r>
        <w:r>
          <w:rPr>
            <w:noProof/>
            <w:webHidden/>
          </w:rPr>
          <w:t>6</w:t>
        </w:r>
        <w:r>
          <w:rPr>
            <w:noProof/>
            <w:webHidden/>
          </w:rPr>
          <w:fldChar w:fldCharType="end"/>
        </w:r>
      </w:hyperlink>
    </w:p>
    <w:p>
      <w:pPr>
        <w:pStyle w:val="TDC2"/>
        <w:tabs>
          <w:tab w:val="right" w:leader="hyphen" w:pos="9350"/>
        </w:tabs>
        <w:rPr>
          <w:noProof/>
          <w:sz w:val="24"/>
        </w:rPr>
      </w:pPr>
      <w:hyperlink w:anchor="TocNIIF114" w:history="1">
        <w:r>
          <w:rPr>
            <w:rStyle w:val="Hipervnculo"/>
            <w:noProof/>
            <w:lang w:val="es-SV"/>
          </w:rPr>
          <w:t xml:space="preserve">Impuestos (Sección 29)</w:t>
        </w:r>
        <w:r>
          <w:rPr>
            <w:noProof/>
            <w:webHidden/>
          </w:rPr>
          <w:tab/>
        </w:r>
        <w:r>
          <w:rPr>
            <w:noProof/>
            <w:webHidden/>
          </w:rPr>
          <w:fldChar w:fldCharType="begin"/>
        </w:r>
        <w:r>
          <w:rPr>
            <w:noProof/>
            <w:webHidden/>
          </w:rPr>
          <w:instrText xml:space="preserve"> PAGEREF TocNIIF114 \h </w:instrText>
        </w:r>
        <w:r>
          <w:rPr>
            <w:noProof/>
            <w:webHidden/>
          </w:rPr>
          <w:fldChar w:fldCharType="separate"/>
        </w:r>
        <w:r>
          <w:rPr>
            <w:noProof/>
            <w:webHidden/>
          </w:rPr>
          <w:t>6</w:t>
        </w:r>
        <w:r>
          <w:rPr>
            <w:noProof/>
            <w:webHidden/>
          </w:rPr>
          <w:fldChar w:fldCharType="end"/>
        </w:r>
      </w:hyperlink>
    </w:p>
    <w:p>
      <w:pPr>
        <w:pStyle w:val="TDC2"/>
        <w:tabs>
          <w:tab w:val="right" w:leader="hyphen" w:pos="9350"/>
        </w:tabs>
        <w:rPr>
          <w:noProof/>
          <w:sz w:val="24"/>
        </w:rPr>
      </w:pPr>
      <w:hyperlink w:anchor="TocNIIF115" w:history="1">
        <w:r>
          <w:rPr>
            <w:rStyle w:val="Hipervnculo"/>
            <w:noProof/>
            <w:lang w:val="es-SV"/>
          </w:rPr>
          <w:t xml:space="preserve">Mediciones a valor razonable (IFRS 13)</w:t>
        </w:r>
        <w:r>
          <w:rPr>
            <w:noProof/>
            <w:webHidden/>
          </w:rPr>
          <w:tab/>
        </w:r>
        <w:r>
          <w:rPr>
            <w:noProof/>
            <w:webHidden/>
          </w:rPr>
          <w:fldChar w:fldCharType="begin"/>
        </w:r>
        <w:r>
          <w:rPr>
            <w:noProof/>
            <w:webHidden/>
          </w:rPr>
          <w:instrText xml:space="preserve"> PAGEREF TocNIIF115 \h </w:instrText>
        </w:r>
        <w:r>
          <w:rPr>
            <w:noProof/>
            <w:webHidden/>
          </w:rPr>
          <w:fldChar w:fldCharType="separate"/>
        </w:r>
        <w:r>
          <w:rPr>
            <w:noProof/>
            <w:webHidden/>
          </w:rPr>
          <w:t>6</w:t>
        </w:r>
        <w:r>
          <w:rPr>
            <w:noProof/>
            <w:webHidden/>
          </w:rPr>
          <w:fldChar w:fldCharType="end"/>
        </w:r>
      </w:hyperlink>
    </w:p>
    <w:p>
      <w:pPr>
        <w:pStyle w:val="TDC1"/>
        <w:tabs>
          <w:tab w:val="right" w:leader="hyphen" w:pos="9350"/>
        </w:tabs>
        <w:rPr>
          <w:noProof/>
          <w:sz w:val="24"/>
        </w:rPr>
      </w:pPr>
      <w:hyperlink w:anchor="TocNIIF116" w:history="1">
        <w:r>
          <w:rPr>
            <w:rStyle w:val="Hipervnculo"/>
            <w:noProof/>
            <w:lang w:val="es-SV"/>
          </w:rPr>
          <w:t xml:space="preserve">Implementación en el Sistema Contable</w:t>
        </w:r>
        <w:r>
          <w:rPr>
            <w:noProof/>
            <w:webHidden/>
          </w:rPr>
          <w:tab/>
        </w:r>
        <w:r>
          <w:rPr>
            <w:noProof/>
            <w:webHidden/>
          </w:rPr>
          <w:fldChar w:fldCharType="begin"/>
        </w:r>
        <w:r>
          <w:rPr>
            <w:noProof/>
            <w:webHidden/>
          </w:rPr>
          <w:instrText xml:space="preserve"> PAGEREF TocNIIF116 \h </w:instrText>
        </w:r>
        <w:r>
          <w:rPr>
            <w:noProof/>
            <w:webHidden/>
          </w:rPr>
          <w:fldChar w:fldCharType="separate"/>
        </w:r>
        <w:r>
          <w:rPr>
            <w:noProof/>
            <w:webHidden/>
          </w:rPr>
          <w:t>6</w:t>
        </w:r>
        <w:r>
          <w:rPr>
            <w:noProof/>
            <w:webHidden/>
          </w:rPr>
          <w:fldChar w:fldCharType="end"/>
        </w:r>
      </w:hyperlink>
    </w:p>
    <w:p>
      <w:pPr>
        <w:pStyle w:val="TDC1"/>
        <w:tabs>
          <w:tab w:val="right" w:leader="hyphen" w:pos="9350"/>
        </w:tabs>
        <w:rPr>
          <w:noProof/>
          <w:sz w:val="24"/>
        </w:rPr>
      </w:pPr>
      <w:hyperlink w:anchor="TocNIIF117" w:history="1">
        <w:r>
          <w:rPr>
            <w:rStyle w:val="Hipervnculo"/>
            <w:noProof/>
            <w:lang w:val="es-SV"/>
          </w:rPr>
          <w:t xml:space="preserve">Referencias</w:t>
        </w:r>
        <w:r>
          <w:rPr>
            <w:noProof/>
            <w:webHidden/>
          </w:rPr>
          <w:tab/>
        </w:r>
        <w:r>
          <w:rPr>
            <w:noProof/>
            <w:webHidden/>
          </w:rPr>
          <w:fldChar w:fldCharType="begin"/>
        </w:r>
        <w:r>
          <w:rPr>
            <w:noProof/>
            <w:webHidden/>
          </w:rPr>
          <w:instrText xml:space="preserve"> PAGEREF TocNIIF117 \h </w:instrText>
        </w:r>
        <w:r>
          <w:rPr>
            <w:noProof/>
            <w:webHidden/>
          </w:rPr>
          <w:fldChar w:fldCharType="separate"/>
        </w:r>
        <w:r>
          <w:rPr>
            <w:noProof/>
            <w:webHidden/>
          </w:rPr>
          <w:t>6</w:t>
        </w:r>
        <w:r>
          <w:rPr>
            <w:noProof/>
            <w:webHidden/>
          </w:rPr>
          <w:fldChar w:fldCharType="end"/>
        </w:r>
      </w:hyperlink>
    </w:p>
    <w:p>
      <w:pPr>
        <w:pStyle w:val="TDC1"/>
        <w:tabs>
          <w:tab w:val="right" w:leader="hyphen" w:pos="9350"/>
        </w:tabs>
        <w:rPr>
          <w:noProof/>
          <w:sz w:val="24"/>
        </w:rPr>
      </w:pPr>
      <w:hyperlink w:anchor="TocNIIF118" w:history="1">
        <w:r>
          <w:rPr>
            <w:rStyle w:val="Hipervnculo"/>
            <w:noProof/>
            <w:lang w:val="es-SV"/>
          </w:rPr>
          <w:t xml:space="preserve">CONTROL DE VERSIONES Y ELABORACIÓN DEL DOCUMENTO</w:t>
        </w:r>
        <w:r>
          <w:rPr>
            <w:noProof/>
            <w:webHidden/>
          </w:rPr>
          <w:tab/>
        </w:r>
        <w:r>
          <w:rPr>
            <w:noProof/>
            <w:webHidden/>
          </w:rPr>
          <w:fldChar w:fldCharType="begin"/>
        </w:r>
        <w:r>
          <w:rPr>
            <w:noProof/>
            <w:webHidden/>
          </w:rPr>
          <w:instrText xml:space="preserve"> PAGEREF TocNIIF118 \h </w:instrText>
        </w:r>
        <w:r>
          <w:rPr>
            <w:noProof/>
            <w:webHidden/>
          </w:rPr>
          <w:fldChar w:fldCharType="separate"/>
        </w:r>
        <w:r>
          <w:rPr>
            <w:noProof/>
            <w:webHidden/>
          </w:rPr>
          <w:t>6</w:t>
        </w:r>
        <w:r>
          <w:rPr>
            <w:noProof/>
            <w:webHidden/>
          </w:rPr>
          <w:fldChar w:fldCharType="end"/>
        </w:r>
      </w:hyperlink>
    </w:p>
    <w:p>
      <w:pPr/>
      <w:r>
        <w:rPr>
          <w:lang w:val="es-SV"/>
        </w:rPr>
        <w:fldChar w:fldCharType="end"/>
      </w:r>
      <w:r>
        <w:rPr>
          <w:lang w:val="es-SV"/>
        </w:rPr>
        <w:br w:type="page"/>
      </w:r>
    </w:p>
    <w:p>
      <w:pPr>
        <w:pStyle w:val="Ttulo1"/>
        <w:jc w:val="center"/>
        <w:rPr>
          <w:rFonts w:ascii="Times New Roman" w:hAnsi="Times New Roman" w:cs="Times New Roman"/>
          <w:color w:val="auto"/>
          <w:sz w:val="24"/>
          <w:szCs w:val="24"/>
          <w:lang w:val="es-SV"/>
        </w:rPr>
      </w:pPr>
      <w:bookmarkStart w:id="100" w:name="TocNIIF100"/>
      <w:r>
        <w:rPr>
          <w:rFonts w:ascii="Times New Roman" w:hAnsi="Times New Roman" w:cs="Times New Roman"/>
          <w:color w:val="auto"/>
          <w:sz w:val="24"/>
          <w:szCs w:val="24"/>
          <w:lang w:val="es-SV"/>
        </w:rPr>
        <w:t xml:space="preserve">Introducción</w:t>
      </w:r>
      <w:bookmarkEnd w:id="100"/>
    </w:p>
    <w:p>
      <w:pPr>
        <w:ind w:firstLine="720"/>
      </w:pPr>
      <w:r>
        <w:rPr/>
        <w:t xml:space="preserve">Este documento establece los estándares contables que adopta SunGames, S.A. de C.V. para la preparación y presentación de sus estados financieros, con base en las Normas Internacionales de Información Financiera para Pequeñas y Medianas Entidades (NIIF para PYMES) y, cuando aplica, en las normas internacionales completas que les sirven de referencia. El propósito es fijar las políticas contables del sistema en función del giro de la empresa: desarrollo, producción y comercialización de videojuegos mediante licencias.</w:t>
      </w:r>
    </w:p>
    <w:p>
      <w:pPr/>
      <w:r>
        <w:br w:type="page"/>
      </w:r>
    </w:p>
    <w:p>
      <w:pPr>
        <w:pStyle w:val="Ttulo1"/>
        <w:jc w:val="center"/>
        <w:rPr>
          <w:rFonts w:ascii="Times New Roman" w:hAnsi="Times New Roman" w:cs="Times New Roman"/>
          <w:color w:val="auto"/>
          <w:sz w:val="24"/>
          <w:szCs w:val="24"/>
          <w:lang w:val="es-SV"/>
        </w:rPr>
      </w:pPr>
      <w:bookmarkStart w:id="101" w:name="TocNIIF101"/>
      <w:r>
        <w:rPr>
          <w:rFonts w:ascii="Times New Roman" w:hAnsi="Times New Roman" w:cs="Times New Roman"/>
          <w:color w:val="auto"/>
          <w:sz w:val="24"/>
          <w:szCs w:val="24"/>
          <w:lang w:val="es-SV"/>
        </w:rPr>
        <w:t xml:space="preserve">Elección del Marco Aplicable</w:t>
      </w:r>
      <w:bookmarkEnd w:id="101"/>
    </w:p>
    <w:p>
      <w:pPr>
        <w:ind w:firstLine="720"/>
      </w:pPr>
      <w:r>
        <w:rPr/>
        <w:t xml:space="preserve">Las NIIF para PYMES (Consejo de Normas Internacionales de Contabilidad, 2015) establecen los requisitos de reconocimiento, medición, presentación e información a revelar para entidades que no tienen obligación pública de rendir cuentas y cuyas cifras son de tamaño moderado. SunGames, según su expediente simulado (capital social de US$30,000.00 y, de forma preliminar, una operación de tamaño reducido), corresponde al perfil de una PYME; en consecuencia, el sistema contable adopta como marco principal las NIIF para PYMES, sin perjuicio de que la administración documente formalmente esta decisión y del soporte de transición si la entidad optara por las NIIF completas.</w:t>
      </w:r>
    </w:p>
    <w:p>
      <w:pPr/>
      <w:r>
        <w:br w:type="page"/>
      </w:r>
    </w:p>
    <w:p>
      <w:pPr>
        <w:pStyle w:val="Ttulo1"/>
        <w:jc w:val="center"/>
        <w:rPr>
          <w:rFonts w:ascii="Times New Roman" w:hAnsi="Times New Roman" w:cs="Times New Roman"/>
          <w:color w:val="auto"/>
          <w:sz w:val="24"/>
          <w:szCs w:val="24"/>
          <w:lang w:val="es-SV"/>
        </w:rPr>
      </w:pPr>
      <w:bookmarkStart w:id="102" w:name="TocNIIF102"/>
      <w:r>
        <w:rPr>
          <w:rFonts w:ascii="Times New Roman" w:hAnsi="Times New Roman" w:cs="Times New Roman"/>
          <w:color w:val="auto"/>
          <w:sz w:val="24"/>
          <w:szCs w:val="24"/>
          <w:lang w:val="es-SV"/>
        </w:rPr>
        <w:t xml:space="preserve">Fundamentos de Presentación de los Estados Financieros</w:t>
      </w:r>
      <w:bookmarkEnd w:id="102"/>
    </w:p>
    <w:p>
      <w:pPr>
        <w:pStyle w:val="Ttulo2"/>
        <w:rPr>
          <w:rFonts w:ascii="Times New Roman" w:hAnsi="Times New Roman" w:cs="Times New Roman"/>
          <w:color w:val="auto"/>
          <w:sz w:val="24"/>
          <w:szCs w:val="24"/>
          <w:lang w:val="es-SV"/>
        </w:rPr>
      </w:pPr>
      <w:bookmarkStart w:id="103" w:name="TocNIIF103"/>
      <w:r>
        <w:rPr>
          <w:rFonts w:ascii="Times New Roman" w:hAnsi="Times New Roman" w:cs="Times New Roman"/>
          <w:color w:val="auto"/>
          <w:sz w:val="24"/>
          <w:szCs w:val="24"/>
          <w:lang w:val="es-SV"/>
        </w:rPr>
        <w:t xml:space="preserve">Objetivo y características de la información</w:t>
      </w:r>
      <w:bookmarkEnd w:id="103"/>
    </w:p>
    <w:p>
      <w:pPr>
        <w:ind w:firstLine="720"/>
      </w:pPr>
      <w:r>
        <w:rPr/>
        <w:t xml:space="preserve">Conforme a la Sección 2 de las NIIF para PYMES, los estados financieros se preparan bajo la base de devengo y presentan una imagen fiel de la situación financiera de la empresa; sus cualidades esenciales son la comprensibilidad, la relevancia, la materialidad, la fiabilidad y la comparabilidad. El sistema debe conservar información comparativa de períodos anteriores para satisfacer este último requisito.</w:t>
      </w:r>
    </w:p>
    <w:p>
      <w:pPr>
        <w:pStyle w:val="Ttulo2"/>
        <w:rPr>
          <w:rFonts w:ascii="Times New Roman" w:hAnsi="Times New Roman" w:cs="Times New Roman"/>
          <w:color w:val="auto"/>
          <w:sz w:val="24"/>
          <w:szCs w:val="24"/>
          <w:lang w:val="es-SV"/>
        </w:rPr>
      </w:pPr>
      <w:bookmarkStart w:id="104" w:name="TocNIIF104"/>
      <w:r>
        <w:rPr>
          <w:rFonts w:ascii="Times New Roman" w:hAnsi="Times New Roman" w:cs="Times New Roman"/>
          <w:color w:val="auto"/>
          <w:sz w:val="24"/>
          <w:szCs w:val="24"/>
          <w:lang w:val="es-SV"/>
        </w:rPr>
        <w:t xml:space="preserve">Juego completo de estados financieros</w:t>
      </w:r>
      <w:bookmarkEnd w:id="104"/>
    </w:p>
    <w:p>
      <w:pPr>
        <w:ind w:firstLine="720"/>
      </w:pPr>
      <w:r>
        <w:rPr/>
        <w:t xml:space="preserve">SunGames presentará el siguiente juego completo de estados financieros anuales: estado de situación financiera (Sección 4), estado de resultados (Sección 5), estado de cambios en el patrimonio (Sección 6), estado de flujos de efectivo (Sección 7) y las notas a los estados financieros (Secciones 8 a 10). El sistema contable debe generar cada uno de estos reportes directamente de los saldos de las cuentas.</w:t>
      </w:r>
    </w:p>
    <w:p>
      <w:pPr>
        <w:pStyle w:val="Ttulo2"/>
        <w:rPr>
          <w:rFonts w:ascii="Times New Roman" w:hAnsi="Times New Roman" w:cs="Times New Roman"/>
          <w:color w:val="auto"/>
          <w:sz w:val="24"/>
          <w:szCs w:val="24"/>
          <w:lang w:val="es-SV"/>
        </w:rPr>
      </w:pPr>
      <w:bookmarkStart w:id="105" w:name="TocNIIF105"/>
      <w:r>
        <w:rPr>
          <w:rFonts w:ascii="Times New Roman" w:hAnsi="Times New Roman" w:cs="Times New Roman"/>
          <w:color w:val="auto"/>
          <w:sz w:val="24"/>
          <w:szCs w:val="24"/>
          <w:lang w:val="es-SV"/>
        </w:rPr>
        <w:t xml:space="preserve">Políticas contables, cambios y errores (Sección 10)</w:t>
      </w:r>
      <w:bookmarkEnd w:id="105"/>
    </w:p>
    <w:p>
      <w:pPr>
        <w:ind w:firstLine="720"/>
      </w:pPr>
      <w:r>
        <w:rPr/>
        <w:t xml:space="preserve">Las políticas contables se seleccionan de forma que los estados financieros sean relevantes y fiables. Los cambios de políticas, de estimaciones contables y la corrección de errores se tratan según la Sección 10: los cambios de políticas y la corrección de errores materiales se reconocen de forma retroactiva, mientras que los cambios de estimaciones se reconocen prospectivamente. El sistema debe permitir registrar estas operaciones dejando trazabilidad de impacto en los períodos.</w:t>
      </w:r>
    </w:p>
    <w:p>
      <w:pPr/>
      <w:r>
        <w:br w:type="page"/>
      </w:r>
    </w:p>
    <w:p>
      <w:pPr>
        <w:pStyle w:val="Ttulo1"/>
        <w:jc w:val="center"/>
        <w:rPr>
          <w:rFonts w:ascii="Times New Roman" w:hAnsi="Times New Roman" w:cs="Times New Roman"/>
          <w:color w:val="auto"/>
          <w:sz w:val="24"/>
          <w:szCs w:val="24"/>
          <w:lang w:val="es-SV"/>
        </w:rPr>
      </w:pPr>
      <w:bookmarkStart w:id="106" w:name="TocNIIF106"/>
      <w:r>
        <w:rPr>
          <w:rFonts w:ascii="Times New Roman" w:hAnsi="Times New Roman" w:cs="Times New Roman"/>
          <w:color w:val="auto"/>
          <w:sz w:val="24"/>
          <w:szCs w:val="24"/>
          <w:lang w:val="es-SV"/>
        </w:rPr>
        <w:t xml:space="preserve">Estándares Aplicables al Giro de Videojuegos</w:t>
      </w:r>
      <w:bookmarkEnd w:id="106"/>
    </w:p>
    <w:p>
      <w:pPr>
        <w:pStyle w:val="Ttulo2"/>
        <w:rPr>
          <w:rFonts w:ascii="Times New Roman" w:hAnsi="Times New Roman" w:cs="Times New Roman"/>
          <w:color w:val="auto"/>
          <w:sz w:val="24"/>
          <w:szCs w:val="24"/>
          <w:lang w:val="es-SV"/>
        </w:rPr>
      </w:pPr>
      <w:bookmarkStart w:id="107" w:name="TocNIIF107"/>
      <w:r>
        <w:rPr>
          <w:rFonts w:ascii="Times New Roman" w:hAnsi="Times New Roman" w:cs="Times New Roman"/>
          <w:color w:val="auto"/>
          <w:sz w:val="24"/>
          <w:szCs w:val="24"/>
          <w:lang w:val="es-SV"/>
        </w:rPr>
        <w:t xml:space="preserve">Reconocimiento de ingresos (Sección 23 e IFRS 15)</w:t>
      </w:r>
      <w:bookmarkEnd w:id="107"/>
    </w:p>
    <w:p>
      <w:pPr>
        <w:ind w:firstLine="720"/>
      </w:pPr>
      <w:r>
        <w:rPr/>
        <w:t xml:space="preserve">Los ingresos por contratos con clientes se reconocen aplicando el modelo de cinco pasos que desarrolla la IFRS 15 (Consejo de Normas Internacionales de Contabilidad, 2014) y que la Sección 23 de las NIIF para PYMES resume: identificación del contrato, de las obligaciones de desempeño, determinación del precio de la transacción, asignación del precio a las obligaciones y reconocimiento cuando se satisface cada obligación. Para SunGames esto implica:</w:t>
      </w:r>
    </w:p>
    <w:p>
      <w:pPr>
        <w:pStyle w:val="Listaconvietas"/>
      </w:pPr>
      <w:r>
        <w:rPr/>
        <w:t xml:space="preserve">Venta de videojuegos y contenidos digitales: ingreso reconocido en el momento en que la obligación de desempeño se satisface (entrega o puesta a disposición del bien).</w:t>
      </w:r>
    </w:p>
    <w:p>
      <w:pPr>
        <w:pStyle w:val="Listaconvietas"/>
      </w:pPr>
      <w:r>
        <w:rPr/>
        <w:t xml:space="preserve">Desarrollo por encargo: ingreso reconocido a lo largo del tiempo (proporcional al avance) cuando la obligación se satisface durante el período, en función del grado de avance o de desempeño.</w:t>
      </w:r>
    </w:p>
    <w:p>
      <w:pPr>
        <w:pStyle w:val="Listaconvietas"/>
      </w:pPr>
      <w:r>
        <w:rPr/>
        <w:t xml:space="preserve">Licencias y regalías: el reconocimiento depende de si la licencia otorga acceso (se reconoce a lo largo del tiempo) o derecho de uso (se reconoce en el momento del traspaso); las regalías se reconocen cuando devengan.</w:t>
      </w:r>
    </w:p>
    <w:p>
      <w:pPr>
        <w:pStyle w:val="Ttulo2"/>
        <w:rPr>
          <w:rFonts w:ascii="Times New Roman" w:hAnsi="Times New Roman" w:cs="Times New Roman"/>
          <w:color w:val="auto"/>
          <w:sz w:val="24"/>
          <w:szCs w:val="24"/>
          <w:lang w:val="es-SV"/>
        </w:rPr>
      </w:pPr>
      <w:bookmarkStart w:id="108" w:name="TocNIIF108"/>
      <w:r>
        <w:rPr>
          <w:rFonts w:ascii="Times New Roman" w:hAnsi="Times New Roman" w:cs="Times New Roman"/>
          <w:color w:val="auto"/>
          <w:sz w:val="24"/>
          <w:szCs w:val="24"/>
          <w:lang w:val="es-SV"/>
        </w:rPr>
        <w:t xml:space="preserve">Activos intangibles (Sección 18 e IAS 38)</w:t>
      </w:r>
      <w:bookmarkEnd w:id="108"/>
    </w:p>
    <w:p>
      <w:pPr>
        <w:ind w:firstLine="720"/>
      </w:pPr>
      <w:r>
        <w:rPr/>
        <w:t xml:space="preserve">Los gastos de investigación se reconocen como gastos del período; los gastos de desarrollo se capitalizan cuando se demuestran la factibilidad técnica, la intención y capacidad de completar y usar o vender el activo, la disponibilidad de recursos y la posibilidad de medir los costos de forma fiable, conforme a la IAS 38 (Consejo de Normas Internacionales de Contabilidad, 2004). Para los videojuegos de SunGames:</w:t>
      </w:r>
    </w:p>
    <w:p>
      <w:pPr>
        <w:pStyle w:val="Listaconvietas"/>
      </w:pPr>
      <w:r>
        <w:rPr/>
        <w:t xml:space="preserve">Etapa de investigación: concepto, prototipos exploratorios y estudios de factibilidad se registran como gasto.</w:t>
      </w:r>
    </w:p>
    <w:p>
      <w:pPr>
        <w:pStyle w:val="Listaconvietas"/>
      </w:pPr>
      <w:r>
        <w:rPr/>
        <w:t xml:space="preserve">Etapa de desarrollo: los costos de programación, arte, animación y pruebas de una versión comercialmente viable se capitalizan como activo intangible en desarrollo.</w:t>
      </w:r>
    </w:p>
    <w:p>
      <w:pPr>
        <w:pStyle w:val="Listaconvietas"/>
      </w:pPr>
      <w:r>
        <w:rPr/>
        <w:t xml:space="preserve">Amortización: el intangible se amortiza sistemáticamente según su vida útil (habitualmente 3 a 5 años), con prueba de deterioro si existen indicios de pérdida.</w:t>
      </w:r>
    </w:p>
    <w:p>
      <w:pPr>
        <w:pStyle w:val="Ttulo2"/>
        <w:rPr>
          <w:rFonts w:ascii="Times New Roman" w:hAnsi="Times New Roman" w:cs="Times New Roman"/>
          <w:color w:val="auto"/>
          <w:sz w:val="24"/>
          <w:szCs w:val="24"/>
          <w:lang w:val="es-SV"/>
        </w:rPr>
      </w:pPr>
      <w:bookmarkStart w:id="109" w:name="TocNIIF109"/>
      <w:r>
        <w:rPr>
          <w:rFonts w:ascii="Times New Roman" w:hAnsi="Times New Roman" w:cs="Times New Roman"/>
          <w:color w:val="auto"/>
          <w:sz w:val="24"/>
          <w:szCs w:val="24"/>
          <w:lang w:val="es-SV"/>
        </w:rPr>
        <w:t xml:space="preserve">Propiedades, planta y equipo (Sección 17)</w:t>
      </w:r>
      <w:bookmarkEnd w:id="109"/>
    </w:p>
    <w:p>
      <w:pPr>
        <w:ind w:firstLine="720"/>
      </w:pPr>
      <w:r>
        <w:rPr/>
        <w:t xml:space="preserve">Los equipos de cómputo, mobiliario y demás bienes de uso se reconocen al costo y se deprecian bajo el método lineal a lo largo de su vida útil estimada, revisada al menos una vez al año. El sistema administrará las altas, bajas y la depreciación de cada activo.</w:t>
      </w:r>
    </w:p>
    <w:p>
      <w:pPr>
        <w:pStyle w:val="Ttulo2"/>
        <w:rPr>
          <w:rFonts w:ascii="Times New Roman" w:hAnsi="Times New Roman" w:cs="Times New Roman"/>
          <w:color w:val="auto"/>
          <w:sz w:val="24"/>
          <w:szCs w:val="24"/>
          <w:lang w:val="es-SV"/>
        </w:rPr>
      </w:pPr>
      <w:bookmarkStart w:id="110" w:name="TocNIIF110"/>
      <w:r>
        <w:rPr>
          <w:rFonts w:ascii="Times New Roman" w:hAnsi="Times New Roman" w:cs="Times New Roman"/>
          <w:color w:val="auto"/>
          <w:sz w:val="24"/>
          <w:szCs w:val="24"/>
          <w:lang w:val="es-SV"/>
        </w:rPr>
        <w:t xml:space="preserve">Inventarios (Sección 13)</w:t>
      </w:r>
      <w:bookmarkEnd w:id="110"/>
    </w:p>
    <w:p>
      <w:pPr>
        <w:ind w:firstLine="720"/>
      </w:pPr>
      <w:r>
        <w:rPr/>
        <w:t xml:space="preserve">Los inventarios (mercadería para reventa, insumos de empaque, material promocional) se valoran al menor entre el costo y el valor neto realizable, utilizando un método de asignación de costos consistente (p. ej., promedio ponderado).</w:t>
      </w:r>
    </w:p>
    <w:p>
      <w:pPr>
        <w:pStyle w:val="Ttulo2"/>
        <w:rPr>
          <w:rFonts w:ascii="Times New Roman" w:hAnsi="Times New Roman" w:cs="Times New Roman"/>
          <w:color w:val="auto"/>
          <w:sz w:val="24"/>
          <w:szCs w:val="24"/>
          <w:lang w:val="es-SV"/>
        </w:rPr>
      </w:pPr>
      <w:bookmarkStart w:id="111" w:name="TocNIIF111"/>
      <w:r>
        <w:rPr>
          <w:rFonts w:ascii="Times New Roman" w:hAnsi="Times New Roman" w:cs="Times New Roman"/>
          <w:color w:val="auto"/>
          <w:sz w:val="24"/>
          <w:szCs w:val="24"/>
          <w:lang w:val="es-SV"/>
        </w:rPr>
        <w:t xml:space="preserve">Moneda funcional (IAS 21)</w:t>
      </w:r>
      <w:bookmarkEnd w:id="111"/>
    </w:p>
    <w:p>
      <w:pPr>
        <w:ind w:firstLine="720"/>
      </w:pPr>
      <w:r>
        <w:rPr/>
        <w:t xml:space="preserve">Las operaciones se registran en la moneda funcional de la entidad. SunGames opera con dólares de los Estados Unidos como moneda de curso legal en El Salvador; las operaciones en otras monedas se convierten a la tasa de cambio de la fecha de la transacción y los saldos monetarios en moneda extranjera se reexpresan a la tasa de cierre, reconociendo las diferencias cambiarias en resultados, conforme a la IAS 21 (Consejo de Normas Internacionales de Contabilidad, 2003).</w:t>
      </w:r>
    </w:p>
    <w:p>
      <w:pPr>
        <w:pStyle w:val="Ttulo2"/>
        <w:rPr>
          <w:rFonts w:ascii="Times New Roman" w:hAnsi="Times New Roman" w:cs="Times New Roman"/>
          <w:color w:val="auto"/>
          <w:sz w:val="24"/>
          <w:szCs w:val="24"/>
          <w:lang w:val="es-SV"/>
        </w:rPr>
      </w:pPr>
      <w:bookmarkStart w:id="112" w:name="TocNIIF112"/>
      <w:r>
        <w:rPr>
          <w:rFonts w:ascii="Times New Roman" w:hAnsi="Times New Roman" w:cs="Times New Roman"/>
          <w:color w:val="auto"/>
          <w:sz w:val="24"/>
          <w:szCs w:val="24"/>
          <w:lang w:val="es-SV"/>
        </w:rPr>
        <w:t xml:space="preserve">Estados de flujos de efectivo (Sección 7 e IAS 7)</w:t>
      </w:r>
      <w:bookmarkEnd w:id="112"/>
    </w:p>
    <w:p>
      <w:pPr>
        <w:ind w:firstLine="720"/>
      </w:pPr>
      <w:r>
        <w:rPr/>
        <w:t xml:space="preserve">El estado de flujos de efectivo clasifica los flujos en actividades de operación, de inversión y de financiación (Consejo de Normas Internacionales de Contabilidad, 2009). El sistema clasificará automáticamente los movimientos de efectivo según la cuenta de origen.</w:t>
      </w:r>
    </w:p>
    <w:p>
      <w:pPr/>
      <w:r>
        <w:br w:type="page"/>
      </w:r>
    </w:p>
    <w:p>
      <w:pPr>
        <w:pStyle w:val="Ttulo1"/>
        <w:jc w:val="center"/>
        <w:rPr>
          <w:rFonts w:ascii="Times New Roman" w:hAnsi="Times New Roman" w:cs="Times New Roman"/>
          <w:color w:val="auto"/>
          <w:sz w:val="24"/>
          <w:szCs w:val="24"/>
          <w:lang w:val="es-SV"/>
        </w:rPr>
      </w:pPr>
      <w:bookmarkStart w:id="113" w:name="TocNIIF113"/>
      <w:r>
        <w:rPr>
          <w:rFonts w:ascii="Times New Roman" w:hAnsi="Times New Roman" w:cs="Times New Roman"/>
          <w:color w:val="auto"/>
          <w:sz w:val="24"/>
          <w:szCs w:val="24"/>
          <w:lang w:val="es-SV"/>
        </w:rPr>
        <w:t xml:space="preserve">Estándares Tributarios y de Valoración Complementarios</w:t>
      </w:r>
      <w:bookmarkEnd w:id="113"/>
    </w:p>
    <w:p>
      <w:pPr>
        <w:pStyle w:val="Ttulo2"/>
        <w:rPr>
          <w:rFonts w:ascii="Times New Roman" w:hAnsi="Times New Roman" w:cs="Times New Roman"/>
          <w:color w:val="auto"/>
          <w:sz w:val="24"/>
          <w:szCs w:val="24"/>
          <w:lang w:val="es-SV"/>
        </w:rPr>
      </w:pPr>
      <w:bookmarkStart w:id="114" w:name="TocNIIF114"/>
      <w:r>
        <w:rPr>
          <w:rFonts w:ascii="Times New Roman" w:hAnsi="Times New Roman" w:cs="Times New Roman"/>
          <w:color w:val="auto"/>
          <w:sz w:val="24"/>
          <w:szCs w:val="24"/>
          <w:lang w:val="es-SV"/>
        </w:rPr>
        <w:t xml:space="preserve">Impuestos (Sección 29)</w:t>
      </w:r>
      <w:bookmarkEnd w:id="114"/>
    </w:p>
    <w:p>
      <w:pPr>
        <w:ind w:firstLine="720"/>
      </w:pPr>
      <w:r>
        <w:rPr/>
        <w:t xml:space="preserve">El impuesto corriente se reconoce sobre la base de la renta imponible determinada conforme a la Ley de Impuesto sobre la Renta. Cuando existan diferencias temporarias entre la base contable y la fiscal, se reconoce impuesto diferido según la Sección 29 de las NIIF para PYMES. El IVA no forma parte de las NIIF: es un impuesto local regulado por la Ley de IVA y se gestiona en el sistema mediante el cálculo del débito y crédito fiscal.</w:t>
      </w:r>
    </w:p>
    <w:p>
      <w:pPr>
        <w:pStyle w:val="Ttulo2"/>
        <w:rPr>
          <w:rFonts w:ascii="Times New Roman" w:hAnsi="Times New Roman" w:cs="Times New Roman"/>
          <w:color w:val="auto"/>
          <w:sz w:val="24"/>
          <w:szCs w:val="24"/>
          <w:lang w:val="es-SV"/>
        </w:rPr>
      </w:pPr>
      <w:bookmarkStart w:id="115" w:name="TocNIIF115"/>
      <w:r>
        <w:rPr>
          <w:rFonts w:ascii="Times New Roman" w:hAnsi="Times New Roman" w:cs="Times New Roman"/>
          <w:color w:val="auto"/>
          <w:sz w:val="24"/>
          <w:szCs w:val="24"/>
          <w:lang w:val="es-SV"/>
        </w:rPr>
        <w:t xml:space="preserve">Mediciones a valor razonable (IFRS 13)</w:t>
      </w:r>
      <w:bookmarkEnd w:id="115"/>
    </w:p>
    <w:p>
      <w:pPr>
        <w:ind w:firstLine="720"/>
      </w:pPr>
      <w:r>
        <w:rPr/>
        <w:t xml:space="preserve">Cuando la normativa requiera mediciones a valor razonable (p. ej., instrumentos financieros básicos bajo la Sección 11), se aplicará la jerarquía de valor razonable de la IFRS 13 (Consejo de Normas Internacionales de Contabilidad, 2011) y se documentarán los supuestos utilizados.</w:t>
      </w:r>
    </w:p>
    <w:p>
      <w:pPr/>
      <w:r>
        <w:br w:type="page"/>
      </w:r>
    </w:p>
    <w:p>
      <w:pPr>
        <w:pStyle w:val="Ttulo1"/>
        <w:jc w:val="center"/>
        <w:rPr>
          <w:rFonts w:ascii="Times New Roman" w:hAnsi="Times New Roman" w:cs="Times New Roman"/>
          <w:color w:val="auto"/>
          <w:sz w:val="24"/>
          <w:szCs w:val="24"/>
          <w:lang w:val="es-SV"/>
        </w:rPr>
      </w:pPr>
      <w:bookmarkStart w:id="116" w:name="TocNIIF116"/>
      <w:r>
        <w:rPr>
          <w:rFonts w:ascii="Times New Roman" w:hAnsi="Times New Roman" w:cs="Times New Roman"/>
          <w:color w:val="auto"/>
          <w:sz w:val="24"/>
          <w:szCs w:val="24"/>
          <w:lang w:val="es-SV"/>
        </w:rPr>
        <w:t xml:space="preserve">Implementación en el Sistema Contable</w:t>
      </w:r>
      <w:bookmarkEnd w:id="116"/>
    </w:p>
    <w:p>
      <w:pPr>
        <w:keepNext/>
      </w:pPr>
      <w:r>
        <w:rPr>
          <w:b/>
        </w:rPr>
        <w:t xml:space="preserve">Tabla 1</w:t>
      </w:r>
    </w:p>
    <w:p>
      <w:pPr>
        <w:keepNext/>
      </w:pPr>
      <w:r>
        <w:rPr>
          <w:i/>
        </w:rPr>
        <w:t xml:space="preserve">Estándar y su materialización en los módulos del sistema</w:t>
      </w:r>
    </w:p>
    <w:tbl>
      <w:tblPr>
        <w:tblW w:w="0" w:type="auto"/>
        <w:jc w:val="center"/>
        <w:tblBorders>
          <w:top w:val="single" w:sz="8" w:space="0" w:color="000000"/>
          <w:bottom w:val="single" w:sz="8" w:space="0" w:color="000000"/>
        </w:tblBorders>
        <w:tblLayout w:type="fixed"/>
        <w:tblLook w:val="04A0" w:firstRow="1" w:lastRow="0" w:firstColumn="1" w:lastColumn="0" w:noHBand="0" w:noVBand="1"/>
      </w:tblPr>
      <w:tblGrid>
        <w:gridCol w:w="3504"/>
        <w:gridCol w:w="5856"/>
      </w:tblGrid>
      <w:tr>
        <w:trPr>
          <w:jc w:val="center"/>
        </w:trPr>
        <w:tc>
          <w:tcPr>
            <w:tcW w:w="3504" w:type="dxa"/>
            <w:tcBorders>
              <w:bottom w:val="single" w:sz="8" w:space="0" w:color="000000"/>
            </w:tcBorders>
          </w:tcPr>
          <w:p>
            <w:pPr>
              <w:spacing w:line="240" w:lineRule="auto"/>
              <w:jc w:val="center"/>
            </w:pPr>
            <w:r>
              <w:rPr>
                <w:b/>
                <w:sz w:val="20"/>
              </w:rPr>
              <w:t xml:space="preserve">Estándar</w:t>
            </w:r>
          </w:p>
        </w:tc>
        <w:tc>
          <w:tcPr>
            <w:tcW w:w="5856" w:type="dxa"/>
            <w:tcBorders>
              <w:bottom w:val="single" w:sz="8" w:space="0" w:color="000000"/>
            </w:tcBorders>
          </w:tcPr>
          <w:p>
            <w:pPr>
              <w:spacing w:line="240" w:lineRule="auto"/>
              <w:jc w:val="center"/>
            </w:pPr>
            <w:r>
              <w:rPr>
                <w:b/>
                <w:sz w:val="20"/>
              </w:rPr>
              <w:t xml:space="preserve">Módulo / función del sistema</w:t>
            </w:r>
          </w:p>
        </w:tc>
      </w:tr>
      <w:tr>
        <w:trPr>
          <w:jc w:val="center"/>
        </w:trPr>
        <w:tc>
          <w:tcPr>
            <w:tcW w:w="3504" w:type="dxa"/>
          </w:tcPr>
          <w:p>
            <w:pPr>
              <w:spacing w:line="240" w:lineRule="auto"/>
            </w:pPr>
            <w:r>
              <w:rPr>
                <w:sz w:val="20"/>
              </w:rPr>
              <w:t xml:space="preserve">Políticas contables y mapeo normativo</w:t>
            </w:r>
          </w:p>
        </w:tc>
        <w:tc>
          <w:tcPr>
            <w:tcW w:w="5856" w:type="dxa"/>
          </w:tcPr>
          <w:p>
            <w:pPr>
              <w:spacing w:line="240" w:lineRule="auto"/>
            </w:pPr>
            <w:r>
              <w:rPr>
                <w:sz w:val="20"/>
              </w:rPr>
              <w:t xml:space="preserve">Módulo de configuración: registro de políticas, vidas útiles, tasas y métodos; mapeo de cuentas a rubros NIIF.</w:t>
            </w:r>
          </w:p>
        </w:tc>
      </w:tr>
      <w:tr>
        <w:trPr>
          <w:jc w:val="center"/>
        </w:trPr>
        <w:tc>
          <w:tcPr>
            <w:tcW w:w="3504" w:type="dxa"/>
          </w:tcPr>
          <w:p>
            <w:pPr>
              <w:spacing w:line="240" w:lineRule="auto"/>
            </w:pPr>
            <w:r>
              <w:rPr>
                <w:sz w:val="20"/>
              </w:rPr>
              <w:t xml:space="preserve">Ingresos (IFRS 15 / Sección 23)</w:t>
            </w:r>
          </w:p>
        </w:tc>
        <w:tc>
          <w:tcPr>
            <w:tcW w:w="5856" w:type="dxa"/>
          </w:tcPr>
          <w:p>
            <w:pPr>
              <w:spacing w:line="240" w:lineRule="auto"/>
            </w:pPr>
            <w:r>
              <w:rPr>
                <w:sz w:val="20"/>
              </w:rPr>
              <w:t xml:space="preserve">Módulo de ventas e ingresos: tipos de contrato, obligaciones de desempeño y reconocimiento.</w:t>
            </w:r>
          </w:p>
        </w:tc>
      </w:tr>
      <w:tr>
        <w:trPr>
          <w:jc w:val="center"/>
        </w:trPr>
        <w:tc>
          <w:tcPr>
            <w:tcW w:w="3504" w:type="dxa"/>
          </w:tcPr>
          <w:p>
            <w:pPr>
              <w:spacing w:line="240" w:lineRule="auto"/>
            </w:pPr>
            <w:r>
              <w:rPr>
                <w:sz w:val="20"/>
              </w:rPr>
              <w:t xml:space="preserve">Intangibles (Sección 18 / IAS 38)</w:t>
            </w:r>
          </w:p>
        </w:tc>
        <w:tc>
          <w:tcPr>
            <w:tcW w:w="5856" w:type="dxa"/>
          </w:tcPr>
          <w:p>
            <w:pPr>
              <w:spacing w:line="240" w:lineRule="auto"/>
            </w:pPr>
            <w:r>
              <w:rPr>
                <w:sz w:val="20"/>
              </w:rPr>
              <w:t xml:space="preserve">Módulo de activos: control de proyectos en desarrollo, capitalización y amortización.</w:t>
            </w:r>
          </w:p>
        </w:tc>
      </w:tr>
      <w:tr>
        <w:trPr>
          <w:jc w:val="center"/>
        </w:trPr>
        <w:tc>
          <w:tcPr>
            <w:tcW w:w="3504" w:type="dxa"/>
          </w:tcPr>
          <w:p>
            <w:pPr>
              <w:spacing w:line="240" w:lineRule="auto"/>
            </w:pPr>
            <w:r>
              <w:rPr>
                <w:sz w:val="20"/>
              </w:rPr>
              <w:t xml:space="preserve">Equipos y depreciación (Sección 17)</w:t>
            </w:r>
          </w:p>
        </w:tc>
        <w:tc>
          <w:tcPr>
            <w:tcW w:w="5856" w:type="dxa"/>
          </w:tcPr>
          <w:p>
            <w:pPr>
              <w:spacing w:line="240" w:lineRule="auto"/>
            </w:pPr>
            <w:r>
              <w:rPr>
                <w:sz w:val="20"/>
              </w:rPr>
              <w:t xml:space="preserve">Módulo de activos fijos: altas, bajas y cálculo de depreciación.</w:t>
            </w:r>
          </w:p>
        </w:tc>
      </w:tr>
      <w:tr>
        <w:trPr>
          <w:jc w:val="center"/>
        </w:trPr>
        <w:tc>
          <w:tcPr>
            <w:tcW w:w="3504" w:type="dxa"/>
          </w:tcPr>
          <w:p>
            <w:pPr>
              <w:spacing w:line="240" w:lineRule="auto"/>
            </w:pPr>
            <w:r>
              <w:rPr>
                <w:sz w:val="20"/>
              </w:rPr>
              <w:t xml:space="preserve">IVA y renta</w:t>
            </w:r>
          </w:p>
        </w:tc>
        <w:tc>
          <w:tcPr>
            <w:tcW w:w="5856" w:type="dxa"/>
          </w:tcPr>
          <w:p>
            <w:pPr>
              <w:spacing w:line="240" w:lineRule="auto"/>
            </w:pPr>
            <w:r>
              <w:rPr>
                <w:sz w:val="20"/>
              </w:rPr>
              <w:t xml:space="preserve">Módulo de impuestos: IVA débito/crédito, liquidaciones y renta.</w:t>
            </w:r>
          </w:p>
        </w:tc>
      </w:tr>
      <w:tr>
        <w:trPr>
          <w:jc w:val="center"/>
        </w:trPr>
        <w:tc>
          <w:tcPr>
            <w:tcW w:w="3504" w:type="dxa"/>
          </w:tcPr>
          <w:p>
            <w:pPr>
              <w:spacing w:line="240" w:lineRule="auto"/>
            </w:pPr>
            <w:r>
              <w:rPr>
                <w:sz w:val="20"/>
              </w:rPr>
              <w:t xml:space="preserve">Estados financieros</w:t>
            </w:r>
          </w:p>
        </w:tc>
        <w:tc>
          <w:tcPr>
            <w:tcW w:w="5856" w:type="dxa"/>
          </w:tcPr>
          <w:p>
            <w:pPr>
              <w:spacing w:line="240" w:lineRule="auto"/>
            </w:pPr>
            <w:r>
              <w:rPr>
                <w:sz w:val="20"/>
              </w:rPr>
              <w:t xml:space="preserve">Reportes de situación financiera, resultados, patrimonio y flujos de efectivo.</w:t>
            </w:r>
          </w:p>
        </w:tc>
      </w:tr>
    </w:tbl>
    <w:p>
      <w:pPr>
        <w:ind w:firstLine="720"/>
      </w:pPr>
      <w:r>
        <w:rPr/>
        <w:t xml:space="preserve">La decisión de adoptar las NIIF para PYMES y las políticas señaladas debe formalizarse mediante una declaración de políticas contables de la sociedad, conforme a la Sección 10, y actualizarse cuando ocurran cambios normativos o de negocio.</w:t>
      </w:r>
    </w:p>
    <w:p>
      <w:pPr>
        <w:keepNext/>
      </w:pPr>
      <w:r>
        <w:rPr>
          <w:b/>
        </w:rPr>
        <w:t xml:space="preserve">Tabla 2</w:t>
      </w:r>
    </w:p>
    <w:p>
      <w:pPr>
        <w:keepNext/>
      </w:pPr>
      <w:r>
        <w:rPr>
          <w:i/>
        </w:rPr>
        <w:t xml:space="preserve">Aprobación y firmas del documento</w:t>
      </w:r>
    </w:p>
    <w:tbl>
      <w:tblPr>
        <w:tblW w:w="0" w:type="auto"/>
        <w:jc w:val="center"/>
        <w:tblBorders>
          <w:top w:val="single" w:sz="8" w:space="0" w:color="000000"/>
          <w:bottom w:val="single" w:sz="8" w:space="0" w:color="000000"/>
        </w:tblBorders>
        <w:tblLayout w:type="fixed"/>
        <w:tblLook w:val="04A0" w:firstRow="1" w:lastRow="0" w:firstColumn="1" w:lastColumn="0" w:noHBand="0" w:noVBand="1"/>
      </w:tblPr>
      <w:tblGrid>
        <w:gridCol w:w="3119"/>
        <w:gridCol w:w="3119"/>
        <w:gridCol w:w="3122"/>
      </w:tblGrid>
      <w:tr>
        <w:trPr>
          <w:jc w:val="center"/>
        </w:trPr>
        <w:tc>
          <w:tcPr>
            <w:tcW w:w="3119" w:type="dxa"/>
            <w:tcBorders>
              <w:bottom w:val="single" w:sz="8" w:space="0" w:color="000000"/>
            </w:tcBorders>
          </w:tcPr>
          <w:p>
            <w:pPr>
              <w:spacing w:line="240" w:lineRule="auto"/>
              <w:jc w:val="center"/>
            </w:pPr>
            <w:r>
              <w:rPr>
                <w:b/>
                <w:sz w:val="20"/>
              </w:rPr>
              <w:t xml:space="preserve">Elaborado por</w:t>
            </w:r>
          </w:p>
        </w:tc>
        <w:tc>
          <w:tcPr>
            <w:tcW w:w="3119" w:type="dxa"/>
            <w:tcBorders>
              <w:bottom w:val="single" w:sz="8" w:space="0" w:color="000000"/>
            </w:tcBorders>
          </w:tcPr>
          <w:p>
            <w:pPr>
              <w:spacing w:line="240" w:lineRule="auto"/>
              <w:jc w:val="center"/>
            </w:pPr>
            <w:r>
              <w:rPr>
                <w:b/>
                <w:sz w:val="20"/>
              </w:rPr>
              <w:t xml:space="preserve">Revisado por</w:t>
            </w:r>
          </w:p>
        </w:tc>
        <w:tc>
          <w:tcPr>
            <w:tcW w:w="3122" w:type="dxa"/>
            <w:tcBorders>
              <w:bottom w:val="single" w:sz="8" w:space="0" w:color="000000"/>
            </w:tcBorders>
          </w:tcPr>
          <w:p>
            <w:pPr>
              <w:spacing w:line="240" w:lineRule="auto"/>
              <w:jc w:val="center"/>
            </w:pPr>
            <w:r>
              <w:rPr>
                <w:b/>
                <w:sz w:val="20"/>
              </w:rPr>
              <w:t xml:space="preserve">Aprobado por (Junta Directiva)</w:t>
            </w:r>
          </w:p>
        </w:tc>
      </w:tr>
      <w:tr>
        <w:trPr>
          <w:jc w:val="center"/>
        </w:trPr>
        <w:tc>
          <w:tcPr>
            <w:tcW w:w="3119" w:type="dxa"/>
          </w:tcPr>
          <w:p>
            <w:pPr>
              <w:spacing w:line="240" w:lineRule="auto"/>
            </w:pPr>
            <w:r>
              <w:rPr>
                <w:sz w:val="20"/>
              </w:rPr>
              <w:t xml:space="preserve">Nombre: [____________]</w:t>
            </w:r>
          </w:p>
        </w:tc>
        <w:tc>
          <w:tcPr>
            <w:tcW w:w="3119" w:type="dxa"/>
          </w:tcPr>
          <w:p>
            <w:pPr>
              <w:spacing w:line="240" w:lineRule="auto"/>
            </w:pPr>
            <w:r>
              <w:rPr>
                <w:sz w:val="20"/>
              </w:rPr>
              <w:t xml:space="preserve">Nombre: [____________]</w:t>
            </w:r>
          </w:p>
        </w:tc>
        <w:tc>
          <w:tcPr>
            <w:tcW w:w="3122" w:type="dxa"/>
          </w:tcPr>
          <w:p>
            <w:pPr>
              <w:spacing w:line="240" w:lineRule="auto"/>
            </w:pPr>
            <w:r>
              <w:rPr>
                <w:sz w:val="20"/>
              </w:rPr>
              <w:t xml:space="preserve">Nombre: [____________]</w:t>
            </w:r>
          </w:p>
        </w:tc>
      </w:tr>
      <w:tr>
        <w:trPr>
          <w:jc w:val="center"/>
        </w:trPr>
        <w:tc>
          <w:tcPr>
            <w:tcW w:w="3119" w:type="dxa"/>
          </w:tcPr>
          <w:p>
            <w:pPr>
              <w:spacing w:line="240" w:lineRule="auto"/>
            </w:pPr>
            <w:r>
              <w:rPr>
                <w:sz w:val="20"/>
              </w:rPr>
              <w:t xml:space="preserve">Cargo: [____________]</w:t>
            </w:r>
          </w:p>
        </w:tc>
        <w:tc>
          <w:tcPr>
            <w:tcW w:w="3119" w:type="dxa"/>
          </w:tcPr>
          <w:p>
            <w:pPr>
              <w:spacing w:line="240" w:lineRule="auto"/>
            </w:pPr>
            <w:r>
              <w:rPr>
                <w:sz w:val="20"/>
              </w:rPr>
              <w:t xml:space="preserve">Cargo: [____________]</w:t>
            </w:r>
          </w:p>
        </w:tc>
        <w:tc>
          <w:tcPr>
            <w:tcW w:w="3122" w:type="dxa"/>
          </w:tcPr>
          <w:p>
            <w:pPr>
              <w:spacing w:line="240" w:lineRule="auto"/>
            </w:pPr>
            <w:r>
              <w:rPr>
                <w:sz w:val="20"/>
              </w:rPr>
              <w:t xml:space="preserve">Cargo: [____________]</w:t>
            </w:r>
          </w:p>
        </w:tc>
      </w:tr>
    </w:tbl>
    <w:p>
      <w:pPr/>
      <w:r>
        <w:br w:type="page"/>
      </w:r>
    </w:p>
    <w:p>
      <w:pPr>
        <w:pStyle w:val="Ttulo1"/>
        <w:jc w:val="center"/>
        <w:rPr>
          <w:rFonts w:ascii="Times New Roman" w:hAnsi="Times New Roman" w:cs="Times New Roman"/>
          <w:color w:val="auto"/>
          <w:sz w:val="24"/>
          <w:szCs w:val="24"/>
          <w:lang w:val="es-SV"/>
        </w:rPr>
      </w:pPr>
      <w:bookmarkStart w:id="117" w:name="TocNIIF117"/>
      <w:r>
        <w:rPr>
          <w:rFonts w:ascii="Times New Roman" w:hAnsi="Times New Roman" w:cs="Times New Roman"/>
          <w:color w:val="auto"/>
          <w:sz w:val="24"/>
          <w:szCs w:val="24"/>
          <w:lang w:val="es-SV"/>
        </w:rPr>
        <w:t xml:space="preserve">Referencias</w:t>
      </w:r>
      <w:bookmarkEnd w:id="117"/>
    </w:p>
    <w:p>
      <w:pPr>
        <w:ind w:left="720" w:hanging="720"/>
      </w:pPr>
      <w:r>
        <w:rPr/>
        <w:t xml:space="preserve">Consejo de Normas Internacionales de Contabilidad. (2015). </w:t>
      </w:r>
      <w:r>
        <w:rPr>
          <w:i/>
        </w:rPr>
        <w:t xml:space="preserve">Norma internacional de información financiera para pequeñas y medianas entidades (NIIF para las PYMES)</w:t>
      </w:r>
      <w:r>
        <w:rPr/>
        <w:t xml:space="preserve">. Fundación IFRS.</w:t>
      </w:r>
    </w:p>
    <w:p>
      <w:pPr>
        <w:ind w:left="720" w:hanging="720"/>
      </w:pPr>
      <w:r>
        <w:rPr/>
        <w:t xml:space="preserve">Consejo de Normas Internacionales de Contabilidad. (2014). </w:t>
      </w:r>
      <w:r>
        <w:rPr>
          <w:i/>
        </w:rPr>
        <w:t xml:space="preserve">Ingresos de actividades ordinarias procedentes de contratos con clientes [IFRS 15]</w:t>
      </w:r>
      <w:r>
        <w:rPr/>
        <w:t xml:space="preserve">. Fundación IFRS.</w:t>
      </w:r>
    </w:p>
    <w:p>
      <w:pPr>
        <w:ind w:left="720" w:hanging="720"/>
      </w:pPr>
      <w:r>
        <w:rPr/>
        <w:t xml:space="preserve">Consejo de Normas Internacionales de Contabilidad. (2004). </w:t>
      </w:r>
      <w:r>
        <w:rPr>
          <w:i/>
        </w:rPr>
        <w:t xml:space="preserve">Activos intangibles [IAS 38]</w:t>
      </w:r>
      <w:r>
        <w:rPr/>
        <w:t xml:space="preserve">. Fundación IFRS.</w:t>
      </w:r>
    </w:p>
    <w:p>
      <w:pPr>
        <w:ind w:left="720" w:hanging="720"/>
      </w:pPr>
      <w:r>
        <w:rPr/>
        <w:t xml:space="preserve">Consejo de Normas Internacionales de Contabilidad. (2003). </w:t>
      </w:r>
      <w:r>
        <w:rPr>
          <w:i/>
        </w:rPr>
        <w:t xml:space="preserve">Efectos de las variaciones en las tasas de cambio de la moneda extranjera [IAS 21]</w:t>
      </w:r>
      <w:r>
        <w:rPr/>
        <w:t xml:space="preserve">. Fundación IFRS.</w:t>
      </w:r>
    </w:p>
    <w:p>
      <w:pPr>
        <w:ind w:left="720" w:hanging="720"/>
      </w:pPr>
      <w:r>
        <w:rPr/>
        <w:t xml:space="preserve">Consejo de Normas Internacionales de Contabilidad. (2009). </w:t>
      </w:r>
      <w:r>
        <w:rPr>
          <w:i/>
        </w:rPr>
        <w:t xml:space="preserve">Estado de flujos de efectivo [IAS 7]</w:t>
      </w:r>
      <w:r>
        <w:rPr/>
        <w:t xml:space="preserve">. Fundación IFRS.</w:t>
      </w:r>
    </w:p>
    <w:p>
      <w:pPr>
        <w:ind w:left="720" w:hanging="720"/>
      </w:pPr>
      <w:r>
        <w:rPr/>
        <w:t xml:space="preserve">Consejo de Normas Internacionales de Contabilidad. (2011). </w:t>
      </w:r>
      <w:r>
        <w:rPr>
          <w:i/>
        </w:rPr>
        <w:t xml:space="preserve">Medición del valor razonable [IFRS 13]</w:t>
      </w:r>
      <w:r>
        <w:rPr/>
        <w:t xml:space="preserve">. Fundación IFRS.</w:t>
      </w:r>
    </w:p>
    <w:p>
      <w:pPr>
        <w:ind w:left="720" w:hanging="720"/>
      </w:pPr>
      <w:r>
        <w:rPr/>
        <w:t xml:space="preserve">Asamblea Legislativa de la República de El Salvador. (2000). </w:t>
      </w:r>
      <w:r>
        <w:rPr>
          <w:i/>
        </w:rPr>
        <w:t xml:space="preserve">Código tributario de la República de El Salvador</w:t>
      </w:r>
      <w:r>
        <w:rPr/>
        <w:t xml:space="preserve"> (Decreto Legislativo n.° 230 del 14 de diciembre de 2000; Diario Oficial n.° 241, Tomo 349, del 22 de diciembre de 2000).</w:t>
      </w:r>
    </w:p>
    <w:p>
      <w:pPr/>
      <w:r>
        <w:br w:type="page"/>
      </w:r>
    </w:p>
    <w:p>
      <w:pPr>
        <w:keepNext/>
        <w:jc w:val="center"/>
      </w:pPr>
      <w:r>
        <w:rPr>
          <w:b/>
        </w:rPr>
        <w:t xml:space="preserve">Apéndice A</w:t>
      </w:r>
    </w:p>
    <w:p>
      <w:pPr>
        <w:keepNext/>
        <w:jc w:val="center"/>
        <w:outlineLvl w:val="0"/>
      </w:pPr>
      <w:bookmarkStart w:id="118" w:name="TocNIIF118"/>
      <w:r>
        <w:rPr>
          <w:b/>
        </w:rPr>
        <w:t xml:space="preserve">CONTROL DE VERSIONES Y ELABORACIÓN DEL DOCUMENTO</w:t>
      </w:r>
      <w:bookmarkEnd w:id="118"/>
    </w:p>
    <w:p>
      <w:pPr>
        <w:ind w:firstLine="720"/>
      </w:pPr>
      <w:r>
        <w:rPr/>
        <w:t xml:space="preserve">El presente documento se controla mediante el siguiente registro de versiones (ver Tabla A1).</w:t>
      </w:r>
    </w:p>
    <w:p>
      <w:pPr>
        <w:keepNext/>
      </w:pPr>
      <w:r>
        <w:rPr>
          <w:b/>
        </w:rPr>
        <w:t xml:space="preserve">Tabla A1</w:t>
      </w:r>
    </w:p>
    <w:p>
      <w:pPr>
        <w:keepNext/>
      </w:pPr>
      <w:r>
        <w:rPr>
          <w:i/>
        </w:rPr>
        <w:t xml:space="preserve">Control de versiones del documento</w:t>
      </w:r>
    </w:p>
    <w:tbl>
      <w:tblPr>
        <w:tblW w:w="0" w:type="auto"/>
        <w:jc w:val="center"/>
        <w:tblBorders>
          <w:top w:val="single" w:sz="8" w:space="0" w:color="000000"/>
          <w:bottom w:val="single" w:sz="8" w:space="0" w:color="000000"/>
        </w:tblBorders>
        <w:tblLayout w:type="fixed"/>
        <w:tblLook w:val="04A0" w:firstRow="1" w:lastRow="0" w:firstColumn="1" w:lastColumn="0" w:noHBand="0" w:noVBand="1"/>
      </w:tblPr>
      <w:tblGrid>
        <w:gridCol w:w="851"/>
        <w:gridCol w:w="1276"/>
        <w:gridCol w:w="2127"/>
        <w:gridCol w:w="1702"/>
        <w:gridCol w:w="1560"/>
        <w:gridCol w:w="1844"/>
      </w:tblGrid>
      <w:tr>
        <w:trPr>
          <w:jc w:val="center"/>
        </w:trPr>
        <w:tc>
          <w:tcPr>
            <w:tcW w:w="851" w:type="dxa"/>
            <w:tcBorders>
              <w:bottom w:val="single" w:sz="8" w:space="0" w:color="000000"/>
            </w:tcBorders>
          </w:tcPr>
          <w:p>
            <w:pPr>
              <w:spacing w:line="240" w:lineRule="auto"/>
              <w:jc w:val="center"/>
            </w:pPr>
            <w:r>
              <w:rPr>
                <w:b/>
                <w:sz w:val="20"/>
              </w:rPr>
              <w:t xml:space="preserve">Versión</w:t>
            </w:r>
          </w:p>
        </w:tc>
        <w:tc>
          <w:tcPr>
            <w:tcW w:w="1276" w:type="dxa"/>
            <w:tcBorders>
              <w:bottom w:val="single" w:sz="8" w:space="0" w:color="000000"/>
            </w:tcBorders>
          </w:tcPr>
          <w:p>
            <w:pPr>
              <w:spacing w:line="240" w:lineRule="auto"/>
              <w:jc w:val="center"/>
            </w:pPr>
            <w:r>
              <w:rPr>
                <w:b/>
                <w:sz w:val="20"/>
              </w:rPr>
              <w:t xml:space="preserve">Fecha</w:t>
            </w:r>
          </w:p>
        </w:tc>
        <w:tc>
          <w:tcPr>
            <w:tcW w:w="2127" w:type="dxa"/>
            <w:tcBorders>
              <w:bottom w:val="single" w:sz="8" w:space="0" w:color="000000"/>
            </w:tcBorders>
          </w:tcPr>
          <w:p>
            <w:pPr>
              <w:spacing w:line="240" w:lineRule="auto"/>
              <w:jc w:val="center"/>
            </w:pPr>
            <w:r>
              <w:rPr>
                <w:b/>
                <w:sz w:val="20"/>
              </w:rPr>
              <w:t xml:space="preserve">Descripción / motivo del cambio</w:t>
            </w:r>
          </w:p>
        </w:tc>
        <w:tc>
          <w:tcPr>
            <w:tcW w:w="1702" w:type="dxa"/>
            <w:tcBorders>
              <w:bottom w:val="single" w:sz="8" w:space="0" w:color="000000"/>
            </w:tcBorders>
          </w:tcPr>
          <w:p>
            <w:pPr>
              <w:spacing w:line="240" w:lineRule="auto"/>
              <w:jc w:val="center"/>
            </w:pPr>
            <w:r>
              <w:rPr>
                <w:b/>
                <w:sz w:val="20"/>
              </w:rPr>
              <w:t xml:space="preserve">Elaborado por</w:t>
            </w:r>
          </w:p>
        </w:tc>
        <w:tc>
          <w:tcPr>
            <w:tcW w:w="1560" w:type="dxa"/>
            <w:tcBorders>
              <w:bottom w:val="single" w:sz="8" w:space="0" w:color="000000"/>
            </w:tcBorders>
          </w:tcPr>
          <w:p>
            <w:pPr>
              <w:spacing w:line="240" w:lineRule="auto"/>
              <w:jc w:val="center"/>
            </w:pPr>
            <w:r>
              <w:rPr>
                <w:b/>
                <w:sz w:val="20"/>
              </w:rPr>
              <w:t xml:space="preserve">Revisado por</w:t>
            </w:r>
          </w:p>
        </w:tc>
        <w:tc>
          <w:tcPr>
            <w:tcW w:w="1844" w:type="dxa"/>
            <w:tcBorders>
              <w:bottom w:val="single" w:sz="8" w:space="0" w:color="000000"/>
            </w:tcBorders>
          </w:tcPr>
          <w:p>
            <w:pPr>
              <w:spacing w:line="240" w:lineRule="auto"/>
              <w:jc w:val="center"/>
            </w:pPr>
            <w:r>
              <w:rPr>
                <w:b/>
                <w:sz w:val="20"/>
              </w:rPr>
              <w:t xml:space="preserve">Aprobado por</w:t>
            </w:r>
          </w:p>
        </w:tc>
      </w:tr>
      <w:tr>
        <w:trPr>
          <w:jc w:val="center"/>
        </w:trPr>
        <w:tc>
          <w:tcPr>
            <w:tcW w:w="851" w:type="dxa"/>
          </w:tcPr>
          <w:p>
            <w:pPr>
              <w:spacing w:line="240" w:lineRule="auto"/>
            </w:pPr>
            <w:r>
              <w:rPr>
                <w:sz w:val="20"/>
              </w:rPr>
              <w:t xml:space="preserve">1.0</w:t>
            </w:r>
          </w:p>
        </w:tc>
        <w:tc>
          <w:tcPr>
            <w:tcW w:w="1276" w:type="dxa"/>
          </w:tcPr>
          <w:p>
            <w:pPr>
              <w:spacing w:line="240" w:lineRule="auto"/>
            </w:pPr>
            <w:r>
              <w:rPr>
                <w:sz w:val="20"/>
              </w:rPr>
              <w:t xml:space="preserve">21/09/2026</w:t>
            </w:r>
          </w:p>
        </w:tc>
        <w:tc>
          <w:tcPr>
            <w:tcW w:w="2127" w:type="dxa"/>
          </w:tcPr>
          <w:p>
            <w:pPr>
              <w:spacing w:line="240" w:lineRule="auto"/>
            </w:pPr>
            <w:r>
              <w:rPr>
                <w:sz w:val="20"/>
              </w:rPr>
              <w:t xml:space="preserve">Emisión inicial del documento.</w:t>
            </w:r>
          </w:p>
        </w:tc>
        <w:tc>
          <w:tcPr>
            <w:tcW w:w="1702" w:type="dxa"/>
          </w:tcPr>
          <w:p>
            <w:pPr>
              <w:spacing w:line="240" w:lineRule="auto"/>
            </w:pPr>
            <w:r>
              <w:rPr>
                <w:sz w:val="20"/>
              </w:rPr>
              <w:t xml:space="preserve">Gerencia de Finanzas y Contabilidad</w:t>
            </w:r>
          </w:p>
        </w:tc>
        <w:tc>
          <w:tcPr>
            <w:tcW w:w="1560" w:type="dxa"/>
          </w:tcPr>
          <w:p>
            <w:pPr>
              <w:spacing w:line="240" w:lineRule="auto"/>
            </w:pPr>
            <w:r>
              <w:rPr>
                <w:sz w:val="20"/>
              </w:rPr>
              <w:t xml:space="preserve">Gerencia General</w:t>
            </w:r>
          </w:p>
        </w:tc>
        <w:tc>
          <w:tcPr>
            <w:tcW w:w="1844" w:type="dxa"/>
          </w:tcPr>
          <w:p>
            <w:pPr>
              <w:spacing w:line="240" w:lineRule="auto"/>
            </w:pPr>
            <w:r>
              <w:rPr>
                <w:sz w:val="20"/>
              </w:rPr>
              <w:t xml:space="preserve">Junta Directiva</w:t>
            </w:r>
          </w:p>
        </w:tc>
      </w:tr>
    </w:tbl>
    <w:p>
      <w:pPr>
        <w:spacing w:before="120" w:line="240" w:lineRule="auto"/>
      </w:pPr>
      <w:r>
        <w:rPr>
          <w:i/>
          <w:sz w:val="22"/>
        </w:rPr>
        <w:t xml:space="preserve">Nota. </w:t>
      </w:r>
      <w:r>
        <w:rPr>
          <w:sz w:val="22"/>
        </w:rPr>
        <w:t xml:space="preserve">La aprobación de cambios sustanciales corresponde a la Junta Directiva de la sociedad.</w:t>
      </w:r>
    </w:p>
    <w:sectPr w:rsidR="000649E4" w:rsidSect="00034616">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526693" w14:textId="77777777" w:rsidR="00BE5CE1" w:rsidRDefault="00BE5CE1">
      <w:pPr>
        <w:spacing w:line="240" w:lineRule="auto"/>
      </w:pPr>
      <w:r>
        <w:separator/>
      </w:r>
    </w:p>
  </w:endnote>
  <w:endnote w:type="continuationSeparator" w:id="0">
    <w:p w14:paraId="203037CA" w14:textId="77777777" w:rsidR="00BE5CE1" w:rsidRDefault="00BE5CE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89D0E9" w14:textId="77777777" w:rsidR="00BE5CE1" w:rsidRDefault="00BE5CE1">
      <w:pPr>
        <w:spacing w:line="240" w:lineRule="auto"/>
      </w:pPr>
      <w:r>
        <w:separator/>
      </w:r>
    </w:p>
  </w:footnote>
  <w:footnote w:type="continuationSeparator" w:id="0">
    <w:p w14:paraId="080494CB" w14:textId="77777777" w:rsidR="00BE5CE1" w:rsidRDefault="00BE5CE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BD0C2" w14:textId="306DFC80" w:rsidR="00360547" w:rsidRDefault="00BE5CE1">
    <w:pPr>
      <w:pStyle w:val="Encabezado"/>
      <w:jc w:val="right"/>
    </w:pPr>
    <w:r>
      <w:fldChar w:fldCharType="begin"/>
    </w:r>
    <w:r>
      <w:instrText xml:space="preserve"> PAGE </w:instrText>
    </w:r>
    <w:r>
      <w:fldChar w:fldCharType="separate"/>
    </w:r>
    <w:r w:rsidR="00F30F2C">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893003631">
    <w:abstractNumId w:val="8"/>
  </w:num>
  <w:num w:numId="2" w16cid:durableId="952174973">
    <w:abstractNumId w:val="6"/>
  </w:num>
  <w:num w:numId="3" w16cid:durableId="1471049583">
    <w:abstractNumId w:val="5"/>
  </w:num>
  <w:num w:numId="4" w16cid:durableId="934942108">
    <w:abstractNumId w:val="4"/>
  </w:num>
  <w:num w:numId="5" w16cid:durableId="147600986">
    <w:abstractNumId w:val="7"/>
  </w:num>
  <w:num w:numId="6" w16cid:durableId="1768887082">
    <w:abstractNumId w:val="3"/>
  </w:num>
  <w:num w:numId="7" w16cid:durableId="237862489">
    <w:abstractNumId w:val="2"/>
  </w:num>
  <w:num w:numId="8" w16cid:durableId="809052191">
    <w:abstractNumId w:val="1"/>
  </w:num>
  <w:num w:numId="9" w16cid:durableId="327637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9E4"/>
    <w:rsid w:val="00095839"/>
    <w:rsid w:val="000E6400"/>
    <w:rsid w:val="0015074B"/>
    <w:rsid w:val="0029639D"/>
    <w:rsid w:val="00326F90"/>
    <w:rsid w:val="00360547"/>
    <w:rsid w:val="0039486C"/>
    <w:rsid w:val="00576401"/>
    <w:rsid w:val="0058415F"/>
    <w:rsid w:val="005F2EE5"/>
    <w:rsid w:val="0062083E"/>
    <w:rsid w:val="006A0BD4"/>
    <w:rsid w:val="008A0C3A"/>
    <w:rsid w:val="00A2591C"/>
    <w:rsid w:val="00AA1D8D"/>
    <w:rsid w:val="00B06258"/>
    <w:rsid w:val="00B47730"/>
    <w:rsid w:val="00BE5CE1"/>
    <w:rsid w:val="00CB0664"/>
    <w:rsid w:val="00E4017D"/>
    <w:rsid w:val="00ED7CF0"/>
    <w:rsid w:val="00F30F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AEED433-88DF-4DE1-B28D-D883FE2B9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8A0C3A"/>
    <w:pPr>
      <w:spacing w:before="120" w:after="120"/>
    </w:pPr>
    <w:rPr>
      <w:rFonts w:asciiTheme="minorHAnsi" w:hAnsiTheme="minorHAnsi"/>
      <w:b/>
      <w:bCs/>
      <w:caps/>
      <w:sz w:val="20"/>
      <w:szCs w:val="20"/>
    </w:rPr>
  </w:style>
  <w:style w:type="paragraph" w:styleId="TDC2">
    <w:name w:val="toc 2"/>
    <w:basedOn w:val="Normal"/>
    <w:next w:val="Normal"/>
    <w:autoRedefine/>
    <w:uiPriority w:val="39"/>
    <w:unhideWhenUsed/>
    <w:rsid w:val="008A0C3A"/>
    <w:pPr>
      <w:ind w:left="240"/>
    </w:pPr>
    <w:rPr>
      <w:rFonts w:asciiTheme="minorHAnsi" w:hAnsiTheme="minorHAnsi"/>
      <w:smallCaps/>
      <w:sz w:val="20"/>
      <w:szCs w:val="20"/>
    </w:rPr>
  </w:style>
  <w:style w:type="paragraph" w:styleId="TDC3">
    <w:name w:val="toc 3"/>
    <w:basedOn w:val="Normal"/>
    <w:next w:val="Normal"/>
    <w:autoRedefine/>
    <w:uiPriority w:val="39"/>
    <w:unhideWhenUsed/>
    <w:rsid w:val="008A0C3A"/>
    <w:pPr>
      <w:ind w:left="480"/>
    </w:pPr>
    <w:rPr>
      <w:rFonts w:asciiTheme="minorHAnsi" w:hAnsiTheme="minorHAnsi"/>
      <w:i/>
      <w:iCs/>
      <w:sz w:val="20"/>
      <w:szCs w:val="20"/>
    </w:rPr>
  </w:style>
  <w:style w:type="paragraph" w:styleId="TDC4">
    <w:name w:val="toc 4"/>
    <w:basedOn w:val="Normal"/>
    <w:next w:val="Normal"/>
    <w:autoRedefine/>
    <w:uiPriority w:val="39"/>
    <w:unhideWhenUsed/>
    <w:rsid w:val="008A0C3A"/>
    <w:pPr>
      <w:ind w:left="720"/>
    </w:pPr>
    <w:rPr>
      <w:rFonts w:asciiTheme="minorHAnsi" w:hAnsiTheme="minorHAnsi"/>
      <w:sz w:val="18"/>
      <w:szCs w:val="18"/>
    </w:rPr>
  </w:style>
  <w:style w:type="paragraph" w:styleId="TDC5">
    <w:name w:val="toc 5"/>
    <w:basedOn w:val="Normal"/>
    <w:next w:val="Normal"/>
    <w:autoRedefine/>
    <w:uiPriority w:val="39"/>
    <w:unhideWhenUsed/>
    <w:rsid w:val="008A0C3A"/>
    <w:pPr>
      <w:ind w:left="960"/>
    </w:pPr>
    <w:rPr>
      <w:rFonts w:asciiTheme="minorHAnsi" w:hAnsiTheme="minorHAnsi"/>
      <w:sz w:val="18"/>
      <w:szCs w:val="18"/>
    </w:rPr>
  </w:style>
  <w:style w:type="paragraph" w:styleId="TDC6">
    <w:name w:val="toc 6"/>
    <w:basedOn w:val="Normal"/>
    <w:next w:val="Normal"/>
    <w:autoRedefine/>
    <w:uiPriority w:val="39"/>
    <w:unhideWhenUsed/>
    <w:rsid w:val="008A0C3A"/>
    <w:pPr>
      <w:ind w:left="1200"/>
    </w:pPr>
    <w:rPr>
      <w:rFonts w:asciiTheme="minorHAnsi" w:hAnsiTheme="minorHAnsi"/>
      <w:sz w:val="18"/>
      <w:szCs w:val="18"/>
    </w:rPr>
  </w:style>
  <w:style w:type="paragraph" w:styleId="TDC7">
    <w:name w:val="toc 7"/>
    <w:basedOn w:val="Normal"/>
    <w:next w:val="Normal"/>
    <w:autoRedefine/>
    <w:uiPriority w:val="39"/>
    <w:unhideWhenUsed/>
    <w:rsid w:val="008A0C3A"/>
    <w:pPr>
      <w:ind w:left="1440"/>
    </w:pPr>
    <w:rPr>
      <w:rFonts w:asciiTheme="minorHAnsi" w:hAnsiTheme="minorHAnsi"/>
      <w:sz w:val="18"/>
      <w:szCs w:val="18"/>
    </w:rPr>
  </w:style>
  <w:style w:type="paragraph" w:styleId="TDC8">
    <w:name w:val="toc 8"/>
    <w:basedOn w:val="Normal"/>
    <w:next w:val="Normal"/>
    <w:autoRedefine/>
    <w:uiPriority w:val="39"/>
    <w:unhideWhenUsed/>
    <w:rsid w:val="008A0C3A"/>
    <w:pPr>
      <w:ind w:left="1680"/>
    </w:pPr>
    <w:rPr>
      <w:rFonts w:asciiTheme="minorHAnsi" w:hAnsiTheme="minorHAnsi"/>
      <w:sz w:val="18"/>
      <w:szCs w:val="18"/>
    </w:rPr>
  </w:style>
  <w:style w:type="paragraph" w:styleId="TDC9">
    <w:name w:val="toc 9"/>
    <w:basedOn w:val="Normal"/>
    <w:next w:val="Normal"/>
    <w:autoRedefine/>
    <w:uiPriority w:val="39"/>
    <w:unhideWhenUsed/>
    <w:rsid w:val="008A0C3A"/>
    <w:pPr>
      <w:ind w:left="1920"/>
    </w:pPr>
    <w:rPr>
      <w:rFonts w:asciiTheme="minorHAnsi" w:hAnsiTheme="minorHAnsi"/>
      <w:sz w:val="18"/>
      <w:szCs w:val="18"/>
    </w:rPr>
  </w:style>
  <w:style w:type="character" w:styleId="Hipervnculo">
    <w:name w:val="Hyperlink"/>
    <w:basedOn w:val="Fuentedeprrafopredeter"/>
    <w:uiPriority w:val="99"/>
    <w:unhideWhenUsed/>
    <w:rsid w:val="008A0C3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76FF02-E7A7-42E9-BDA4-B63B667B1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20</Pages>
  <Words>3890</Words>
  <Characters>21401</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25241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rh23022@ues.edu.sv</cp:lastModifiedBy>
  <cp:revision>13</cp:revision>
  <dcterms:created xsi:type="dcterms:W3CDTF">2013-12-23T23:15:00Z</dcterms:created>
  <dcterms:modified xsi:type="dcterms:W3CDTF">2026-09-24T01:52:00Z</dcterms:modified>
  <cp:category/>
</cp:coreProperties>
</file>