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FORMATO CASO DE USO</w:t>
      </w:r>
    </w:p>
    <w:tbl>
      <w:tblPr>
        <w:tblStyle w:val="Table1"/>
        <w:tblpPr w:leftFromText="141" w:rightFromText="141" w:topFromText="0" w:bottomFromText="0" w:vertAnchor="text" w:horzAnchor="text" w:tblpX="0" w:tblpY="54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1622"/>
        <w:gridCol w:w="2212"/>
        <w:gridCol w:w="2977"/>
        <w:tblGridChange w:id="0">
          <w:tblGrid>
            <w:gridCol w:w="2256"/>
            <w:gridCol w:w="1622"/>
            <w:gridCol w:w="2212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Recuperación de cuenta por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Jorge Andrés Meneses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Jorge Andrés Meneses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Este caso de uso permite al usuario definir una nueva contraseña para su cuenta, luego de haber iniciado el proceso de recuperación por correo electrónico. El sistema valida un enlace o código enviado previamente y garantiza que el cambio de contraseña se realice de forma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usuario solicitó previamente la recuperación de su cuenta.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usuario recibió un enlace o código válido en su correo electrónico.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enlace o código no ha expirado.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RF-05. Restablecimiento de contraseña por correo electrónico.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 El usuario accede al enlace recibido en su correo o ingresa el código de verificación.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4. El usuario ingresa la nueva contraseña.</w:t>
            </w:r>
          </w:p>
          <w:tbl>
            <w:tblPr>
              <w:tblStyle w:val="Table2"/>
              <w:tblW w:w="3584.0" w:type="dxa"/>
              <w:jc w:val="left"/>
              <w:tblLayout w:type="fixed"/>
              <w:tblLook w:val="0400"/>
            </w:tblPr>
            <w:tblGrid>
              <w:gridCol w:w="3584"/>
              <w:tblGridChange w:id="0">
                <w:tblGrid>
                  <w:gridCol w:w="35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5. El usuario confirma la nueva contraseña.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valida la autenticidad del enlace o código.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muestra el formulario para crear una nueva contraseña.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El sistema valida que ambas contraseñas coincidan.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El sistema verifica que la contraseña cumpla con las reglas de seguridad.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El sistema actualiza la contraseña en la base de datos.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El sistema invalida el enlace o código utilizado.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El sistema muestra mensaje de confirmación de cambio exitoso.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El sistema permite al usuario iniciar sesión con la nueva contraseña.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E1. Código o enlace inválido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bloquea el acceso y solicita iniciar nuevamente el proceso.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E2. Código o enlace expirado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informa que debe solicitar una nueva recuperación.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E3. Las contraseñas no coinciden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solicita volver a ingresarlas correctamente.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E4. La contraseña no cumple requisitos de seguridad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→ El sistema muestra las condiciones requeridas (mínimo caracteres, combinación,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CU-04. Recuperar cuenta por correo electrónico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CU-01. Iniciar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Documento de requerimientos funcionales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/+AIio5s3KcbmzRbNvgOHr9Cg==">CgMxLjA4AHIhMXo4NWQxajhKUE84dmZPQXBNTTFHWHY2SzVZeENWNW45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