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5F6B70"/>
          <w:spacing w:val="20"/>
          <w:sz w:val="18"/>
          <w:szCs w:val="18"/>
        </w:rPr>
        <w:t xml:space="preserve">LUMINE MOTORS · CONTROL DE GESTIÓN · ICMA901 · CONTROL 3 · AVANCE 1 DEL TIG</w:t>
      </w:r>
    </w:p>
    <w:p>
      <w:pPr>
        <w:pStyle w:val="Title"/>
        <w:spacing w:after="120"/>
      </w:pPr>
      <w:r>
        <w:t xml:space="preserve">Guion de la exposición</w:t>
      </w:r>
    </w:p>
    <w:p>
      <w:pPr>
        <w:spacing w:after="240" w:before="0" w:line="300"/>
      </w:pPr>
      <w:r>
        <w:rPr>
          <w:i/>
          <w:iCs/>
          <w:color w:val="0A6F9E"/>
          <w:sz w:val="24"/>
          <w:szCs w:val="24"/>
        </w:rPr>
        <w:t xml:space="preserve">Análisis estratégico de un proyecto preoperativo: introducción, comprensión del negocio, declaraciones estratégicas compartidas y análisis estratégico. Martes 27 de octubre de 2026, 15:00. Profesor Leonardo Lizana Contreras.</w:t>
      </w:r>
    </w:p>
    <w:p>
      <w:pPr>
        <w:spacing w:after="120" w:before="0" w:line="300"/>
      </w:pPr>
      <w:r>
        <w:rPr>
          <w:sz w:val="22"/>
          <w:szCs w:val="22"/>
        </w:rPr>
        <w:t xml:space="preserve">Presentación oral de máximo 15 minutos. 13 láminas y 1798 palabras: unos 13:50 a 130 palabras por minuto, con algo más de un minuto de margen bajo los 15:00 (es un cálculo: el tiempo real se fija en el ensayo). Los tres integrantes hablan lo mismo y los traspasos ya están escritos en el texto. El mismo guion va en las notas del orador del PowerPoint.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60"/>
        <w:gridCol w:w="1800"/>
        <w:gridCol w:w="1800"/>
        <w:gridCol w:w="1800"/>
      </w:tblGrid>
      <w:tr>
        <w:trPr>
          <w:tblHeader/>
        </w:trPr>
        <w:tc>
          <w:tcPr>
            <w:tcW w:type="dxa" w:w="9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Parte</w:t>
            </w:r>
          </w:p>
        </w:tc>
        <w:tc>
          <w:tcPr>
            <w:tcW w:type="dxa" w:w="306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Integrante</w:t>
            </w:r>
          </w:p>
        </w:tc>
        <w:tc>
          <w:tcPr>
            <w:tcW w:type="dxa" w:w="18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Láminas</w:t>
            </w:r>
          </w:p>
        </w:tc>
        <w:tc>
          <w:tcPr>
            <w:tcW w:type="dxa" w:w="18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Palabras</w:t>
            </w:r>
          </w:p>
        </w:tc>
        <w:tc>
          <w:tcPr>
            <w:tcW w:type="dxa" w:w="18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Tiempo</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w:t>
            </w:r>
          </w:p>
        </w:tc>
        <w:tc>
          <w:tcPr>
            <w:tcW w:type="dxa" w:w="30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 Alarcón</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1, 2, 3, 4, 5, 13</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611</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4:42</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2</w:t>
            </w:r>
          </w:p>
        </w:tc>
        <w:tc>
          <w:tcPr>
            <w:tcW w:type="dxa" w:w="30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Benjamín Torres</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6, 7, 8</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587</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4:31</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3</w:t>
            </w:r>
          </w:p>
        </w:tc>
        <w:tc>
          <w:tcPr>
            <w:tcW w:type="dxa" w:w="30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Lukas Verdugo</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9, 10, 11, 12</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600</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4:37</w:t>
            </w:r>
          </w:p>
        </w:tc>
      </w:tr>
    </w:tbl>
    <w:p>
      <w:pPr>
        <w:pStyle w:val="Heading1"/>
        <w:spacing w:before="280"/>
      </w:pPr>
      <w:r>
        <w:t xml:space="preserve">Hoja de control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60"/>
        <w:gridCol w:w="1100"/>
        <w:gridCol w:w="1100"/>
        <w:gridCol w:w="1000"/>
        <w:gridCol w:w="1100"/>
      </w:tblGrid>
      <w:tr>
        <w:trPr>
          <w:tblHeader/>
        </w:trPr>
        <w:tc>
          <w:tcPr>
            <w:tcW w:type="dxa" w:w="34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Lámina</w:t>
            </w:r>
          </w:p>
        </w:tc>
        <w:tc>
          <w:tcPr>
            <w:tcW w:type="dxa" w:w="166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Expositor</w:t>
            </w:r>
          </w:p>
        </w:tc>
        <w:tc>
          <w:tcPr>
            <w:tcW w:type="dxa" w:w="11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Asignado</w:t>
            </w:r>
          </w:p>
        </w:tc>
        <w:tc>
          <w:tcPr>
            <w:tcW w:type="dxa" w:w="11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Palabras</w:t>
            </w:r>
          </w:p>
        </w:tc>
        <w:tc>
          <w:tcPr>
            <w:tcW w:type="dxa" w:w="10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Estimado</w:t>
            </w:r>
          </w:p>
        </w:tc>
        <w:tc>
          <w:tcPr>
            <w:tcW w:type="dxa" w:w="11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Acumulado</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 · Portada</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0:15</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31</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0:14</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0:14</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2 · El parque se conserva y la bencina pesa cada vez más</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0:55</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124</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0:57</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1:12</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3 · Un kit que se suma, no reemplaza</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1:00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125</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0:58</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2:09</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4 · El cliente compraría ahorro sin cambiar de auto</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145</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1:07</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3:16</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5 · Misión, visión y valores que se pueden verificar</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0:52</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118</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0:54</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4:11</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6 · El entorno pesa en contra: 20 amenazas frente a 13 oportunidades</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Benjamín</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190</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1:28</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5:38</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7 · El rival es posponer la compra, no otro taller</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Benjamín</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200</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1:32</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7:11</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8 · La vía legal decide si el negocio opera</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Benjamín</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197</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1:31</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8:42</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9 · La ventaja es potencial: 2 de 15 recursos podrían sostenerla</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Lukas</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147</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1:08</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9:49</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10 · Fortaleza de diseño, no de ejecución: operaciones es el cuello de botella</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Lukas</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1:15</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167</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1:17</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11:06</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 · FODA: sabemos qué hacer; falta demostrarlo</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Lukas</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1:15</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156</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1:12</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12:18</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12 · Tres brechas que la estrategia debe cerrar</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Lukas</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0:58</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130</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1:00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13:18</w:t>
            </w:r>
          </w:p>
        </w:tc>
      </w:tr>
      <w:tr>
        <w:tc>
          <w:tcPr>
            <w:tcW w:type="dxa" w:w="34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 · Lumine compite con la decisión de esperar</w:t>
            </w:r>
          </w:p>
        </w:tc>
        <w:tc>
          <w:tcPr>
            <w:tcW w:type="dxa" w:w="16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Diego</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0:30</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68</w:t>
            </w:r>
          </w:p>
        </w:tc>
        <w:tc>
          <w:tcPr>
            <w:tcW w:type="dxa" w:w="10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0:31</w:t>
            </w:r>
          </w:p>
        </w:tc>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13:50</w:t>
            </w:r>
          </w:p>
        </w:tc>
      </w:tr>
    </w:tbl>
    <w:p>
      <w:pPr>
        <w:spacing w:after="120" w:before="160" w:line="300"/>
      </w:pPr>
      <w:r>
        <w:rPr>
          <w:color w:val="5F6B70"/>
          <w:sz w:val="20"/>
          <w:szCs w:val="20"/>
        </w:rPr>
        <w:t xml:space="preserve">Cómo ensayar: cronometren el recorrido completo, con los cambios de expositor incluidos. Lean en voz alta, sin apurar: 130 palabras por minuto es un ritmo de conversación. Si alguien se pasa, se acorta en su parte, no en la del siguiente.</w:t>
      </w:r>
    </w:p>
    <w:p>
      <w:r>
        <w:br w:type="page"/>
      </w:r>
    </w:p>
    <w:p>
      <w:pPr>
        <w:pStyle w:val="Heading1"/>
      </w:pPr>
      <w:r>
        <w:t xml:space="preserve">Parte 1 · Diego Alarcón</w:t>
      </w:r>
    </w:p>
    <w:p>
      <w:pPr>
        <w:spacing w:after="200" w:before="0" w:line="300"/>
      </w:pPr>
      <w:r>
        <w:rPr>
          <w:color w:val="5F6B70"/>
          <w:sz w:val="20"/>
          <w:szCs w:val="20"/>
        </w:rPr>
        <w:t xml:space="preserve">Láminas 1, 2, 3, 4, 5, 13 · unos 4:42 (611 palabras). Abre con el saludo (lámina 1), pasa la palabra a Benjamín al final de la lámina 5 y vuelve para el cierre (lámina 13), que abre las preguntas.</w:t>
      </w:r>
    </w:p>
    <w:p>
      <w:pPr>
        <w:pStyle w:val="Heading2"/>
        <w:keepNext/>
        <w:tabs>
          <w:tab w:val="right" w:pos="9360"/>
        </w:tabs>
      </w:pPr>
      <w:r>
        <w:t xml:space="preserve">1 · Portada</w:t>
      </w:r>
      <w:r>
        <w:rPr>
          <w:b w:val="false"/>
          <w:bCs w:val="false"/>
          <w:color w:val="5F6B70"/>
        </w:rPr>
        <w:t xml:space="preserve">	0:15</w:t>
      </w:r>
    </w:p>
    <w:p>
      <w:pPr>
        <w:spacing w:after="120" w:line="336"/>
      </w:pPr>
      <w:r>
        <w:rPr>
          <w:sz w:val="24"/>
          <w:szCs w:val="24"/>
        </w:rPr>
        <w:t xml:space="preserve">Buenas tardes, profesor. Somos Diego Alarcón, Benjamín Torres y Lukas Verdugo, y presentamos el Avance 1 de nuestro trabajo: el análisis estratégico de Lumine Motors, un proyecto que todavía no opera.</w:t>
      </w:r>
    </w:p>
    <w:p>
      <w:pPr>
        <w:spacing w:after="40" w:line="264"/>
      </w:pPr>
      <w:r>
        <w:rPr>
          <w:b/>
          <w:bCs/>
          <w:color w:val="5F6B70"/>
          <w:sz w:val="18"/>
          <w:szCs w:val="18"/>
        </w:rPr>
        <w:t xml:space="preserve">Mensaje: </w:t>
      </w:r>
      <w:r>
        <w:rPr>
          <w:color w:val="5F6B70"/>
          <w:sz w:val="18"/>
          <w:szCs w:val="18"/>
        </w:rPr>
        <w:t xml:space="preserve">Quiénes somos y qué se evalúa hoy.</w:t>
      </w:r>
    </w:p>
    <w:p>
      <w:pPr>
        <w:spacing w:after="40" w:line="264"/>
      </w:pPr>
      <w:r>
        <w:rPr>
          <w:b/>
          <w:bCs/>
          <w:color w:val="5F6B70"/>
          <w:sz w:val="18"/>
          <w:szCs w:val="18"/>
        </w:rPr>
        <w:t xml:space="preserve">Evidencia: </w:t>
      </w:r>
      <w:r>
        <w:rPr>
          <w:color w:val="5F6B70"/>
          <w:sz w:val="18"/>
          <w:szCs w:val="18"/>
        </w:rPr>
        <w:t xml:space="preserve">Datos del curso y del equipo.</w:t>
      </w:r>
    </w:p>
    <w:p>
      <w:pPr>
        <w:spacing w:after="40" w:line="264"/>
      </w:pPr>
      <w:r>
        <w:rPr>
          <w:b/>
          <w:bCs/>
          <w:color w:val="5F6B70"/>
          <w:sz w:val="18"/>
          <w:szCs w:val="18"/>
        </w:rPr>
        <w:t xml:space="preserve">Por qué importa: </w:t>
      </w:r>
      <w:r>
        <w:rPr>
          <w:color w:val="5F6B70"/>
          <w:sz w:val="18"/>
          <w:szCs w:val="18"/>
        </w:rPr>
        <w:t xml:space="preserve">Ubica al profesor: Avance 1 del TIG, empresa preoperativa.</w:t>
      </w:r>
    </w:p>
    <w:p>
      <w:pPr>
        <w:spacing w:after="240" w:line="264"/>
      </w:pPr>
      <w:r>
        <w:rPr>
          <w:b/>
          <w:bCs/>
          <w:color w:val="5F6B70"/>
          <w:sz w:val="18"/>
          <w:szCs w:val="18"/>
        </w:rPr>
        <w:t xml:space="preserve">Transición: </w:t>
      </w:r>
      <w:r>
        <w:rPr>
          <w:color w:val="5F6B70"/>
          <w:sz w:val="18"/>
          <w:szCs w:val="18"/>
        </w:rPr>
        <w:t xml:space="preserve">Del saludo al contexto.</w:t>
      </w:r>
    </w:p>
    <w:p>
      <w:pPr>
        <w:pStyle w:val="Heading2"/>
        <w:keepNext/>
        <w:tabs>
          <w:tab w:val="right" w:pos="9360"/>
        </w:tabs>
      </w:pPr>
      <w:r>
        <w:t xml:space="preserve">2 · El parque se conserva y la bencina pesa cada vez más</w:t>
      </w:r>
      <w:r>
        <w:rPr>
          <w:b w:val="false"/>
          <w:bCs w:val="false"/>
          <w:color w:val="5F6B70"/>
        </w:rPr>
        <w:t xml:space="preserve">	0:55</w:t>
      </w:r>
    </w:p>
    <w:p>
      <w:pPr>
        <w:spacing w:after="120" w:line="336"/>
      </w:pPr>
      <w:r>
        <w:rPr>
          <w:sz w:val="24"/>
          <w:szCs w:val="24"/>
        </w:rPr>
        <w:t xml:space="preserve">Partamos por el contexto. En el mundo, la transición a cero emisiones avanza sobre todo con la venta de autos nuevos. Chile sigue esa línea: la Estrategia Nacional de Electromovilidad apunta a que, desde 2035, los vehículos livianos que se vendan sean de cero emisiones. Pero el parque que ya circula cambia mucho más lento: en nuestro análisis del entorno, por cada auto nuevo se transfieren unos tres coma cinco usados. Y la bencina noventa y tres en la Región Metropolitana pasó de mil ciento cuarenta y nueve a mil quinientos cuarenta y un pesos por litro. El problema es concreto: muchos autos a combustión seguirán circulando años, y su dueño solo puede seguir pagando la bencina o cambiar de auto. Ahí aparece Lumine.</w:t>
      </w:r>
    </w:p>
    <w:p>
      <w:pPr>
        <w:spacing w:after="40" w:line="264"/>
      </w:pPr>
      <w:r>
        <w:rPr>
          <w:b/>
          <w:bCs/>
          <w:color w:val="5F6B70"/>
          <w:sz w:val="18"/>
          <w:szCs w:val="18"/>
        </w:rPr>
        <w:t xml:space="preserve">Mensaje: </w:t>
      </w:r>
      <w:r>
        <w:rPr>
          <w:color w:val="5F6B70"/>
          <w:sz w:val="18"/>
          <w:szCs w:val="18"/>
        </w:rPr>
        <w:t xml:space="preserve">Existe un problema concreto: los autos a combustión seguirán circulando años y su dueño solo puede pagar la bencina o cambiar de auto.</w:t>
      </w:r>
    </w:p>
    <w:p>
      <w:pPr>
        <w:spacing w:after="40" w:line="264"/>
      </w:pPr>
      <w:r>
        <w:rPr>
          <w:b/>
          <w:bCs/>
          <w:color w:val="5F6B70"/>
          <w:sz w:val="18"/>
          <w:szCs w:val="18"/>
        </w:rPr>
        <w:t xml:space="preserve">Evidencia: </w:t>
      </w:r>
      <w:r>
        <w:rPr>
          <w:color w:val="5F6B70"/>
          <w:sz w:val="18"/>
          <w:szCs w:val="18"/>
        </w:rPr>
        <w:t xml:space="preserve">Meta 2035 de la Estrategia Nacional de Electromovilidad (ventas nuevas); 3,5 usados transferidos por cada auto nuevo; bencina 93 de $1.149 a $1.541 por litro (instrumento PEST 03).</w:t>
      </w:r>
    </w:p>
    <w:p>
      <w:pPr>
        <w:spacing w:after="40" w:line="264"/>
      </w:pPr>
      <w:r>
        <w:rPr>
          <w:b/>
          <w:bCs/>
          <w:color w:val="5F6B70"/>
          <w:sz w:val="18"/>
          <w:szCs w:val="18"/>
        </w:rPr>
        <w:t xml:space="preserve">Por qué importa: </w:t>
      </w:r>
      <w:r>
        <w:rPr>
          <w:color w:val="5F6B70"/>
          <w:sz w:val="18"/>
          <w:szCs w:val="18"/>
        </w:rPr>
        <w:t xml:space="preserve">Justifica el negocio desde el entorno y no desde la tecnología (observación recibida en otra presentación).</w:t>
      </w:r>
    </w:p>
    <w:p>
      <w:pPr>
        <w:spacing w:after="240" w:line="264"/>
      </w:pPr>
      <w:r>
        <w:rPr>
          <w:b/>
          <w:bCs/>
          <w:color w:val="5F6B70"/>
          <w:sz w:val="18"/>
          <w:szCs w:val="18"/>
        </w:rPr>
        <w:t xml:space="preserve">Transición: </w:t>
      </w:r>
      <w:r>
        <w:rPr>
          <w:color w:val="5F6B70"/>
          <w:sz w:val="18"/>
          <w:szCs w:val="18"/>
        </w:rPr>
        <w:t xml:space="preserve">Ahí aparece Lumine.</w:t>
      </w:r>
    </w:p>
    <w:p>
      <w:pPr>
        <w:pStyle w:val="Heading2"/>
        <w:keepNext/>
        <w:tabs>
          <w:tab w:val="right" w:pos="9360"/>
        </w:tabs>
      </w:pPr>
      <w:r>
        <w:t xml:space="preserve">3 · Un kit que se suma, no reemplaza</w:t>
      </w:r>
      <w:r>
        <w:rPr>
          <w:b w:val="false"/>
          <w:bCs w:val="false"/>
          <w:color w:val="5F6B70"/>
        </w:rPr>
        <w:t xml:space="preserve">	1:00</w:t>
      </w:r>
    </w:p>
    <w:p>
      <w:pPr>
        <w:spacing w:after="120" w:line="336"/>
      </w:pPr>
      <w:r>
        <w:rPr>
          <w:sz w:val="24"/>
          <w:szCs w:val="24"/>
        </w:rPr>
        <w:t xml:space="preserve">Lumine Motors Chile es un proyecto que todavía no opera: no tiene taller, personal, clientes ni ventas. Lo que contemplaría es un taller que instala un kit de hibridación aditiva, no enchufable, en autos a combustión de tracción delantera. El motor original, la transmisión y la alimentación quedan intactos. El kit suma tres cosas: una unidad de control, que decide cuándo asistir; un banco de baterías, que guarda la energía del frenado; y un motor eléctrico en el eje trasero. El freno, el ABS y el control de estabilidad originales siempre mandan sobre el kit. La promesa de hasta veinte por ciento menos bencina en ciudad es una estimación de ingeniería: no está medida en autos chilenos, y el diseño todavía requiere pruebas y habilitaciones.</w:t>
      </w:r>
    </w:p>
    <w:p>
      <w:pPr>
        <w:spacing w:after="40" w:line="264"/>
      </w:pPr>
      <w:r>
        <w:rPr>
          <w:b/>
          <w:bCs/>
          <w:color w:val="5F6B70"/>
          <w:sz w:val="18"/>
          <w:szCs w:val="18"/>
        </w:rPr>
        <w:t xml:space="preserve">Mensaje: </w:t>
      </w:r>
      <w:r>
        <w:rPr>
          <w:color w:val="5F6B70"/>
          <w:sz w:val="18"/>
          <w:szCs w:val="18"/>
        </w:rPr>
        <w:t xml:space="preserve">Lumine contemplaría instalar un kit de hibridación aditiva que conserva el motor original; hoy es un proyecto sin operación.</w:t>
      </w:r>
    </w:p>
    <w:p>
      <w:pPr>
        <w:spacing w:after="40" w:line="264"/>
      </w:pPr>
      <w:r>
        <w:rPr>
          <w:b/>
          <w:bCs/>
          <w:color w:val="5F6B70"/>
          <w:sz w:val="18"/>
          <w:szCs w:val="18"/>
        </w:rPr>
        <w:t xml:space="preserve">Evidencia: </w:t>
      </w:r>
      <w:r>
        <w:rPr>
          <w:color w:val="5F6B70"/>
          <w:sz w:val="18"/>
          <w:szCs w:val="18"/>
        </w:rPr>
        <w:t xml:space="preserve">Plano del kit y contexto vigente del proyecto. El 20% es una estimación de ingeniería.</w:t>
      </w:r>
    </w:p>
    <w:p>
      <w:pPr>
        <w:spacing w:after="40" w:line="264"/>
      </w:pPr>
      <w:r>
        <w:rPr>
          <w:b/>
          <w:bCs/>
          <w:color w:val="5F6B70"/>
          <w:sz w:val="18"/>
          <w:szCs w:val="18"/>
        </w:rPr>
        <w:t xml:space="preserve">Por qué importa: </w:t>
      </w:r>
      <w:r>
        <w:rPr>
          <w:color w:val="5F6B70"/>
          <w:sz w:val="18"/>
          <w:szCs w:val="18"/>
        </w:rPr>
        <w:t xml:space="preserve">Todo el análisis se lee desde una empresa preoperativa: nada está medido, habilitado ni vendido.</w:t>
      </w:r>
    </w:p>
    <w:p>
      <w:pPr>
        <w:spacing w:after="240" w:line="264"/>
      </w:pPr>
      <w:r>
        <w:rPr>
          <w:b/>
          <w:bCs/>
          <w:color w:val="5F6B70"/>
          <w:sz w:val="18"/>
          <w:szCs w:val="18"/>
        </w:rPr>
        <w:t xml:space="preserve">Transición: </w:t>
      </w:r>
      <w:r>
        <w:rPr>
          <w:color w:val="5F6B70"/>
          <w:sz w:val="18"/>
          <w:szCs w:val="18"/>
        </w:rPr>
        <w:t xml:space="preserve">¿Quién compraría esto?</w:t>
      </w:r>
    </w:p>
    <w:p>
      <w:pPr>
        <w:pStyle w:val="Heading2"/>
        <w:keepNext/>
        <w:tabs>
          <w:tab w:val="right" w:pos="9360"/>
        </w:tabs>
      </w:pPr>
      <w:r>
        <w:t xml:space="preserve">4 · El cliente compraría ahorro sin cambiar de auto</w:t>
      </w:r>
      <w:r>
        <w:rPr>
          <w:b w:val="false"/>
          <w:bCs w:val="false"/>
          <w:color w:val="5F6B70"/>
        </w:rPr>
        <w:t xml:space="preserve">	1:05</w:t>
      </w:r>
    </w:p>
    <w:p>
      <w:pPr>
        <w:spacing w:after="120" w:line="336"/>
      </w:pPr>
      <w:r>
        <w:rPr>
          <w:sz w:val="24"/>
          <w:szCs w:val="24"/>
        </w:rPr>
        <w:t xml:space="preserve">¿Quién sería el cliente? El kit está pensado para vehículos livianos elegibles, y la prioridad comercial está en quienes manejan mucho: conductores de aplicación, taxis y colectivos, y particulares con trayectos largos, porque mientras más kilómetros, antes se recupera la inversión. Es una prioridad, no una exclusión. La propuesta de valor, que todavía debemos comprobar, tiene cuatro partes: ahorrar combustible sin comprar un auto nuevo, seguir usando el mismo vehículo, contar con un respaldo técnico verificable y tener transparencia sobre compatibilidad y costos. En tres entrevistas en profundidad apareció una pista: antes que el precio, preocupa quién responde si algo falla. Es una señal indicativa, no un resultado representativo. El modelo de negocio parte con un taller propio y contempla, más adelante, licenciar a otros talleres la biblioteca de calibraciones, el procedimiento y la plataforma de formación Lumine Habilita. Hoy eso está diseñado, no validado.</w:t>
      </w:r>
    </w:p>
    <w:p>
      <w:pPr>
        <w:spacing w:after="40" w:line="264"/>
      </w:pPr>
      <w:r>
        <w:rPr>
          <w:b/>
          <w:bCs/>
          <w:color w:val="5F6B70"/>
          <w:sz w:val="18"/>
          <w:szCs w:val="18"/>
        </w:rPr>
        <w:t xml:space="preserve">Mensaje: </w:t>
      </w:r>
      <w:r>
        <w:rPr>
          <w:color w:val="5F6B70"/>
          <w:sz w:val="18"/>
          <w:szCs w:val="18"/>
        </w:rPr>
        <w:t xml:space="preserve">Público amplio con prioridad en uso intensivo; propuesta de valor por comprobar; modelo con taller propio y licencias potenciales.</w:t>
      </w:r>
    </w:p>
    <w:p>
      <w:pPr>
        <w:spacing w:after="40" w:line="264"/>
      </w:pPr>
      <w:r>
        <w:rPr>
          <w:b/>
          <w:bCs/>
          <w:color w:val="5F6B70"/>
          <w:sz w:val="18"/>
          <w:szCs w:val="18"/>
        </w:rPr>
        <w:t xml:space="preserve">Evidencia: </w:t>
      </w:r>
      <w:r>
        <w:rPr>
          <w:color w:val="5F6B70"/>
          <w:sz w:val="18"/>
          <w:szCs w:val="18"/>
        </w:rPr>
        <w:t xml:space="preserve">Contexto vigente; entrevistas en profundidad (n = 3, indicativas).</w:t>
      </w:r>
    </w:p>
    <w:p>
      <w:pPr>
        <w:spacing w:after="40" w:line="264"/>
      </w:pPr>
      <w:r>
        <w:rPr>
          <w:b/>
          <w:bCs/>
          <w:color w:val="5F6B70"/>
          <w:sz w:val="18"/>
          <w:szCs w:val="18"/>
        </w:rPr>
        <w:t xml:space="preserve">Por qué importa: </w:t>
      </w:r>
      <w:r>
        <w:rPr>
          <w:color w:val="5F6B70"/>
          <w:sz w:val="18"/>
          <w:szCs w:val="18"/>
        </w:rPr>
        <w:t xml:space="preserve">Define qué tendrá que demostrar la estrategia: ahorro, continuidad de uso, respaldo técnico y transparencia.</w:t>
      </w:r>
    </w:p>
    <w:p>
      <w:pPr>
        <w:spacing w:after="240" w:line="264"/>
      </w:pPr>
      <w:r>
        <w:rPr>
          <w:b/>
          <w:bCs/>
          <w:color w:val="5F6B70"/>
          <w:sz w:val="18"/>
          <w:szCs w:val="18"/>
        </w:rPr>
        <w:t xml:space="preserve">Transición: </w:t>
      </w:r>
      <w:r>
        <w:rPr>
          <w:color w:val="5F6B70"/>
          <w:sz w:val="18"/>
          <w:szCs w:val="18"/>
        </w:rPr>
        <w:t xml:space="preserve">De qué compra el cliente a para qué existimos.</w:t>
      </w:r>
    </w:p>
    <w:p>
      <w:pPr>
        <w:pStyle w:val="Heading2"/>
        <w:keepNext/>
        <w:tabs>
          <w:tab w:val="right" w:pos="9360"/>
        </w:tabs>
      </w:pPr>
      <w:r>
        <w:t xml:space="preserve">5 · Misión, visión y valores que se pueden verificar</w:t>
      </w:r>
      <w:r>
        <w:rPr>
          <w:b w:val="false"/>
          <w:bCs w:val="false"/>
          <w:color w:val="5F6B70"/>
        </w:rPr>
        <w:t xml:space="preserve">	0:55</w:t>
      </w:r>
    </w:p>
    <w:p>
      <w:pPr>
        <w:spacing w:after="120" w:line="336"/>
      </w:pPr>
      <w:r>
        <w:rPr>
          <w:sz w:val="24"/>
          <w:szCs w:val="24"/>
        </w:rPr>
        <w:t xml:space="preserve">La misión dice para qué existimos: reducir el combustible que un vehículo liviano necesita por kilómetro, sobre el auto que el cliente ya tiene, sin reemplazarlo y sin intervenir su motor. Cuando dice instalación certificada, es una exigencia que nos ponemos, no una certificación que ya tengamos. La visión es ser hacia 2031 el taller de referencia en hibridación de vehículos en uso en Chile, reconocido por la autoridad, las plantas de revisión técnica y las aseguradoras. Y los valores sirven al control de gestión porque se pueden verificar: primero verificar y después afirmar, operar dentro de la formalidad, dejar trazado el conocimiento técnico y responder por todo el ciclo del componente. Benjamín sigue con el análisis externo.</w:t>
      </w:r>
    </w:p>
    <w:p>
      <w:pPr>
        <w:spacing w:after="40" w:line="264"/>
      </w:pPr>
      <w:r>
        <w:rPr>
          <w:b/>
          <w:bCs/>
          <w:color w:val="5F6B70"/>
          <w:sz w:val="18"/>
          <w:szCs w:val="18"/>
        </w:rPr>
        <w:t xml:space="preserve">Mensaje: </w:t>
      </w:r>
      <w:r>
        <w:rPr>
          <w:color w:val="5F6B70"/>
          <w:sz w:val="18"/>
          <w:szCs w:val="18"/>
        </w:rPr>
        <w:t xml:space="preserve">Las declaraciones estratégicas compartidas fijan el propósito y criterios verificables.</w:t>
      </w:r>
    </w:p>
    <w:p>
      <w:pPr>
        <w:spacing w:after="40" w:line="264"/>
      </w:pPr>
      <w:r>
        <w:rPr>
          <w:b/>
          <w:bCs/>
          <w:color w:val="5F6B70"/>
          <w:sz w:val="18"/>
          <w:szCs w:val="18"/>
        </w:rPr>
        <w:t xml:space="preserve">Evidencia: </w:t>
      </w:r>
      <w:r>
        <w:rPr>
          <w:color w:val="5F6B70"/>
          <w:sz w:val="18"/>
          <w:szCs w:val="18"/>
        </w:rPr>
        <w:t xml:space="preserve">Misión y visión literales; ocho valores (cuatro organizacionales y cuatro humanos).</w:t>
      </w:r>
    </w:p>
    <w:p>
      <w:pPr>
        <w:spacing w:after="40" w:line="264"/>
      </w:pPr>
      <w:r>
        <w:rPr>
          <w:b/>
          <w:bCs/>
          <w:color w:val="5F6B70"/>
          <w:sz w:val="18"/>
          <w:szCs w:val="18"/>
        </w:rPr>
        <w:t xml:space="preserve">Por qué importa: </w:t>
      </w:r>
      <w:r>
        <w:rPr>
          <w:color w:val="5F6B70"/>
          <w:sz w:val="18"/>
          <w:szCs w:val="18"/>
        </w:rPr>
        <w:t xml:space="preserve">Los valores se pueden convertir después en reglas de control; la misión no afirma una certificación obtenida.</w:t>
      </w:r>
    </w:p>
    <w:p>
      <w:pPr>
        <w:spacing w:after="240" w:line="264"/>
      </w:pPr>
      <w:r>
        <w:rPr>
          <w:b/>
          <w:bCs/>
          <w:color w:val="5F6B70"/>
          <w:sz w:val="18"/>
          <w:szCs w:val="18"/>
        </w:rPr>
        <w:t xml:space="preserve">Transición: </w:t>
      </w:r>
      <w:r>
        <w:rPr>
          <w:color w:val="5F6B70"/>
          <w:sz w:val="18"/>
          <w:szCs w:val="18"/>
        </w:rPr>
        <w:t xml:space="preserve">Traspaso a Benjamín: el análisis externo.</w:t>
      </w:r>
    </w:p>
    <w:p>
      <w:pPr>
        <w:pStyle w:val="Heading2"/>
        <w:keepNext/>
        <w:tabs>
          <w:tab w:val="right" w:pos="9360"/>
        </w:tabs>
      </w:pPr>
      <w:r>
        <w:t xml:space="preserve">13 · Lumine compite con la decisión de esperar</w:t>
      </w:r>
      <w:r>
        <w:rPr>
          <w:b w:val="false"/>
          <w:bCs w:val="false"/>
          <w:color w:val="5F6B70"/>
        </w:rPr>
        <w:t xml:space="preserve">	0:30</w:t>
      </w:r>
    </w:p>
    <w:p>
      <w:pPr>
        <w:spacing w:after="120" w:line="336"/>
      </w:pPr>
      <w:r>
        <w:rPr>
          <w:sz w:val="24"/>
          <w:szCs w:val="24"/>
        </w:rPr>
        <w:t xml:space="preserve">Lumine responde a un problema real: autos que seguirán circulando y una bencina cada vez más cara. Pero hoy su fortaleza es de diseño, el entorno pesa en contra y la vía legal sigue pendiente. Por eso no compite con otros talleres: compite con la decisión de esperar. En el próximo avance convertiremos estas tres brechas en estrategia, objetivos e indicadores. Muchas gracias; quedamos atentos a sus preguntas.</w:t>
      </w:r>
    </w:p>
    <w:p>
      <w:pPr>
        <w:spacing w:after="40" w:line="264"/>
      </w:pPr>
      <w:r>
        <w:rPr>
          <w:b/>
          <w:bCs/>
          <w:color w:val="5F6B70"/>
          <w:sz w:val="18"/>
          <w:szCs w:val="18"/>
        </w:rPr>
        <w:t xml:space="preserve">Mensaje: </w:t>
      </w:r>
      <w:r>
        <w:rPr>
          <w:color w:val="5F6B70"/>
          <w:sz w:val="18"/>
          <w:szCs w:val="18"/>
        </w:rPr>
        <w:t xml:space="preserve">Problema real, fortaleza de diseño, entorno en contra y vía legal pendiente: el rival es la espera.</w:t>
      </w:r>
    </w:p>
    <w:p>
      <w:pPr>
        <w:spacing w:after="40" w:line="264"/>
      </w:pPr>
      <w:r>
        <w:rPr>
          <w:b/>
          <w:bCs/>
          <w:color w:val="5F6B70"/>
          <w:sz w:val="18"/>
          <w:szCs w:val="18"/>
        </w:rPr>
        <w:t xml:space="preserve">Evidencia: </w:t>
      </w:r>
      <w:r>
        <w:rPr>
          <w:color w:val="5F6B70"/>
          <w:sz w:val="18"/>
          <w:szCs w:val="18"/>
        </w:rPr>
        <w:t xml:space="preserve">Síntesis de las láminas 2 a 12.</w:t>
      </w:r>
    </w:p>
    <w:p>
      <w:pPr>
        <w:spacing w:after="40" w:line="264"/>
      </w:pPr>
      <w:r>
        <w:rPr>
          <w:b/>
          <w:bCs/>
          <w:color w:val="5F6B70"/>
          <w:sz w:val="18"/>
          <w:szCs w:val="18"/>
        </w:rPr>
        <w:t xml:space="preserve">Por qué importa: </w:t>
      </w:r>
      <w:r>
        <w:rPr>
          <w:color w:val="5F6B70"/>
          <w:sz w:val="18"/>
          <w:szCs w:val="18"/>
        </w:rPr>
        <w:t xml:space="preserve">Cierra con una idea defendible y conecta con el Avance 2.</w:t>
      </w:r>
    </w:p>
    <w:p>
      <w:pPr>
        <w:spacing w:after="240" w:line="264"/>
      </w:pPr>
      <w:r>
        <w:rPr>
          <w:b/>
          <w:bCs/>
          <w:color w:val="5F6B70"/>
          <w:sz w:val="18"/>
          <w:szCs w:val="18"/>
        </w:rPr>
        <w:t xml:space="preserve">Transición: </w:t>
      </w:r>
      <w:r>
        <w:rPr>
          <w:color w:val="5F6B70"/>
          <w:sz w:val="18"/>
          <w:szCs w:val="18"/>
        </w:rPr>
        <w:t xml:space="preserve">Preguntas.</w:t>
      </w:r>
    </w:p>
    <w:p>
      <w:r>
        <w:br w:type="page"/>
      </w:r>
    </w:p>
    <w:p>
      <w:pPr>
        <w:pStyle w:val="Heading1"/>
      </w:pPr>
      <w:r>
        <w:t xml:space="preserve">Parte 2 · Benjamín Torres</w:t>
      </w:r>
    </w:p>
    <w:p>
      <w:pPr>
        <w:spacing w:after="200" w:before="0" w:line="300"/>
      </w:pPr>
      <w:r>
        <w:rPr>
          <w:color w:val="5F6B70"/>
          <w:sz w:val="20"/>
          <w:szCs w:val="20"/>
        </w:rPr>
        <w:t xml:space="preserve">Láminas 6, 7, 8 · unos 4:31 (587 palabras). Recibe de Diego y pasa la palabra a Lukas al final de la lámina 8.</w:t>
      </w:r>
    </w:p>
    <w:p>
      <w:pPr>
        <w:pStyle w:val="Heading2"/>
        <w:keepNext/>
        <w:tabs>
          <w:tab w:val="right" w:pos="9360"/>
        </w:tabs>
      </w:pPr>
      <w:r>
        <w:t xml:space="preserve">6 · El entorno pesa en contra: 20 amenazas frente a 13 oportunidades</w:t>
      </w:r>
      <w:r>
        <w:rPr>
          <w:b w:val="false"/>
          <w:bCs w:val="false"/>
          <w:color w:val="5F6B70"/>
        </w:rPr>
        <w:t xml:space="preserve">	1:30</w:t>
      </w:r>
    </w:p>
    <w:p>
      <w:pPr>
        <w:spacing w:after="120" w:line="336"/>
      </w:pPr>
      <w:r>
        <w:rPr>
          <w:sz w:val="24"/>
          <w:szCs w:val="24"/>
        </w:rPr>
        <w:t xml:space="preserve">Gracias, Diego. Partimos por el entorno, con la matriz PEST del curso. Evaluamos cincuenta y un factores en una escala de uno a cinco, donde tres es neutro. El resultado global es dos coma ochenta y dos: un entorno levemente desfavorable. Pero lo más claro es el conteo: veinte amenazas, dieciocho factores neutros y solo trece oportunidades. Por dimensión, lo económico es lo más débil, con dos coma treinta y ocho. Ahí están el bajo crecimiento esperado, el desempleo, un dólar alto que encarece un kit importado y un crédito caro que dificulta financiar la compra. Lo político y jurídico obtiene dos coma sesenta y siete, porque la ley existe, pero todavía no tiene reglamento. Lo sociocultural queda en el neutro. Y lo tecnológico es la única dimensión sobre el neutro, con tres coma veintitrés: los componentes de electrificación están maduros y estandarizados a nivel internacional, y el precio de las baterías viene bajando. La lectura para Lumine es que la tecnología no es el problema. Los riesgos decisivos son dos: la regulación y la capacidad de pago del cliente. Por eso miramos ahora la industria y la vía legal.</w:t>
      </w:r>
    </w:p>
    <w:p>
      <w:pPr>
        <w:spacing w:after="40" w:line="264"/>
      </w:pPr>
      <w:r>
        <w:rPr>
          <w:b/>
          <w:bCs/>
          <w:color w:val="5F6B70"/>
          <w:sz w:val="18"/>
          <w:szCs w:val="18"/>
        </w:rPr>
        <w:t xml:space="preserve">Mensaje: </w:t>
      </w:r>
      <w:r>
        <w:rPr>
          <w:color w:val="5F6B70"/>
          <w:sz w:val="18"/>
          <w:szCs w:val="18"/>
        </w:rPr>
        <w:t xml:space="preserve">Entorno levemente desfavorable (2,82); la tecnología no es el problema; lo decisivo es la regulación y la capacidad de pago.</w:t>
      </w:r>
    </w:p>
    <w:p>
      <w:pPr>
        <w:spacing w:after="40" w:line="264"/>
      </w:pPr>
      <w:r>
        <w:rPr>
          <w:b/>
          <w:bCs/>
          <w:color w:val="5F6B70"/>
          <w:sz w:val="18"/>
          <w:szCs w:val="18"/>
        </w:rPr>
        <w:t xml:space="preserve">Evidencia: </w:t>
      </w:r>
      <w:r>
        <w:rPr>
          <w:color w:val="5F6B70"/>
          <w:sz w:val="18"/>
          <w:szCs w:val="18"/>
        </w:rPr>
        <w:t xml:space="preserve">Instrumento PEST (03): 51 factores, escala 1 a 5, neutro 3; 13 / 18 / 20; dimensiones 2,67 · 2,38 · 3,00 · 3,23.</w:t>
      </w:r>
    </w:p>
    <w:p>
      <w:pPr>
        <w:spacing w:after="40" w:line="264"/>
      </w:pPr>
      <w:r>
        <w:rPr>
          <w:b/>
          <w:bCs/>
          <w:color w:val="5F6B70"/>
          <w:sz w:val="18"/>
          <w:szCs w:val="18"/>
        </w:rPr>
        <w:t xml:space="preserve">Por qué importa: </w:t>
      </w:r>
      <w:r>
        <w:rPr>
          <w:color w:val="5F6B70"/>
          <w:sz w:val="18"/>
          <w:szCs w:val="18"/>
        </w:rPr>
        <w:t xml:space="preserve">Dirige el análisis hacia la industria y la vía legal.</w:t>
      </w:r>
    </w:p>
    <w:p>
      <w:pPr>
        <w:spacing w:after="240" w:line="264"/>
      </w:pPr>
      <w:r>
        <w:rPr>
          <w:b/>
          <w:bCs/>
          <w:color w:val="5F6B70"/>
          <w:sz w:val="18"/>
          <w:szCs w:val="18"/>
        </w:rPr>
        <w:t xml:space="preserve">Transición: </w:t>
      </w:r>
      <w:r>
        <w:rPr>
          <w:color w:val="5F6B70"/>
          <w:sz w:val="18"/>
          <w:szCs w:val="18"/>
        </w:rPr>
        <w:t xml:space="preserve">Por eso las dos láminas siguientes.</w:t>
      </w:r>
    </w:p>
    <w:p>
      <w:pPr>
        <w:pStyle w:val="Heading2"/>
        <w:keepNext/>
        <w:tabs>
          <w:tab w:val="right" w:pos="9360"/>
        </w:tabs>
      </w:pPr>
      <w:r>
        <w:t xml:space="preserve">7 · El rival es posponer la compra, no otro taller</w:t>
      </w:r>
      <w:r>
        <w:rPr>
          <w:b w:val="false"/>
          <w:bCs w:val="false"/>
          <w:color w:val="5F6B70"/>
        </w:rPr>
        <w:t xml:space="preserve">	1:30</w:t>
      </w:r>
    </w:p>
    <w:p>
      <w:pPr>
        <w:spacing w:after="120" w:line="336"/>
      </w:pPr>
      <w:r>
        <w:rPr>
          <w:sz w:val="24"/>
          <w:szCs w:val="24"/>
        </w:rPr>
        <w:t xml:space="preserve">Ahora la industria, con las cinco fuerzas de Porter. Cada fuerza se califica de cero a cinco según su intensidad, y luego se pondera según su importancia para este negocio. El promedio ponderado da tres coma cuarenta y nueve: una presión moderadamente alta: una industria poco atractiva. La fuerza más intensa son los sustitutos, con cinco de cinco. El sustituto principal no es otro taller: es que el cliente posponga la decisión y siga con su auto tal como está. Eso no es gratis: no paga el kit, pero sigue pagando toda su bencina. También compite la compra de un híbrido usado. Después vienen los nuevos entrantes, con tres coma setenta y cinco, porque si se abre una vía legal, otros talleres con capital podrían homologar. Los clientes y los proveedores quedan en un nivel medio, y la rivalidad es baja, uno coma ochenta y tres, porque hoy no identificamos una oferta directa de hibridación de autos en uso. Una precisión: el treinta y el veinticinco por ciento son pesos del modelo, no porcentajes de amenaza. La conclusión es que Lumine compite contra la inercia, y para vencerla tiene que demostrar que el ahorro supera lo que cuesta el kit.</w:t>
      </w:r>
    </w:p>
    <w:p>
      <w:pPr>
        <w:spacing w:after="40" w:line="264"/>
      </w:pPr>
      <w:r>
        <w:rPr>
          <w:b/>
          <w:bCs/>
          <w:color w:val="5F6B70"/>
          <w:sz w:val="18"/>
          <w:szCs w:val="18"/>
        </w:rPr>
        <w:t xml:space="preserve">Mensaje: </w:t>
      </w:r>
      <w:r>
        <w:rPr>
          <w:color w:val="5F6B70"/>
          <w:sz w:val="18"/>
          <w:szCs w:val="18"/>
        </w:rPr>
        <w:t xml:space="preserve">Industria poco atractiva (3,49 de 5); el sustituto dominante es seguir con el auto actual, que no paga el kit pero sigue pagando la bencina.</w:t>
      </w:r>
    </w:p>
    <w:p>
      <w:pPr>
        <w:spacing w:after="40" w:line="264"/>
      </w:pPr>
      <w:r>
        <w:rPr>
          <w:b/>
          <w:bCs/>
          <w:color w:val="5F6B70"/>
          <w:sz w:val="18"/>
          <w:szCs w:val="18"/>
        </w:rPr>
        <w:t xml:space="preserve">Evidencia: </w:t>
      </w:r>
      <w:r>
        <w:rPr>
          <w:color w:val="5F6B70"/>
          <w:sz w:val="18"/>
          <w:szCs w:val="18"/>
        </w:rPr>
        <w:t xml:space="preserve">Instrumento de cinco fuerzas (02): pesos e intensidades; 0,30 × 5,00 + 0,20 × 3,75 + 0,25 × 2,64 + 0,15 × 2,67 + 0,10 × 1,83 = 3,49.</w:t>
      </w:r>
    </w:p>
    <w:p>
      <w:pPr>
        <w:spacing w:after="40" w:line="264"/>
      </w:pPr>
      <w:r>
        <w:rPr>
          <w:b/>
          <w:bCs/>
          <w:color w:val="5F6B70"/>
          <w:sz w:val="18"/>
          <w:szCs w:val="18"/>
        </w:rPr>
        <w:t xml:space="preserve">Por qué importa: </w:t>
      </w:r>
      <w:r>
        <w:rPr>
          <w:color w:val="5F6B70"/>
          <w:sz w:val="18"/>
          <w:szCs w:val="18"/>
        </w:rPr>
        <w:t xml:space="preserve">La propuesta debe demostrar que el ahorro supera el costo del kit; el rival es la inercia.</w:t>
      </w:r>
    </w:p>
    <w:p>
      <w:pPr>
        <w:spacing w:after="240" w:line="264"/>
      </w:pPr>
      <w:r>
        <w:rPr>
          <w:b/>
          <w:bCs/>
          <w:color w:val="5F6B70"/>
          <w:sz w:val="18"/>
          <w:szCs w:val="18"/>
        </w:rPr>
        <w:t xml:space="preserve">Transición: </w:t>
      </w:r>
      <w:r>
        <w:rPr>
          <w:color w:val="5F6B70"/>
          <w:sz w:val="18"/>
          <w:szCs w:val="18"/>
        </w:rPr>
        <w:t xml:space="preserve">La regulación decide si se compite.</w:t>
      </w:r>
    </w:p>
    <w:p>
      <w:pPr>
        <w:pStyle w:val="Heading2"/>
        <w:keepNext/>
        <w:tabs>
          <w:tab w:val="right" w:pos="9360"/>
        </w:tabs>
      </w:pPr>
      <w:r>
        <w:t xml:space="preserve">8 · La vía legal decide si el negocio opera</w:t>
      </w:r>
      <w:r>
        <w:rPr>
          <w:b w:val="false"/>
          <w:bCs w:val="false"/>
          <w:color w:val="5F6B70"/>
        </w:rPr>
        <w:t xml:space="preserve">	1:30</w:t>
      </w:r>
    </w:p>
    <w:p>
      <w:pPr>
        <w:spacing w:after="120" w:line="336"/>
      </w:pPr>
      <w:r>
        <w:rPr>
          <w:sz w:val="24"/>
          <w:szCs w:val="24"/>
        </w:rPr>
        <w:t xml:space="preserve">La regulación merece una lámina propia, porque decide si el negocio opera. La Ley veintiún mil setecientos noventa y tres se publicó el catorce de enero de este año, pero todavía no tiene reglamento. La única referencia es un borrador que el Ministerio de Transportes sometió a consulta en 2021, antes de la ley. Con eso armamos cuatro escenarios. La primera pregunta es si el reglamento admitirá una transformación que conserva el motor original. Si la respuesta es sí, queda una segunda pregunta: si se excluyen los autos con ABS, airbag o control de estabilidad. Sin exclusión tenemos el escenario uno, una vía amplia, donde la exigencia de homologar protege a quien lo haga primero. Con exclusión, el escenario dos: una vía acotada a un parque más antiguo. Si la respuesta a la primera pregunta es no, quedan dos caminos: el escenario tres, inscribir el cambio como una alteración de características, o el escenario cuatro, sin vía legal, donde el negocio no opera. El borrador de 2021 entendía la transformación como cambiar el motor por uno eléctrico. Por eso hoy no podemos afirmar ni que estamos habilitados ni que estamos prohibidos. Lukas sigue con el análisis interno.</w:t>
      </w:r>
    </w:p>
    <w:p>
      <w:pPr>
        <w:spacing w:after="40" w:line="264"/>
      </w:pPr>
      <w:r>
        <w:rPr>
          <w:b/>
          <w:bCs/>
          <w:color w:val="5F6B70"/>
          <w:sz w:val="18"/>
          <w:szCs w:val="18"/>
        </w:rPr>
        <w:t xml:space="preserve">Mensaje: </w:t>
      </w:r>
      <w:r>
        <w:rPr>
          <w:color w:val="5F6B70"/>
          <w:sz w:val="18"/>
          <w:szCs w:val="18"/>
        </w:rPr>
        <w:t xml:space="preserve">Sin reglamento, Lumine no puede afirmar que está habilitada ni prohibida; cuatro escenarios ordenan la incertidumbre.</w:t>
      </w:r>
    </w:p>
    <w:p>
      <w:pPr>
        <w:spacing w:after="40" w:line="264"/>
      </w:pPr>
      <w:r>
        <w:rPr>
          <w:b/>
          <w:bCs/>
          <w:color w:val="5F6B70"/>
          <w:sz w:val="18"/>
          <w:szCs w:val="18"/>
        </w:rPr>
        <w:t xml:space="preserve">Evidencia: </w:t>
      </w:r>
      <w:r>
        <w:rPr>
          <w:color w:val="5F6B70"/>
          <w:sz w:val="18"/>
          <w:szCs w:val="18"/>
        </w:rPr>
        <w:t xml:space="preserve">Ley N° 21.793 (Diario Oficial, 14-01-2026); borrador del MTT sometido a consulta en 2021, anterior a la ley; árbol del análisis original.</w:t>
      </w:r>
    </w:p>
    <w:p>
      <w:pPr>
        <w:spacing w:after="40" w:line="264"/>
      </w:pPr>
      <w:r>
        <w:rPr>
          <w:b/>
          <w:bCs/>
          <w:color w:val="5F6B70"/>
          <w:sz w:val="18"/>
          <w:szCs w:val="18"/>
        </w:rPr>
        <w:t xml:space="preserve">Por qué importa: </w:t>
      </w:r>
      <w:r>
        <w:rPr>
          <w:color w:val="5F6B70"/>
          <w:sz w:val="18"/>
          <w:szCs w:val="18"/>
        </w:rPr>
        <w:t xml:space="preserve">Es la primera brecha del diagnóstico y condiciona todas las demás.</w:t>
      </w:r>
    </w:p>
    <w:p>
      <w:pPr>
        <w:spacing w:after="240" w:line="264"/>
      </w:pPr>
      <w:r>
        <w:rPr>
          <w:b/>
          <w:bCs/>
          <w:color w:val="5F6B70"/>
          <w:sz w:val="18"/>
          <w:szCs w:val="18"/>
        </w:rPr>
        <w:t xml:space="preserve">Transición: </w:t>
      </w:r>
      <w:r>
        <w:rPr>
          <w:color w:val="5F6B70"/>
          <w:sz w:val="18"/>
          <w:szCs w:val="18"/>
        </w:rPr>
        <w:t xml:space="preserve">Traspaso a Lukas: el análisis interno.</w:t>
      </w:r>
    </w:p>
    <w:p>
      <w:r>
        <w:br w:type="page"/>
      </w:r>
    </w:p>
    <w:p>
      <w:pPr>
        <w:pStyle w:val="Heading1"/>
      </w:pPr>
      <w:r>
        <w:t xml:space="preserve">Parte 3 · Lukas Verdugo</w:t>
      </w:r>
    </w:p>
    <w:p>
      <w:pPr>
        <w:spacing w:after="200" w:before="0" w:line="300"/>
      </w:pPr>
      <w:r>
        <w:rPr>
          <w:color w:val="5F6B70"/>
          <w:sz w:val="20"/>
          <w:szCs w:val="20"/>
        </w:rPr>
        <w:t xml:space="preserve">Láminas 9, 10, 11, 12 · unos 4:37 (600 palabras). Recibe de Benjamín y devuelve la palabra a Diego al final de la lámina 12.</w:t>
      </w:r>
    </w:p>
    <w:p>
      <w:pPr>
        <w:pStyle w:val="Heading2"/>
        <w:keepNext/>
        <w:tabs>
          <w:tab w:val="right" w:pos="9360"/>
        </w:tabs>
      </w:pPr>
      <w:r>
        <w:t xml:space="preserve">9 · La ventaja es potencial: 2 de 15 recursos podrían sostenerla</w:t>
      </w:r>
      <w:r>
        <w:rPr>
          <w:b w:val="false"/>
          <w:bCs w:val="false"/>
          <w:color w:val="5F6B70"/>
        </w:rPr>
        <w:t xml:space="preserve">	1:10</w:t>
      </w:r>
    </w:p>
    <w:p>
      <w:pPr>
        <w:spacing w:after="120" w:line="336"/>
      </w:pPr>
      <w:r>
        <w:rPr>
          <w:sz w:val="24"/>
          <w:szCs w:val="24"/>
        </w:rPr>
        <w:t xml:space="preserve">Gracias, Benjamín. Mirando hacia adentro, evaluamos quince recursos y capacidades con los cuatro criterios de Hitt: si son valiosos, raros, costosos de imitar e insustituibles. Solo dos cumplen los cuatro: la biblioteca de calibraciones por marca y modelo, que es un recurso, y la ingeniería de integración, que es la capacidad de construirla. En el fondo son una sola competencia: saber calibrar el kit para cada auto. Pero hay que decirlo con precisión: la biblioteca hoy está vacía. Por eso no hablamos de dos ventajas sostenibles, sino de un potencial de diferenciación que depende de desarrollarla y protegerla, por ejemplo, como secreto empresarial. Otros seis recursos, como la homologación de cada modelo o los técnicos con licencia, darían solo una ventaja temporal, porque un competidor con tiempo y capital podría conseguirlos. Los siete restantes son igualdad competitiva: el taller, el kit o el equipamiento no nos distinguen.</w:t>
      </w:r>
    </w:p>
    <w:p>
      <w:pPr>
        <w:spacing w:after="40" w:line="264"/>
      </w:pPr>
      <w:r>
        <w:rPr>
          <w:b/>
          <w:bCs/>
          <w:color w:val="5F6B70"/>
          <w:sz w:val="18"/>
          <w:szCs w:val="18"/>
        </w:rPr>
        <w:t xml:space="preserve">Mensaje: </w:t>
      </w:r>
      <w:r>
        <w:rPr>
          <w:color w:val="5F6B70"/>
          <w:sz w:val="18"/>
          <w:szCs w:val="18"/>
        </w:rPr>
        <w:t xml:space="preserve">Solo la competencia de calibración cumple los cuatro criterios, y es potencial: la biblioteca está vacía.</w:t>
      </w:r>
    </w:p>
    <w:p>
      <w:pPr>
        <w:spacing w:after="40" w:line="264"/>
      </w:pPr>
      <w:r>
        <w:rPr>
          <w:b/>
          <w:bCs/>
          <w:color w:val="5F6B70"/>
          <w:sz w:val="18"/>
          <w:szCs w:val="18"/>
        </w:rPr>
        <w:t xml:space="preserve">Evidencia: </w:t>
      </w:r>
      <w:r>
        <w:rPr>
          <w:color w:val="5F6B70"/>
          <w:sz w:val="18"/>
          <w:szCs w:val="18"/>
        </w:rPr>
        <w:t xml:space="preserve">Instrumento de competencias (05), criterios de Hitt: 2 sostenibles en potencia, 6 temporales, 7 de igualdad, 0 desventajas.</w:t>
      </w:r>
    </w:p>
    <w:p>
      <w:pPr>
        <w:spacing w:after="40" w:line="264"/>
      </w:pPr>
      <w:r>
        <w:rPr>
          <w:b/>
          <w:bCs/>
          <w:color w:val="5F6B70"/>
          <w:sz w:val="18"/>
          <w:szCs w:val="18"/>
        </w:rPr>
        <w:t xml:space="preserve">Por qué importa: </w:t>
      </w:r>
      <w:r>
        <w:rPr>
          <w:color w:val="5F6B70"/>
          <w:sz w:val="18"/>
          <w:szCs w:val="18"/>
        </w:rPr>
        <w:t xml:space="preserve">Evita proclamar una ventaja que no existe; define qué construir y proteger.</w:t>
      </w:r>
    </w:p>
    <w:p>
      <w:pPr>
        <w:spacing w:after="240" w:line="264"/>
      </w:pPr>
      <w:r>
        <w:rPr>
          <w:b/>
          <w:bCs/>
          <w:color w:val="5F6B70"/>
          <w:sz w:val="18"/>
          <w:szCs w:val="18"/>
        </w:rPr>
        <w:t xml:space="preserve">Transición: </w:t>
      </w:r>
      <w:r>
        <w:rPr>
          <w:color w:val="5F6B70"/>
          <w:sz w:val="18"/>
          <w:szCs w:val="18"/>
        </w:rPr>
        <w:t xml:space="preserve">Dónde se crea y se pierde valor: la cadena.</w:t>
      </w:r>
    </w:p>
    <w:p>
      <w:pPr>
        <w:pStyle w:val="Heading2"/>
        <w:keepNext/>
        <w:tabs>
          <w:tab w:val="right" w:pos="9360"/>
        </w:tabs>
      </w:pPr>
      <w:r>
        <w:t xml:space="preserve">10 · Fortaleza de diseño, no de ejecución: operaciones es el cuello de botella</w:t>
      </w:r>
      <w:r>
        <w:rPr>
          <w:b w:val="false"/>
          <w:bCs w:val="false"/>
          <w:color w:val="5F6B70"/>
        </w:rPr>
        <w:t xml:space="preserve">	1:15</w:t>
      </w:r>
    </w:p>
    <w:p>
      <w:pPr>
        <w:spacing w:after="120" w:line="336"/>
      </w:pPr>
      <w:r>
        <w:rPr>
          <w:sz w:val="24"/>
          <w:szCs w:val="24"/>
        </w:rPr>
        <w:t xml:space="preserve">En la cadena de valor, Lumine obtiene tres en habilidades y dos coma setenta y uno en factores de riesgo, en una escala de uno a cinco. Frente a un líder de referencia, armado con lo mejor de cada alternativa, la brecha es de uno coma veintinueve y uno coma cuarenta y tres puntos. Es esperable: comparamos un proyecto con empresas que ya operan. El costo se concentra en la logística de entrada: un kit importado, en dólares, con baterías que viajan como carga peligrosa. La diferenciación nace en el desarrollo tecnológico, que es la calibración. Y operaciones es el cuello de botella, porque ahí se juntan la homologación por modelo, los plazos de importación y la escasez de técnicos. En los factores críticos de éxito, los más fuertes, con cuatro, son la integración y la estandarización del taller, pero están diseñados, no probados. Los más débiles, con dos, son la gestión regulatoria y el talento en alta tensión. Es una fortaleza de diseño, no de ejecución.</w:t>
      </w:r>
    </w:p>
    <w:p>
      <w:pPr>
        <w:spacing w:after="40" w:line="264"/>
      </w:pPr>
      <w:r>
        <w:rPr>
          <w:b/>
          <w:bCs/>
          <w:color w:val="5F6B70"/>
          <w:sz w:val="18"/>
          <w:szCs w:val="18"/>
        </w:rPr>
        <w:t xml:space="preserve">Mensaje: </w:t>
      </w:r>
      <w:r>
        <w:rPr>
          <w:color w:val="5F6B70"/>
          <w:sz w:val="18"/>
          <w:szCs w:val="18"/>
        </w:rPr>
        <w:t xml:space="preserve">El costo nace en la logística de entrada, la diferenciación en el desarrollo tecnológico y el cuello de botella está en operaciones; los factores críticos más fuertes están diseñados, no probados.</w:t>
      </w:r>
    </w:p>
    <w:p>
      <w:pPr>
        <w:spacing w:after="40" w:line="264"/>
      </w:pPr>
      <w:r>
        <w:rPr>
          <w:b/>
          <w:bCs/>
          <w:color w:val="5F6B70"/>
          <w:sz w:val="18"/>
          <w:szCs w:val="18"/>
        </w:rPr>
        <w:t xml:space="preserve">Evidencia: </w:t>
      </w:r>
      <w:r>
        <w:rPr>
          <w:color w:val="5F6B70"/>
          <w:sz w:val="18"/>
          <w:szCs w:val="18"/>
        </w:rPr>
        <w:t xml:space="preserve">Instrumento de cadena de valor (06): 3,00 en habilidades y 2,71 en riesgo (1 a 5); brecha −1,29 y −1,43 con un líder de referencia; seis factores críticos de éxito.</w:t>
      </w:r>
    </w:p>
    <w:p>
      <w:pPr>
        <w:spacing w:after="40" w:line="264"/>
      </w:pPr>
      <w:r>
        <w:rPr>
          <w:b/>
          <w:bCs/>
          <w:color w:val="5F6B70"/>
          <w:sz w:val="18"/>
          <w:szCs w:val="18"/>
        </w:rPr>
        <w:t xml:space="preserve">Por qué importa: </w:t>
      </w:r>
      <w:r>
        <w:rPr>
          <w:color w:val="5F6B70"/>
          <w:sz w:val="18"/>
          <w:szCs w:val="18"/>
        </w:rPr>
        <w:t xml:space="preserve">Señala dónde está el riesgo de ejecución, sin inventar costos ni capacidades.</w:t>
      </w:r>
    </w:p>
    <w:p>
      <w:pPr>
        <w:spacing w:after="240" w:line="264"/>
      </w:pPr>
      <w:r>
        <w:rPr>
          <w:b/>
          <w:bCs/>
          <w:color w:val="5F6B70"/>
          <w:sz w:val="18"/>
          <w:szCs w:val="18"/>
        </w:rPr>
        <w:t xml:space="preserve">Transición: </w:t>
      </w:r>
      <w:r>
        <w:rPr>
          <w:color w:val="5F6B70"/>
          <w:sz w:val="18"/>
          <w:szCs w:val="18"/>
        </w:rPr>
        <w:t xml:space="preserve">El FODA ordena todo.</w:t>
      </w:r>
    </w:p>
    <w:p>
      <w:pPr>
        <w:pStyle w:val="Heading2"/>
        <w:keepNext/>
        <w:tabs>
          <w:tab w:val="right" w:pos="9360"/>
        </w:tabs>
      </w:pPr>
      <w:r>
        <w:t xml:space="preserve">11 · FODA: sabemos qué hacer; falta demostrarlo</w:t>
      </w:r>
      <w:r>
        <w:rPr>
          <w:b w:val="false"/>
          <w:bCs w:val="false"/>
          <w:color w:val="5F6B70"/>
        </w:rPr>
        <w:t xml:space="preserve">	1:10</w:t>
      </w:r>
    </w:p>
    <w:p>
      <w:pPr>
        <w:spacing w:after="120" w:line="336"/>
      </w:pPr>
      <w:r>
        <w:rPr>
          <w:sz w:val="24"/>
          <w:szCs w:val="24"/>
        </w:rPr>
        <w:t xml:space="preserve">El FODA ordena lo anterior, separando lo interno de lo externo. Las fortalezas son internas, pero de diseño: una arquitectura que conserva el motor, un proceso de instalación y verificación definido y un segmento delimitado. Ninguna se ha probado en un auto real. Las debilidades son las de un proyecto que no opera: no hay taller ni casos medidos, la biblioteca de calibraciones está vacía, el talento en alta tensión es escaso y no hay convenios firmados. Afuera, las oportunidades son un parque que se conserva, una bencina cara y una tecnología madura, con baterías cada vez más baratas. Y las amenazas son la regulación pendiente, la capacidad de pago del cliente, un dólar alto para un kit importado y la opción de posponer la compra. La lectura es clara: sabemos qué hacer técnicamente, pero falta demostrarlo. Y lo que decide el negocio está afuera: la vía legal y que el cliente pueda y quiera pagar.</w:t>
      </w:r>
    </w:p>
    <w:p>
      <w:pPr>
        <w:spacing w:after="40" w:line="264"/>
      </w:pPr>
      <w:r>
        <w:rPr>
          <w:b/>
          <w:bCs/>
          <w:color w:val="5F6B70"/>
          <w:sz w:val="18"/>
          <w:szCs w:val="18"/>
        </w:rPr>
        <w:t xml:space="preserve">Mensaje: </w:t>
      </w:r>
      <w:r>
        <w:rPr>
          <w:color w:val="5F6B70"/>
          <w:sz w:val="18"/>
          <w:szCs w:val="18"/>
        </w:rPr>
        <w:t xml:space="preserve">Las fortalezas son de diseño; lo que decide el negocio está afuera: la vía legal y la capacidad de pago.</w:t>
      </w:r>
    </w:p>
    <w:p>
      <w:pPr>
        <w:spacing w:after="40" w:line="264"/>
      </w:pPr>
      <w:r>
        <w:rPr>
          <w:b/>
          <w:bCs/>
          <w:color w:val="5F6B70"/>
          <w:sz w:val="18"/>
          <w:szCs w:val="18"/>
        </w:rPr>
        <w:t xml:space="preserve">Evidencia: </w:t>
      </w:r>
      <w:r>
        <w:rPr>
          <w:color w:val="5F6B70"/>
          <w:sz w:val="18"/>
          <w:szCs w:val="18"/>
        </w:rPr>
        <w:t xml:space="preserve">Síntesis de los instrumentos 02, 03, 05 y 06; internos y externos separados.</w:t>
      </w:r>
    </w:p>
    <w:p>
      <w:pPr>
        <w:spacing w:after="40" w:line="264"/>
      </w:pPr>
      <w:r>
        <w:rPr>
          <w:b/>
          <w:bCs/>
          <w:color w:val="5F6B70"/>
          <w:sz w:val="18"/>
          <w:szCs w:val="18"/>
        </w:rPr>
        <w:t xml:space="preserve">Por qué importa: </w:t>
      </w:r>
      <w:r>
        <w:rPr>
          <w:color w:val="5F6B70"/>
          <w:sz w:val="18"/>
          <w:szCs w:val="18"/>
        </w:rPr>
        <w:t xml:space="preserve">Prepara las tres brechas sin abrir todavía la formulación.</w:t>
      </w:r>
    </w:p>
    <w:p>
      <w:pPr>
        <w:spacing w:after="240" w:line="264"/>
      </w:pPr>
      <w:r>
        <w:rPr>
          <w:b/>
          <w:bCs/>
          <w:color w:val="5F6B70"/>
          <w:sz w:val="18"/>
          <w:szCs w:val="18"/>
        </w:rPr>
        <w:t xml:space="preserve">Transición: </w:t>
      </w:r>
      <w:r>
        <w:rPr>
          <w:color w:val="5F6B70"/>
          <w:sz w:val="18"/>
          <w:szCs w:val="18"/>
        </w:rPr>
        <w:t xml:space="preserve">Juntando todo, tres brechas.</w:t>
      </w:r>
    </w:p>
    <w:p>
      <w:pPr>
        <w:pStyle w:val="Heading2"/>
        <w:keepNext/>
        <w:tabs>
          <w:tab w:val="right" w:pos="9360"/>
        </w:tabs>
      </w:pPr>
      <w:r>
        <w:t xml:space="preserve">12 · Tres brechas que la estrategia debe cerrar</w:t>
      </w:r>
      <w:r>
        <w:rPr>
          <w:b w:val="false"/>
          <w:bCs w:val="false"/>
          <w:color w:val="5F6B70"/>
        </w:rPr>
        <w:t xml:space="preserve">	1:00</w:t>
      </w:r>
    </w:p>
    <w:p>
      <w:pPr>
        <w:spacing w:after="120" w:line="336"/>
      </w:pPr>
      <w:r>
        <w:rPr>
          <w:sz w:val="24"/>
          <w:szCs w:val="24"/>
        </w:rPr>
        <w:t xml:space="preserve">Juntando todo, el diagnóstico deja tres brechas, y las tres se pueden comprobar. La primera es habilitar: conseguir una vía legal y técnica para instalar, porque sin ella no hay negocio; viene del PEST, de los escenarios y de la infraestructura. La segunda es demostrar: convertir una promesa de ahorro en una prestación medible, con una medición antes y después en el mismo auto; viene de Porter, porque solo así se vence la opción de posponer la compra. La tercera es acumular: construir y proteger el conocimiento de calibración, nuestro único potencial de diferenciación; viene del análisis de competencias y de la cadena de valor. Ninguna de las tres se resuelve con publicidad: se resuelven con evidencia. Estas brechas son la entrada del Avance 2. Diego, te devuelvo la palabra.</w:t>
      </w:r>
    </w:p>
    <w:p>
      <w:pPr>
        <w:spacing w:after="40" w:line="264"/>
      </w:pPr>
      <w:r>
        <w:rPr>
          <w:b/>
          <w:bCs/>
          <w:color w:val="5F6B70"/>
          <w:sz w:val="18"/>
          <w:szCs w:val="18"/>
        </w:rPr>
        <w:t xml:space="preserve">Mensaje: </w:t>
      </w:r>
      <w:r>
        <w:rPr>
          <w:color w:val="5F6B70"/>
          <w:sz w:val="18"/>
          <w:szCs w:val="18"/>
        </w:rPr>
        <w:t xml:space="preserve">El diagnóstico se resume en habilitar, demostrar y acumular; cada brecha tiene una evidencia que la cerraría.</w:t>
      </w:r>
    </w:p>
    <w:p>
      <w:pPr>
        <w:spacing w:after="40" w:line="264"/>
      </w:pPr>
      <w:r>
        <w:rPr>
          <w:b/>
          <w:bCs/>
          <w:color w:val="5F6B70"/>
          <w:sz w:val="18"/>
          <w:szCs w:val="18"/>
        </w:rPr>
        <w:t xml:space="preserve">Evidencia: </w:t>
      </w:r>
      <w:r>
        <w:rPr>
          <w:color w:val="5F6B70"/>
          <w:sz w:val="18"/>
          <w:szCs w:val="18"/>
        </w:rPr>
        <w:t xml:space="preserve">Cruce de PEST, escenarios, Porter, competencias y cadena de valor (sección 6.6 del informe).</w:t>
      </w:r>
    </w:p>
    <w:p>
      <w:pPr>
        <w:spacing w:after="40" w:line="264"/>
      </w:pPr>
      <w:r>
        <w:rPr>
          <w:b/>
          <w:bCs/>
          <w:color w:val="5F6B70"/>
          <w:sz w:val="18"/>
          <w:szCs w:val="18"/>
        </w:rPr>
        <w:t xml:space="preserve">Por qué importa: </w:t>
      </w:r>
      <w:r>
        <w:rPr>
          <w:color w:val="5F6B70"/>
          <w:sz w:val="18"/>
          <w:szCs w:val="18"/>
        </w:rPr>
        <w:t xml:space="preserve">Son la entrada del Avance 2 (formulación, objetivos y CMI).</w:t>
      </w:r>
    </w:p>
    <w:p>
      <w:pPr>
        <w:spacing w:after="240" w:line="264"/>
      </w:pPr>
      <w:r>
        <w:rPr>
          <w:b/>
          <w:bCs/>
          <w:color w:val="5F6B70"/>
          <w:sz w:val="18"/>
          <w:szCs w:val="18"/>
        </w:rPr>
        <w:t xml:space="preserve">Transición: </w:t>
      </w:r>
      <w:r>
        <w:rPr>
          <w:color w:val="5F6B70"/>
          <w:sz w:val="18"/>
          <w:szCs w:val="18"/>
        </w:rPr>
        <w:t xml:space="preserve">Traspaso a Diego para el cierre.</w:t>
      </w:r>
    </w:p>
    <w:p>
      <w:r>
        <w:br w:type="page"/>
      </w:r>
    </w:p>
    <w:p>
      <w:pPr>
        <w:pStyle w:val="Heading1"/>
      </w:pPr>
      <w:r>
        <w:t xml:space="preserve">Anexo · solo si preguntan</w:t>
      </w:r>
    </w:p>
    <w:p>
      <w:pPr>
        <w:spacing w:after="200" w:before="0" w:line="300"/>
      </w:pPr>
      <w:r>
        <w:rPr>
          <w:sz w:val="22"/>
          <w:szCs w:val="22"/>
        </w:rPr>
        <w:t xml:space="preserve">El anexo no se expone. En el PowerPoint, la lámina 14 es un índice: un clic en la pregunta lleva a la lámina de respuesta, y cada lámina del anexo tiene un enlace de vuelta al índice.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60"/>
        <w:gridCol w:w="4500"/>
      </w:tblGrid>
      <w:tr>
        <w:trPr>
          <w:tblHeader/>
        </w:trPr>
        <w:tc>
          <w:tcPr>
            <w:tcW w:type="dxa" w:w="9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Tema</w:t>
            </w:r>
          </w:p>
        </w:tc>
        <w:tc>
          <w:tcPr>
            <w:tcW w:type="dxa" w:w="396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Pregunta</w:t>
            </w:r>
          </w:p>
        </w:tc>
        <w:tc>
          <w:tcPr>
            <w:tcW w:type="dxa" w:w="4500"/>
            <w:tcBorders>
              <w:top w:val="single" w:color="C9D3D8" w:sz="4"/>
              <w:left w:val="single" w:color="C9D3D8" w:sz="4"/>
              <w:bottom w:val="single" w:color="C9D3D8" w:sz="4"/>
              <w:right w:val="single" w:color="C9D3D8" w:sz="4"/>
            </w:tcBorders>
            <w:shd w:fill="EAF5FB" w:color="auto" w:val="clear"/>
            <w:tcMar>
              <w:top w:type="dxa" w:w="80"/>
              <w:left w:type="dxa" w:w="120"/>
              <w:bottom w:type="dxa" w:w="80"/>
              <w:right w:type="dxa" w:w="120"/>
            </w:tcMar>
          </w:tcPr>
          <w:p>
            <w:r>
              <w:rPr>
                <w:b/>
                <w:bCs/>
                <w:color w:val="0A6F9E"/>
                <w:sz w:val="20"/>
                <w:szCs w:val="20"/>
              </w:rPr>
              <w:t xml:space="preserve">Qué responder</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A1</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¿Qué escala usa cada matriz y cómo se lee?</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PEST 1 a 5 (3 neutro); cinco fuerzas 0 a 5 ponderado (5 = fuerza más intensa); Hitt, cuatro criterios; cadena de valor y factores críticos 1 a 5. Escalas del curso, no comparables con las del Integrador II.</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A2</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¿Qué hay detrás del 2,82 del PEST?</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51 factores: 13 oportunidades, 18 neutros, 20 amenazas. Hoy 2,82 y a futuro 2,99. Las cifras de entorno vienen del instrumento 03; verificar la fuente primaria antes de citarlas.</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A3</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¿Cómo se calcula el 3,49 de Porter?</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Suma de peso × intensidad. Los pesos son ponderaciones del modelo, no porcentajes de amenaza.</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A4</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¿Cuáles son los factores críticos del entorno?</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Matriz de impacto e incertidumbre del instrumento 03 (Francés): cinco factores críticos, todos inciertos.</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A5</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¿Cómo se clasificaron los 15 recursos y capacidades?</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Criterios de Hitt. «Sostenible» es potencial: la biblioteca está vacía.</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A6</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¿Qué factores críticos de éxito y con qué puntaje?</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Habilidad y riesgo de 1 a 5; en riesgo, un número bajo es riesgo alto.</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A7</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¿Qué cruces deja el FODA para el Avance 2?</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Cruces FO, DO, FA y DA como insumo de la formulación, no como estrategia aprobada.</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A8</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¿Cuánto podría ahorrar un conductor y qué dicen las entrevistas?</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Derivación aritmética sobre una estimación de ingeniería, no una medición. Entrevistas n = 3, indicativas.</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A9</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Misión, visión y valores, texto literal</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Textos del informe del Avance 1 (sección 5).</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A10</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¿Qué es dato, qué es estimación y qué falta?</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Cada cifra dice qué es y de dónde viene.</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A11</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¿Dónde está cada lámina en el informe?</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Lámina → sección del Word → evidencia o anexo.</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A12</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Bibliografía (APA)</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Referencias públicas y teóricas citadas en el informe.</w:t>
            </w:r>
          </w:p>
        </w:tc>
      </w:tr>
      <w:tr>
        <w:tc>
          <w:tcPr>
            <w:tcW w:type="dxa" w:w="9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A13</w:t>
            </w:r>
          </w:p>
        </w:tc>
        <w:tc>
          <w:tcPr>
            <w:tcW w:type="dxa" w:w="396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Respaldo para el Avance 2: CMI preliminar</w:t>
            </w:r>
          </w:p>
        </w:tc>
        <w:tc>
          <w:tcPr>
            <w:tcW w:type="dxa" w:w="4500"/>
            <w:tcBorders>
              <w:top w:val="single" w:color="C9D3D8" w:sz="4"/>
              <w:left w:val="single" w:color="C9D3D8" w:sz="4"/>
              <w:bottom w:val="single" w:color="C9D3D8" w:sz="4"/>
              <w:right w:val="single" w:color="C9D3D8" w:sz="4"/>
            </w:tcBorders>
            <w:tcMar>
              <w:top w:type="dxa" w:w="80"/>
              <w:left w:type="dxa" w:w="120"/>
              <w:bottom w:type="dxa" w:w="80"/>
              <w:right w:type="dxa" w:w="120"/>
            </w:tcMar>
          </w:tcPr>
          <w:p>
            <w:r>
              <w:rPr>
                <w:b w:val="false"/>
                <w:bCs w:val="false"/>
                <w:sz w:val="20"/>
                <w:szCs w:val="20"/>
              </w:rPr>
              <w:t xml:space="preserve">No se expone en el Control 3. Propuesta de trabajo del equipo; se desarrollará en el Avance 2.</w:t>
            </w:r>
          </w:p>
        </w:tc>
      </w:tr>
    </w:tbl>
    <w:p>
      <w:pPr>
        <w:spacing w:after="0" w:before="160" w:line="300"/>
      </w:pPr>
      <w:r>
        <w:rPr>
          <w:color w:val="5F6B70"/>
          <w:sz w:val="20"/>
          <w:szCs w:val="20"/>
        </w:rPr>
        <w:t xml:space="preserve">Manual de defensa completo (escalas, origen de cada cifra y preguntas difíciles): DEFENSA.md, en la carpeta control-3 del repositorio.</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0"/>
        <w:sz w:val="16"/>
        <w:szCs w:val="16"/>
      </w:rPr>
      <w:t xml:space="preserve">Guion · Control 3 · Lumine Motors · página </w:t>
    </w:r>
    <w:r>
      <w:rPr>
        <w:color w:val="5F6B70"/>
        <w:sz w:val="16"/>
        <w:szCs w:val="16"/>
      </w:rPr>
      <w:fldChar w:fldCharType="begin"/>
    </w:r>
    <w:r>
      <w:rPr>
        <w:color w:val="5F6B70"/>
        <w:sz w:val="16"/>
        <w:szCs w:val="16"/>
      </w:rPr>
      <w:instrText xml:space="preserve">PAGE</w:instrText>
    </w:r>
    <w:r>
      <w:rPr>
        <w:color w:val="5F6B70"/>
        <w:sz w:val="16"/>
        <w:szCs w:val="16"/>
      </w:rPr>
      <w:fldChar w:fldCharType="separate"/>
    </w:r>
    <w:r>
      <w:rPr>
        <w:color w:val="5F6B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11111"/>
      <w:sz w:val="48"/>
      <w:szCs w:val="48"/>
    </w:rPr>
  </w:style>
  <w:style w:type="paragraph" w:styleId="Heading1">
    <w:name w:val="Heading 1"/>
    <w:basedOn w:val="Normal"/>
    <w:next w:val="Normal"/>
    <w:qFormat/>
    <w:pPr>
      <w:spacing w:after="120" w:before="120"/>
      <w:outlineLvl w:val="0"/>
    </w:pPr>
    <w:rPr>
      <w:b/>
      <w:bCs/>
      <w:color w:val="0A6F9E"/>
      <w:sz w:val="32"/>
      <w:szCs w:val="32"/>
    </w:rPr>
  </w:style>
  <w:style w:type="paragraph" w:styleId="Heading2">
    <w:name w:val="Heading 2"/>
    <w:basedOn w:val="Normal"/>
    <w:next w:val="Normal"/>
    <w:qFormat/>
    <w:pPr>
      <w:pBdr>
        <w:bottom w:val="single" w:color="C9D3D8" w:sz="4" w:space="4"/>
      </w:pBdr>
      <w:spacing w:after="100" w:before="240"/>
      <w:outlineLvl w:val="1"/>
    </w:pPr>
    <w:rPr>
      <w:b/>
      <w:bCs/>
      <w:color w:val="111111"/>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 Control 3 · Avance 1 del TIG · Control de Gestión · Lumine Motors</dc:title>
  <dc:creator>Diego Alarcón, Benjamín Torres y Lukas Verdugo</dc:creator>
  <cp:lastModifiedBy>Un-named</cp:lastModifiedBy>
  <cp:revision>1</cp:revision>
  <dcterms:created xsi:type="dcterms:W3CDTF">2026-10-22T17:20:21.135Z</dcterms:created>
  <dcterms:modified xsi:type="dcterms:W3CDTF">2026-10-22T17:20:21.135Z</dcterms:modified>
</cp:coreProperties>
</file>

<file path=docProps/custom.xml><?xml version="1.0" encoding="utf-8"?>
<Properties xmlns="http://schemas.openxmlformats.org/officeDocument/2006/custom-properties" xmlns:vt="http://schemas.openxmlformats.org/officeDocument/2006/docPropsVTypes"/>
</file>