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5F6B70"/>
          <w:spacing w:val="20"/>
          <w:sz w:val="18"/>
          <w:szCs w:val="18"/>
        </w:rPr>
        <w:t xml:space="preserve">LUMINE MOTORS · CONTROL DE GESTIÓN · ICMA901 · SOLEMNE 2</w:t>
      </w:r>
    </w:p>
    <w:p>
      <w:pPr>
        <w:pStyle w:val="Title"/>
        <w:spacing w:after="120"/>
      </w:pPr>
      <w:r>
        <w:t xml:space="preserve">Guion de la exposición</w:t>
      </w:r>
    </w:p>
    <w:p>
      <w:pPr>
        <w:spacing w:after="240" w:before="0" w:line="300"/>
      </w:pPr>
      <w:r>
        <w:rPr>
          <w:i/>
          <w:iCs/>
          <w:color w:val="0A6F9E"/>
          <w:sz w:val="24"/>
          <w:szCs w:val="24"/>
        </w:rPr>
        <w:t xml:space="preserve">¿Cómo se controla una estrategia antes de operar? De la estrategia de Lumine Motors a un Cuadro de Mando Integral en red.</w:t>
      </w:r>
    </w:p>
    <w:p>
      <w:pPr>
        <w:spacing w:after="120" w:before="0" w:line="300"/>
      </w:pPr>
      <w:r>
        <w:rPr>
          <w:sz w:val="22"/>
          <w:szCs w:val="22"/>
        </w:rPr>
        <w:t xml:space="preserve">Presentación oral de máximo 15 minutos. 15 láminas y 1793 palabras: unos 13:48 a 130 palabras por minuto, con algo más de un minuto de margen. Los tres integrantes hablan lo mismo y los traspasos ya están escritos en el texto. El mismo guion va en las notas del orador del PowerPoint.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1800"/>
        <w:gridCol w:w="1800"/>
        <w:gridCol w:w="1800"/>
      </w:tblGrid>
      <w:tr>
        <w:trPr>
          <w:tblHeader/>
        </w:trPr>
        <w:tc>
          <w:tcPr>
            <w:tcW w:type="dxa" w:w="900"/>
            <w:tcBorders>
              <w:top w:val="single" w:color="C9D3D8" w:sz="4"/>
              <w:left w:val="single" w:color="C9D3D8" w:sz="4"/>
              <w:bottom w:val="single" w:color="C9D3D8" w:sz="4"/>
              <w:right w:val="single" w:color="C9D3D8" w:sz="4"/>
            </w:tcBorders>
            <w:shd w:fill="EAF5FB" w:color="auto" w:val="clear"/>
            <w:tcMar>
              <w:top w:type="dxa" w:w="80"/>
              <w:left w:type="dxa" w:w="120"/>
              <w:bottom w:type="dxa" w:w="80"/>
              <w:right w:type="dxa" w:w="120"/>
            </w:tcMar>
          </w:tcPr>
          <w:p>
            <w:r>
              <w:rPr>
                <w:b/>
                <w:bCs/>
                <w:color w:val="0A6F9E"/>
                <w:sz w:val="20"/>
                <w:szCs w:val="20"/>
              </w:rPr>
              <w:t xml:space="preserve">Parte</w:t>
            </w:r>
          </w:p>
        </w:tc>
        <w:tc>
          <w:tcPr>
            <w:tcW w:type="dxa" w:w="3060"/>
            <w:tcBorders>
              <w:top w:val="single" w:color="C9D3D8" w:sz="4"/>
              <w:left w:val="single" w:color="C9D3D8" w:sz="4"/>
              <w:bottom w:val="single" w:color="C9D3D8" w:sz="4"/>
              <w:right w:val="single" w:color="C9D3D8" w:sz="4"/>
            </w:tcBorders>
            <w:shd w:fill="EAF5FB" w:color="auto" w:val="clear"/>
            <w:tcMar>
              <w:top w:type="dxa" w:w="80"/>
              <w:left w:type="dxa" w:w="120"/>
              <w:bottom w:type="dxa" w:w="80"/>
              <w:right w:type="dxa" w:w="120"/>
            </w:tcMar>
          </w:tcPr>
          <w:p>
            <w:r>
              <w:rPr>
                <w:b/>
                <w:bCs/>
                <w:color w:val="0A6F9E"/>
                <w:sz w:val="20"/>
                <w:szCs w:val="20"/>
              </w:rPr>
              <w:t xml:space="preserve">Integrante</w:t>
            </w:r>
          </w:p>
        </w:tc>
        <w:tc>
          <w:tcPr>
            <w:tcW w:type="dxa" w:w="1800"/>
            <w:tcBorders>
              <w:top w:val="single" w:color="C9D3D8" w:sz="4"/>
              <w:left w:val="single" w:color="C9D3D8" w:sz="4"/>
              <w:bottom w:val="single" w:color="C9D3D8" w:sz="4"/>
              <w:right w:val="single" w:color="C9D3D8" w:sz="4"/>
            </w:tcBorders>
            <w:shd w:fill="EAF5FB" w:color="auto" w:val="clear"/>
            <w:tcMar>
              <w:top w:type="dxa" w:w="80"/>
              <w:left w:type="dxa" w:w="120"/>
              <w:bottom w:type="dxa" w:w="80"/>
              <w:right w:type="dxa" w:w="120"/>
            </w:tcMar>
          </w:tcPr>
          <w:p>
            <w:r>
              <w:rPr>
                <w:b/>
                <w:bCs/>
                <w:color w:val="0A6F9E"/>
                <w:sz w:val="20"/>
                <w:szCs w:val="20"/>
              </w:rPr>
              <w:t xml:space="preserve">Láminas</w:t>
            </w:r>
          </w:p>
        </w:tc>
        <w:tc>
          <w:tcPr>
            <w:tcW w:type="dxa" w:w="1800"/>
            <w:tcBorders>
              <w:top w:val="single" w:color="C9D3D8" w:sz="4"/>
              <w:left w:val="single" w:color="C9D3D8" w:sz="4"/>
              <w:bottom w:val="single" w:color="C9D3D8" w:sz="4"/>
              <w:right w:val="single" w:color="C9D3D8" w:sz="4"/>
            </w:tcBorders>
            <w:shd w:fill="EAF5FB" w:color="auto" w:val="clear"/>
            <w:tcMar>
              <w:top w:type="dxa" w:w="80"/>
              <w:left w:type="dxa" w:w="120"/>
              <w:bottom w:type="dxa" w:w="80"/>
              <w:right w:type="dxa" w:w="120"/>
            </w:tcMar>
          </w:tcPr>
          <w:p>
            <w:r>
              <w:rPr>
                <w:b/>
                <w:bCs/>
                <w:color w:val="0A6F9E"/>
                <w:sz w:val="20"/>
                <w:szCs w:val="20"/>
              </w:rPr>
              <w:t xml:space="preserve">Palabras</w:t>
            </w:r>
          </w:p>
        </w:tc>
        <w:tc>
          <w:tcPr>
            <w:tcW w:type="dxa" w:w="1800"/>
            <w:tcBorders>
              <w:top w:val="single" w:color="C9D3D8" w:sz="4"/>
              <w:left w:val="single" w:color="C9D3D8" w:sz="4"/>
              <w:bottom w:val="single" w:color="C9D3D8" w:sz="4"/>
              <w:right w:val="single" w:color="C9D3D8" w:sz="4"/>
            </w:tcBorders>
            <w:shd w:fill="EAF5FB" w:color="auto" w:val="clear"/>
            <w:tcMar>
              <w:top w:type="dxa" w:w="80"/>
              <w:left w:type="dxa" w:w="120"/>
              <w:bottom w:type="dxa" w:w="80"/>
              <w:right w:type="dxa" w:w="120"/>
            </w:tcMar>
          </w:tcPr>
          <w:p>
            <w:r>
              <w:rPr>
                <w:b/>
                <w:bCs/>
                <w:color w:val="0A6F9E"/>
                <w:sz w:val="20"/>
                <w:szCs w:val="20"/>
              </w:rPr>
              <w:t xml:space="preserve">Tiempo</w:t>
            </w:r>
          </w:p>
        </w:tc>
      </w:tr>
      <w:tr>
        <w:tc>
          <w:tcPr>
            <w:tcW w:type="dxa" w:w="900"/>
            <w:tcBorders>
              <w:top w:val="single" w:color="C9D3D8" w:sz="4"/>
              <w:left w:val="single" w:color="C9D3D8" w:sz="4"/>
              <w:bottom w:val="single" w:color="C9D3D8" w:sz="4"/>
              <w:right w:val="single" w:color="C9D3D8" w:sz="4"/>
            </w:tcBorders>
            <w:tcMar>
              <w:top w:type="dxa" w:w="80"/>
              <w:left w:type="dxa" w:w="120"/>
              <w:bottom w:type="dxa" w:w="80"/>
              <w:right w:type="dxa" w:w="120"/>
            </w:tcMar>
          </w:tcPr>
          <w:p>
            <w:r>
              <w:rPr>
                <w:b w:val="false"/>
                <w:bCs w:val="false"/>
                <w:sz w:val="20"/>
                <w:szCs w:val="20"/>
              </w:rPr>
              <w:t xml:space="preserve">1</w:t>
            </w:r>
          </w:p>
        </w:tc>
        <w:tc>
          <w:tcPr>
            <w:tcW w:type="dxa" w:w="3060"/>
            <w:tcBorders>
              <w:top w:val="single" w:color="C9D3D8" w:sz="4"/>
              <w:left w:val="single" w:color="C9D3D8" w:sz="4"/>
              <w:bottom w:val="single" w:color="C9D3D8" w:sz="4"/>
              <w:right w:val="single" w:color="C9D3D8" w:sz="4"/>
            </w:tcBorders>
            <w:tcMar>
              <w:top w:type="dxa" w:w="80"/>
              <w:left w:type="dxa" w:w="120"/>
              <w:bottom w:type="dxa" w:w="80"/>
              <w:right w:type="dxa" w:w="120"/>
            </w:tcMar>
          </w:tcPr>
          <w:p>
            <w:r>
              <w:rPr>
                <w:b w:val="false"/>
                <w:bCs w:val="false"/>
                <w:sz w:val="20"/>
                <w:szCs w:val="20"/>
              </w:rPr>
              <w:t xml:space="preserve">Diego Alarcón</w:t>
            </w:r>
          </w:p>
        </w:tc>
        <w:tc>
          <w:tcPr>
            <w:tcW w:type="dxa" w:w="1800"/>
            <w:tcBorders>
              <w:top w:val="single" w:color="C9D3D8" w:sz="4"/>
              <w:left w:val="single" w:color="C9D3D8" w:sz="4"/>
              <w:bottom w:val="single" w:color="C9D3D8" w:sz="4"/>
              <w:right w:val="single" w:color="C9D3D8" w:sz="4"/>
            </w:tcBorders>
            <w:tcMar>
              <w:top w:type="dxa" w:w="80"/>
              <w:left w:type="dxa" w:w="120"/>
              <w:bottom w:type="dxa" w:w="80"/>
              <w:right w:type="dxa" w:w="120"/>
            </w:tcMar>
          </w:tcPr>
          <w:p>
            <w:r>
              <w:rPr>
                <w:b w:val="false"/>
                <w:bCs w:val="false"/>
                <w:sz w:val="20"/>
                <w:szCs w:val="20"/>
              </w:rPr>
              <w:t xml:space="preserve">1 a 5</w:t>
            </w:r>
          </w:p>
        </w:tc>
        <w:tc>
          <w:tcPr>
            <w:tcW w:type="dxa" w:w="1800"/>
            <w:tcBorders>
              <w:top w:val="single" w:color="C9D3D8" w:sz="4"/>
              <w:left w:val="single" w:color="C9D3D8" w:sz="4"/>
              <w:bottom w:val="single" w:color="C9D3D8" w:sz="4"/>
              <w:right w:val="single" w:color="C9D3D8" w:sz="4"/>
            </w:tcBorders>
            <w:tcMar>
              <w:top w:type="dxa" w:w="80"/>
              <w:left w:type="dxa" w:w="120"/>
              <w:bottom w:type="dxa" w:w="80"/>
              <w:right w:type="dxa" w:w="120"/>
            </w:tcMar>
          </w:tcPr>
          <w:p>
            <w:r>
              <w:rPr>
                <w:b w:val="false"/>
                <w:bCs w:val="false"/>
                <w:sz w:val="20"/>
                <w:szCs w:val="20"/>
              </w:rPr>
              <w:t xml:space="preserve">601</w:t>
            </w:r>
          </w:p>
        </w:tc>
        <w:tc>
          <w:tcPr>
            <w:tcW w:type="dxa" w:w="1800"/>
            <w:tcBorders>
              <w:top w:val="single" w:color="C9D3D8" w:sz="4"/>
              <w:left w:val="single" w:color="C9D3D8" w:sz="4"/>
              <w:bottom w:val="single" w:color="C9D3D8" w:sz="4"/>
              <w:right w:val="single" w:color="C9D3D8" w:sz="4"/>
            </w:tcBorders>
            <w:tcMar>
              <w:top w:type="dxa" w:w="80"/>
              <w:left w:type="dxa" w:w="120"/>
              <w:bottom w:type="dxa" w:w="80"/>
              <w:right w:type="dxa" w:w="120"/>
            </w:tcMar>
          </w:tcPr>
          <w:p>
            <w:r>
              <w:rPr>
                <w:b w:val="false"/>
                <w:bCs w:val="false"/>
                <w:sz w:val="20"/>
                <w:szCs w:val="20"/>
              </w:rPr>
              <w:t xml:space="preserve">4:37</w:t>
            </w:r>
          </w:p>
        </w:tc>
      </w:tr>
      <w:tr>
        <w:tc>
          <w:tcPr>
            <w:tcW w:type="dxa" w:w="900"/>
            <w:tcBorders>
              <w:top w:val="single" w:color="C9D3D8" w:sz="4"/>
              <w:left w:val="single" w:color="C9D3D8" w:sz="4"/>
              <w:bottom w:val="single" w:color="C9D3D8" w:sz="4"/>
              <w:right w:val="single" w:color="C9D3D8" w:sz="4"/>
            </w:tcBorders>
            <w:tcMar>
              <w:top w:type="dxa" w:w="80"/>
              <w:left w:type="dxa" w:w="120"/>
              <w:bottom w:type="dxa" w:w="80"/>
              <w:right w:type="dxa" w:w="120"/>
            </w:tcMar>
          </w:tcPr>
          <w:p>
            <w:r>
              <w:rPr>
                <w:b w:val="false"/>
                <w:bCs w:val="false"/>
                <w:sz w:val="20"/>
                <w:szCs w:val="20"/>
              </w:rPr>
              <w:t xml:space="preserve">2</w:t>
            </w:r>
          </w:p>
        </w:tc>
        <w:tc>
          <w:tcPr>
            <w:tcW w:type="dxa" w:w="3060"/>
            <w:tcBorders>
              <w:top w:val="single" w:color="C9D3D8" w:sz="4"/>
              <w:left w:val="single" w:color="C9D3D8" w:sz="4"/>
              <w:bottom w:val="single" w:color="C9D3D8" w:sz="4"/>
              <w:right w:val="single" w:color="C9D3D8" w:sz="4"/>
            </w:tcBorders>
            <w:tcMar>
              <w:top w:type="dxa" w:w="80"/>
              <w:left w:type="dxa" w:w="120"/>
              <w:bottom w:type="dxa" w:w="80"/>
              <w:right w:type="dxa" w:w="120"/>
            </w:tcMar>
          </w:tcPr>
          <w:p>
            <w:r>
              <w:rPr>
                <w:b w:val="false"/>
                <w:bCs w:val="false"/>
                <w:sz w:val="20"/>
                <w:szCs w:val="20"/>
              </w:rPr>
              <w:t xml:space="preserve">Benjamín Torres</w:t>
            </w:r>
          </w:p>
        </w:tc>
        <w:tc>
          <w:tcPr>
            <w:tcW w:type="dxa" w:w="1800"/>
            <w:tcBorders>
              <w:top w:val="single" w:color="C9D3D8" w:sz="4"/>
              <w:left w:val="single" w:color="C9D3D8" w:sz="4"/>
              <w:bottom w:val="single" w:color="C9D3D8" w:sz="4"/>
              <w:right w:val="single" w:color="C9D3D8" w:sz="4"/>
            </w:tcBorders>
            <w:tcMar>
              <w:top w:type="dxa" w:w="80"/>
              <w:left w:type="dxa" w:w="120"/>
              <w:bottom w:type="dxa" w:w="80"/>
              <w:right w:type="dxa" w:w="120"/>
            </w:tcMar>
          </w:tcPr>
          <w:p>
            <w:r>
              <w:rPr>
                <w:b w:val="false"/>
                <w:bCs w:val="false"/>
                <w:sz w:val="20"/>
                <w:szCs w:val="20"/>
              </w:rPr>
              <w:t xml:space="preserve">6 a 10</w:t>
            </w:r>
          </w:p>
        </w:tc>
        <w:tc>
          <w:tcPr>
            <w:tcW w:type="dxa" w:w="1800"/>
            <w:tcBorders>
              <w:top w:val="single" w:color="C9D3D8" w:sz="4"/>
              <w:left w:val="single" w:color="C9D3D8" w:sz="4"/>
              <w:bottom w:val="single" w:color="C9D3D8" w:sz="4"/>
              <w:right w:val="single" w:color="C9D3D8" w:sz="4"/>
            </w:tcBorders>
            <w:tcMar>
              <w:top w:type="dxa" w:w="80"/>
              <w:left w:type="dxa" w:w="120"/>
              <w:bottom w:type="dxa" w:w="80"/>
              <w:right w:type="dxa" w:w="120"/>
            </w:tcMar>
          </w:tcPr>
          <w:p>
            <w:r>
              <w:rPr>
                <w:b w:val="false"/>
                <w:bCs w:val="false"/>
                <w:sz w:val="20"/>
                <w:szCs w:val="20"/>
              </w:rPr>
              <w:t xml:space="preserve">612</w:t>
            </w:r>
          </w:p>
        </w:tc>
        <w:tc>
          <w:tcPr>
            <w:tcW w:type="dxa" w:w="1800"/>
            <w:tcBorders>
              <w:top w:val="single" w:color="C9D3D8" w:sz="4"/>
              <w:left w:val="single" w:color="C9D3D8" w:sz="4"/>
              <w:bottom w:val="single" w:color="C9D3D8" w:sz="4"/>
              <w:right w:val="single" w:color="C9D3D8" w:sz="4"/>
            </w:tcBorders>
            <w:tcMar>
              <w:top w:type="dxa" w:w="80"/>
              <w:left w:type="dxa" w:w="120"/>
              <w:bottom w:type="dxa" w:w="80"/>
              <w:right w:type="dxa" w:w="120"/>
            </w:tcMar>
          </w:tcPr>
          <w:p>
            <w:r>
              <w:rPr>
                <w:b w:val="false"/>
                <w:bCs w:val="false"/>
                <w:sz w:val="20"/>
                <w:szCs w:val="20"/>
              </w:rPr>
              <w:t xml:space="preserve">4:42</w:t>
            </w:r>
          </w:p>
        </w:tc>
      </w:tr>
      <w:tr>
        <w:tc>
          <w:tcPr>
            <w:tcW w:type="dxa" w:w="900"/>
            <w:tcBorders>
              <w:top w:val="single" w:color="C9D3D8" w:sz="4"/>
              <w:left w:val="single" w:color="C9D3D8" w:sz="4"/>
              <w:bottom w:val="single" w:color="C9D3D8" w:sz="4"/>
              <w:right w:val="single" w:color="C9D3D8" w:sz="4"/>
            </w:tcBorders>
            <w:tcMar>
              <w:top w:type="dxa" w:w="80"/>
              <w:left w:type="dxa" w:w="120"/>
              <w:bottom w:type="dxa" w:w="80"/>
              <w:right w:type="dxa" w:w="120"/>
            </w:tcMar>
          </w:tcPr>
          <w:p>
            <w:r>
              <w:rPr>
                <w:b w:val="false"/>
                <w:bCs w:val="false"/>
                <w:sz w:val="20"/>
                <w:szCs w:val="20"/>
              </w:rPr>
              <w:t xml:space="preserve">3</w:t>
            </w:r>
          </w:p>
        </w:tc>
        <w:tc>
          <w:tcPr>
            <w:tcW w:type="dxa" w:w="3060"/>
            <w:tcBorders>
              <w:top w:val="single" w:color="C9D3D8" w:sz="4"/>
              <w:left w:val="single" w:color="C9D3D8" w:sz="4"/>
              <w:bottom w:val="single" w:color="C9D3D8" w:sz="4"/>
              <w:right w:val="single" w:color="C9D3D8" w:sz="4"/>
            </w:tcBorders>
            <w:tcMar>
              <w:top w:type="dxa" w:w="80"/>
              <w:left w:type="dxa" w:w="120"/>
              <w:bottom w:type="dxa" w:w="80"/>
              <w:right w:type="dxa" w:w="120"/>
            </w:tcMar>
          </w:tcPr>
          <w:p>
            <w:r>
              <w:rPr>
                <w:b w:val="false"/>
                <w:bCs w:val="false"/>
                <w:sz w:val="20"/>
                <w:szCs w:val="20"/>
              </w:rPr>
              <w:t xml:space="preserve">Lukas Verdugo</w:t>
            </w:r>
          </w:p>
        </w:tc>
        <w:tc>
          <w:tcPr>
            <w:tcW w:type="dxa" w:w="1800"/>
            <w:tcBorders>
              <w:top w:val="single" w:color="C9D3D8" w:sz="4"/>
              <w:left w:val="single" w:color="C9D3D8" w:sz="4"/>
              <w:bottom w:val="single" w:color="C9D3D8" w:sz="4"/>
              <w:right w:val="single" w:color="C9D3D8" w:sz="4"/>
            </w:tcBorders>
            <w:tcMar>
              <w:top w:type="dxa" w:w="80"/>
              <w:left w:type="dxa" w:w="120"/>
              <w:bottom w:type="dxa" w:w="80"/>
              <w:right w:type="dxa" w:w="120"/>
            </w:tcMar>
          </w:tcPr>
          <w:p>
            <w:r>
              <w:rPr>
                <w:b w:val="false"/>
                <w:bCs w:val="false"/>
                <w:sz w:val="20"/>
                <w:szCs w:val="20"/>
              </w:rPr>
              <w:t xml:space="preserve">11 a 15</w:t>
            </w:r>
          </w:p>
        </w:tc>
        <w:tc>
          <w:tcPr>
            <w:tcW w:type="dxa" w:w="1800"/>
            <w:tcBorders>
              <w:top w:val="single" w:color="C9D3D8" w:sz="4"/>
              <w:left w:val="single" w:color="C9D3D8" w:sz="4"/>
              <w:bottom w:val="single" w:color="C9D3D8" w:sz="4"/>
              <w:right w:val="single" w:color="C9D3D8" w:sz="4"/>
            </w:tcBorders>
            <w:tcMar>
              <w:top w:type="dxa" w:w="80"/>
              <w:left w:type="dxa" w:w="120"/>
              <w:bottom w:type="dxa" w:w="80"/>
              <w:right w:type="dxa" w:w="120"/>
            </w:tcMar>
          </w:tcPr>
          <w:p>
            <w:r>
              <w:rPr>
                <w:b w:val="false"/>
                <w:bCs w:val="false"/>
                <w:sz w:val="20"/>
                <w:szCs w:val="20"/>
              </w:rPr>
              <w:t xml:space="preserve">580</w:t>
            </w:r>
          </w:p>
        </w:tc>
        <w:tc>
          <w:tcPr>
            <w:tcW w:type="dxa" w:w="1800"/>
            <w:tcBorders>
              <w:top w:val="single" w:color="C9D3D8" w:sz="4"/>
              <w:left w:val="single" w:color="C9D3D8" w:sz="4"/>
              <w:bottom w:val="single" w:color="C9D3D8" w:sz="4"/>
              <w:right w:val="single" w:color="C9D3D8" w:sz="4"/>
            </w:tcBorders>
            <w:tcMar>
              <w:top w:type="dxa" w:w="80"/>
              <w:left w:type="dxa" w:w="120"/>
              <w:bottom w:type="dxa" w:w="80"/>
              <w:right w:type="dxa" w:w="120"/>
            </w:tcMar>
          </w:tcPr>
          <w:p>
            <w:r>
              <w:rPr>
                <w:b w:val="false"/>
                <w:bCs w:val="false"/>
                <w:sz w:val="20"/>
                <w:szCs w:val="20"/>
              </w:rPr>
              <w:t xml:space="preserve">4:28</w:t>
            </w:r>
          </w:p>
        </w:tc>
      </w:tr>
    </w:tbl>
    <w:p>
      <w:pPr>
        <w:spacing w:after="120" w:before="160" w:line="300"/>
      </w:pPr>
      <w:r>
        <w:rPr>
          <w:color w:val="5F6B70"/>
          <w:sz w:val="20"/>
          <w:szCs w:val="20"/>
        </w:rPr>
        <w:t xml:space="preserve">Cómo ensayar: cronometren el recorrido completo, con los cambios de expositor incluidos. Lean en voz alta, sin apurar: 130 palabras por minuto es un ritmo de conversación. Si alguien se pasa, se acorta en su parte, no en la del siguiente.</w:t>
      </w:r>
    </w:p>
    <w:p>
      <w:r>
        <w:br w:type="page"/>
      </w:r>
    </w:p>
    <w:p>
      <w:pPr>
        <w:pStyle w:val="Heading1"/>
      </w:pPr>
      <w:r>
        <w:t xml:space="preserve">Parte 1 · Diego Alarcón</w:t>
      </w:r>
    </w:p>
    <w:p>
      <w:pPr>
        <w:spacing w:after="200" w:before="0" w:line="300"/>
      </w:pPr>
      <w:r>
        <w:rPr>
          <w:color w:val="5F6B70"/>
          <w:sz w:val="20"/>
          <w:szCs w:val="20"/>
        </w:rPr>
        <w:t xml:space="preserve">Láminas 1 a 5 · unos 4:37 (601 palabras). Termina pasándole la palabra a Benjamín (última frase de la lámina 5).</w:t>
      </w:r>
    </w:p>
    <w:p>
      <w:pPr>
        <w:pStyle w:val="Heading2"/>
        <w:keepNext/>
        <w:tabs>
          <w:tab w:val="right" w:pos="9360"/>
        </w:tabs>
      </w:pPr>
      <w:r>
        <w:t xml:space="preserve">1 · ¿Cómo se controla una estrategia antes de operar?</w:t>
      </w:r>
      <w:r>
        <w:rPr>
          <w:b w:val="false"/>
          <w:bCs w:val="false"/>
          <w:color w:val="5F6B70"/>
        </w:rPr>
        <w:t xml:space="preserve">	0:30</w:t>
      </w:r>
    </w:p>
    <w:p>
      <w:pPr>
        <w:spacing w:after="240" w:line="336"/>
      </w:pPr>
      <w:r>
        <w:rPr>
          <w:sz w:val="24"/>
          <w:szCs w:val="24"/>
        </w:rPr>
        <w:t xml:space="preserve">Buenos días. En la presentación anterior formulamos la estrategia de Lumine Motors; hoy mostramos cómo se controla. Nuestro caso tiene una particularidad: Lumine todavía no opera. No vamos a presentar ventas, ahorros ni rentabilidad que aún no existen. Vamos a mostrar cómo una estrategia se convierte en objetivos coordinados, indicadores y decisiones. La pregunta que ordena la exposición es simple: ¿cómo se controla una estrategia antes de operar?</w:t>
      </w:r>
    </w:p>
    <w:p>
      <w:pPr>
        <w:pStyle w:val="Heading2"/>
        <w:keepNext/>
        <w:tabs>
          <w:tab w:val="right" w:pos="9360"/>
        </w:tabs>
      </w:pPr>
      <w:r>
        <w:t xml:space="preserve">2 · Un kit que se suma, no reemplaza</w:t>
      </w:r>
      <w:r>
        <w:rPr>
          <w:b w:val="false"/>
          <w:bCs w:val="false"/>
          <w:color w:val="5F6B70"/>
        </w:rPr>
        <w:t xml:space="preserve">	0:55</w:t>
      </w:r>
    </w:p>
    <w:p>
      <w:pPr>
        <w:spacing w:after="240" w:line="336"/>
      </w:pPr>
      <w:r>
        <w:rPr>
          <w:sz w:val="24"/>
          <w:szCs w:val="24"/>
        </w:rPr>
        <w:t xml:space="preserve">Partamos por el negocio. Lumine instala un kit de hibridación aditiva en autos a combustión de tracción delantera. El motor original queda intacto. El kit suma una unidad de control, que decide cuándo asistir y corta ante fallas; un banco de baterías, que guarda la energía del frenado; y un motor eléctrico en el eje trasero. No se enchufa, y el freno, el ABS y el control de estabilidad del auto siguen mandando. El segmento son autos de alto kilometraje, con prioridad en colectiveros y conductores de aplicación, sin excluir a otros particulares. La promesa es hasta veinte por ciento menos bencina en ciudad: una estimación de ingeniería, todavía no medida en autos chilenos.</w:t>
      </w:r>
    </w:p>
    <w:p>
      <w:pPr>
        <w:pStyle w:val="Heading2"/>
        <w:keepNext/>
        <w:tabs>
          <w:tab w:val="right" w:pos="9360"/>
        </w:tabs>
      </w:pPr>
      <w:r>
        <w:t xml:space="preserve">3 · Nuestros valores son reglas de control</w:t>
      </w:r>
      <w:r>
        <w:rPr>
          <w:b w:val="false"/>
          <w:bCs w:val="false"/>
          <w:color w:val="5F6B70"/>
        </w:rPr>
        <w:t xml:space="preserve">	1:00</w:t>
      </w:r>
    </w:p>
    <w:p>
      <w:pPr>
        <w:spacing w:after="240" w:line="336"/>
      </w:pPr>
      <w:r>
        <w:rPr>
          <w:sz w:val="24"/>
          <w:szCs w:val="24"/>
        </w:rPr>
        <w:t xml:space="preserve">Para controlar una empresa primero hay que saber para qué existe. Nuestra misión es reducir el combustible que un auto a combustión necesita por kilómetro, instalando un sistema de hibridación en el auto que el cliente ya tiene, sin reemplazarlo y sin intervenir su motor. La visión es ser hacia 2031 el taller de referencia en hibridación de vehículos en uso en Chile, con un procedimiento reconocido por la autoridad, las plantas de revisión técnica y las aseguradoras. Los valores no son decorativos: cada uno se vuelve una regla de control. Verificabilidad antes que afirmación: un dato sin medir no vale cero. Formalidad como condición de operación: hay compuertas que no se saltan. Trazabilidad del conocimiento: cada calibración queda registrada. Y responsabilidad sobre el ciclo completo: el control sigue después de la entrega.</w:t>
      </w:r>
    </w:p>
    <w:p>
      <w:pPr>
        <w:pStyle w:val="Heading2"/>
        <w:keepNext/>
        <w:tabs>
          <w:tab w:val="right" w:pos="9360"/>
        </w:tabs>
      </w:pPr>
      <w:r>
        <w:t xml:space="preserve">4 · El precio decide si compra; la confianza, si se atreve</w:t>
      </w:r>
      <w:r>
        <w:rPr>
          <w:b w:val="false"/>
          <w:bCs w:val="false"/>
          <w:color w:val="5F6B70"/>
        </w:rPr>
        <w:t xml:space="preserve">	1:00</w:t>
      </w:r>
    </w:p>
    <w:p>
      <w:pPr>
        <w:spacing w:after="240" w:line="336"/>
      </w:pPr>
      <w:r>
        <w:rPr>
          <w:sz w:val="24"/>
          <w:szCs w:val="24"/>
        </w:rPr>
        <w:t xml:space="preserve">¿Qué compra el cliente? Su necesidad central es dejar de pagar cada vez más por usar el auto. En nuestras entrevistas apareció algo que cambia el enfoque: el precio decide si compra, pero la confianza decide si se atreve. Por el lado del precio, la respuesta es vender una cuota mensual que se compare con el ahorro mensual, no un precio de lista. Por el lado de la confianza, el cliente pide certificación, garantía escrita, un caso exitoso y saber quién responde ante una falla. Fueron solo tres entrevistas, así que el orden es tentativo. El modelo de negocio tiene un taller propio y, como segunda línea potencial, licenciar calibraciones y procedimientos a otros talleres, algo que todavía debe pasar pruebas técnicas, regulatorias y económicas.</w:t>
      </w:r>
    </w:p>
    <w:p>
      <w:pPr>
        <w:pStyle w:val="Heading2"/>
        <w:keepNext/>
        <w:tabs>
          <w:tab w:val="right" w:pos="9360"/>
        </w:tabs>
      </w:pPr>
      <w:r>
        <w:t xml:space="preserve">5 · Competimos contra no hacer nada, y la vía legal decide si operamos</w:t>
      </w:r>
      <w:r>
        <w:rPr>
          <w:b w:val="false"/>
          <w:bCs w:val="false"/>
          <w:color w:val="5F6B70"/>
        </w:rPr>
        <w:t xml:space="preserve">	1:15</w:t>
      </w:r>
    </w:p>
    <w:p>
      <w:pPr>
        <w:spacing w:after="240" w:line="336"/>
      </w:pPr>
      <w:r>
        <w:rPr>
          <w:sz w:val="24"/>
          <w:szCs w:val="24"/>
        </w:rPr>
        <w:t xml:space="preserve">El entorno agrega dos condiciones. La primera: el principal competidor no es otro taller, es no hacer nada. En nuestro análisis de las cinco fuerzas, los sustitutos y los clientes suman cincuenta y cinco por ciento de la ponderación, y operan por la misma causa: el cliente puede seguir con su auto a costo cero. Por eso la cuota mensual ataca la causa, que es la falta de liquidez. La segunda condición es regulatoria. La Ley 21.793 está publicada, pero sin reglamento, y es el principal riesgo externo. Construimos cuatro escenarios: solo una vía legal amplia protege al primero que homologa; una vía acotada limita el parque; una vía alternativa obliga a otro trámite; y sin vía legal, el negocio no opera. Hoy estamos en la rama de los escenarios tres o cuatro. Esta condición no depende de nosotros; por eso en el CMI será una compuerta, no una meta que se promedia. Benjamín sigue con lo que Lumine sabe hacer.</w:t>
      </w:r>
    </w:p>
    <w:p>
      <w:r>
        <w:br w:type="page"/>
      </w:r>
    </w:p>
    <w:p>
      <w:pPr>
        <w:pStyle w:val="Heading1"/>
      </w:pPr>
      <w:r>
        <w:t xml:space="preserve">Parte 2 · Benjamín Torres</w:t>
      </w:r>
    </w:p>
    <w:p>
      <w:pPr>
        <w:spacing w:after="200" w:before="0" w:line="300"/>
      </w:pPr>
      <w:r>
        <w:rPr>
          <w:color w:val="5F6B70"/>
          <w:sz w:val="20"/>
          <w:szCs w:val="20"/>
        </w:rPr>
        <w:t xml:space="preserve">Láminas 6 a 10 · unos 4:42 (612 palabras). Termina pasándole la palabra a Lukas (última frase de la lámina 10).</w:t>
      </w:r>
    </w:p>
    <w:p>
      <w:pPr>
        <w:pStyle w:val="Heading2"/>
        <w:keepNext/>
        <w:tabs>
          <w:tab w:val="right" w:pos="9360"/>
        </w:tabs>
      </w:pPr>
      <w:r>
        <w:t xml:space="preserve">6 · Fortaleza de diseño, no de ejecución: el FODA dice qué demostrar</w:t>
      </w:r>
      <w:r>
        <w:rPr>
          <w:b w:val="false"/>
          <w:bCs w:val="false"/>
          <w:color w:val="5F6B70"/>
        </w:rPr>
        <w:t xml:space="preserve">	1:00</w:t>
      </w:r>
    </w:p>
    <w:p>
      <w:pPr>
        <w:spacing w:after="240" w:line="336"/>
      </w:pPr>
      <w:r>
        <w:rPr>
          <w:sz w:val="24"/>
          <w:szCs w:val="24"/>
        </w:rPr>
        <w:t xml:space="preserve">Gracias, Diego. En lo interno, Lumine tiene una fortaleza de diseño, no de ejecución. Su única fuente de exclusividad es la biblioteca de calibraciones: un recurso que un competidor no puede comprar, pero que hoy está vacía y solo sería sostenible si se protege como secreto empresarial. Es una ventaja potencial, no efectiva. La formación de técnicos sí tiene una prueba concreta: Lumine Habilita, cuya demostración pueden abrir con este código. El FODA cruzado dice qué hay que demostrar: homologar primero los modelos de mayor densidad en el segmento; plantear al Ministerio de Transportes el precedente del gas licuado mientras elabora el reglamento; cerrar convenios con aseguradoras, plantas de revisión técnica y una financiera antes del primer kit; y cubrir la exposición al dólar de un kit importado.</w:t>
      </w:r>
    </w:p>
    <w:p>
      <w:pPr>
        <w:pStyle w:val="Heading2"/>
        <w:keepNext/>
        <w:tabs>
          <w:tab w:val="right" w:pos="9360"/>
        </w:tabs>
      </w:pPr>
      <w:r>
        <w:t xml:space="preserve">7 · Diferenciación enfocada: competir con evidencia, no con precio</w:t>
      </w:r>
      <w:r>
        <w:rPr>
          <w:b w:val="false"/>
          <w:bCs w:val="false"/>
          <w:color w:val="5F6B70"/>
        </w:rPr>
        <w:t xml:space="preserve">	0:45</w:t>
      </w:r>
    </w:p>
    <w:p>
      <w:pPr>
        <w:spacing w:after="240" w:line="336"/>
      </w:pPr>
      <w:r>
        <w:rPr>
          <w:sz w:val="24"/>
          <w:szCs w:val="24"/>
        </w:rPr>
        <w:t xml:space="preserve">Con ese diagnóstico elegimos competir con diferenciación enfocada: un servicio certificado que reduce el combustible del auto que el cliente ya tiene, para conductores de alto kilometraje, sostenido por un conocimiento de calibración que un competidor no puede comprar. Elegir también es renunciar: no competimos por precio contra el gas, no atendemos a quien maneja poco y no ofrecemos inmediatez. La estrategia se ordena en tres ejes: habilitación formal, acceso comercial, y conocimiento y escala. Cada eje ataca un problema distinto: la vía legal y los terceros, la capacidad de pago del cliente, y el ahorro todavía no medido.</w:t>
      </w:r>
    </w:p>
    <w:p>
      <w:pPr>
        <w:pStyle w:val="Heading2"/>
        <w:keepNext/>
        <w:tabs>
          <w:tab w:val="right" w:pos="9360"/>
        </w:tabs>
      </w:pPr>
      <w:r>
        <w:t xml:space="preserve">8 · Los ocho objetivos de la estrategia llegan al CMI</w:t>
      </w:r>
      <w:r>
        <w:rPr>
          <w:b w:val="false"/>
          <w:bCs w:val="false"/>
          <w:color w:val="5F6B70"/>
        </w:rPr>
        <w:t xml:space="preserve">	0:45</w:t>
      </w:r>
    </w:p>
    <w:p>
      <w:pPr>
        <w:spacing w:after="240" w:line="336"/>
      </w:pPr>
      <w:r>
        <w:rPr>
          <w:sz w:val="24"/>
          <w:szCs w:val="24"/>
        </w:rPr>
        <w:t xml:space="preserve">Esos tres ejes tenían ocho objetivos, y los ocho siguen en el CMI. Habilitación formal queda en la vía legal, la aprobación de cada par modelo-kit y las alianzas con aseguradoras y plantas. Acceso comercial, en la captación del segmento y en el financiamiento, que ahora es parte de esas mismas alianzas. Conocimiento y escala, en la biblioteca, la medición del ahorro y la expansión. Lo nuevo responde al profesor: la promesa técnica cumplida, la confianza medida desde el cliente y la rentabilidad sobre el costo de capital, que recuperamos del primer CMI. La brecha cambiaria se cubre con una iniciativa.</w:t>
      </w:r>
    </w:p>
    <w:p>
      <w:pPr>
        <w:pStyle w:val="Heading2"/>
        <w:keepNext/>
        <w:tabs>
          <w:tab w:val="right" w:pos="9360"/>
        </w:tabs>
      </w:pPr>
      <w:r>
        <w:t xml:space="preserve">9 · La perspectiva clientes mide lo que el cliente compra</w:t>
      </w:r>
      <w:r>
        <w:rPr>
          <w:b w:val="false"/>
          <w:bCs w:val="false"/>
          <w:color w:val="5F6B70"/>
        </w:rPr>
        <w:t xml:space="preserve">	1:00</w:t>
      </w:r>
    </w:p>
    <w:p>
      <w:pPr>
        <w:spacing w:after="240" w:line="336"/>
      </w:pPr>
      <w:r>
        <w:rPr>
          <w:sz w:val="24"/>
          <w:szCs w:val="24"/>
        </w:rPr>
        <w:t xml:space="preserve">Esta es la corrección que pidió el profesor: la perspectiva clientes ya no mide canales ni convenios, mide lo que el cliente compra. Cada objetivo nace de un atributo de la propuesta de valor. Que el kit funcione sin tocar el motor se mide con servicios conformes sobre entregas verificadas. Saber cuánto ahorra se mide con reportes comparativos de consumo, antes y después, entregados sobre los exigibles. Atreverse a comprar depende de la confianza, y la confianza se mide desde el cliente, con su opinión después del servicio y sus reclamos, no contando convenios firmados. Y el resultado final es captar al segmento priorizado, medido como conversión de consultas en instalaciones. Las alianzas con aseguradoras y financieras no desaparecen: pasan a procesos, como el medio que hace posible esa confianza y esa compra.</w:t>
      </w:r>
    </w:p>
    <w:p>
      <w:pPr>
        <w:pStyle w:val="Heading2"/>
        <w:keepNext/>
        <w:tabs>
          <w:tab w:val="right" w:pos="9360"/>
        </w:tabs>
      </w:pPr>
      <w:r>
        <w:t xml:space="preserve">10 · Cada objetivo empuja a otro: tres rutas lo prueban</w:t>
      </w:r>
      <w:r>
        <w:rPr>
          <w:b w:val="false"/>
          <w:bCs w:val="false"/>
          <w:color w:val="5F6B70"/>
        </w:rPr>
        <w:t xml:space="preserve">	1:10</w:t>
      </w:r>
    </w:p>
    <w:p>
      <w:pPr>
        <w:spacing w:after="240" w:line="336"/>
      </w:pPr>
      <w:r>
        <w:rPr>
          <w:sz w:val="24"/>
          <w:szCs w:val="24"/>
        </w:rPr>
        <w:t xml:space="preserve">Así se coordinan los diecisiete objetivos. El mapa se lee de abajo hacia arriba, y el color de cada objetivo dice de qué eje estratégico viene. Lo importante son las flechas, y tienen tres formas. Continua: una condición habilitante, sin la cual el objetivo siguiente no es posible. Blanca y gruesa: una condición externa, que no depende de nosotros. Punteada: una hipótesis que habrá que comprobar con datos. Dejamos veinte relaciones, no treinta: eliminamos las que repetían un camino ya dibujado y las que no cambiaban ninguna decisión. Más flechas no significan más estrategia. Con estas veinte se forman tres rutas que podemos defender: la de habilitación, que lleva de las capacidades a la promesa técnica; la de evidencia, que lleva de la medición a la confianza y la compra; y la de valor económico, que lleva del cliente y la operación al retorno sobre el capital. Lukas recorre cada una.</w:t>
      </w:r>
    </w:p>
    <w:p>
      <w:r>
        <w:br w:type="page"/>
      </w:r>
    </w:p>
    <w:p>
      <w:pPr>
        <w:pStyle w:val="Heading1"/>
      </w:pPr>
      <w:r>
        <w:t xml:space="preserve">Parte 3 · Lukas Verdugo</w:t>
      </w:r>
    </w:p>
    <w:p>
      <w:pPr>
        <w:spacing w:after="200" w:before="0" w:line="300"/>
      </w:pPr>
      <w:r>
        <w:rPr>
          <w:color w:val="5F6B70"/>
          <w:sz w:val="20"/>
          <w:szCs w:val="20"/>
        </w:rPr>
        <w:t xml:space="preserve">Láminas 11 a 15 · unos 4:28 (580 palabras). Cierra la exposición y abre las preguntas.</w:t>
      </w:r>
    </w:p>
    <w:p>
      <w:pPr>
        <w:pStyle w:val="Heading2"/>
        <w:keepNext/>
        <w:tabs>
          <w:tab w:val="right" w:pos="9360"/>
        </w:tabs>
      </w:pPr>
      <w:r>
        <w:t xml:space="preserve">11 · Sin vía legal ni par aprobado no se instala</w:t>
      </w:r>
      <w:r>
        <w:rPr>
          <w:b w:val="false"/>
          <w:bCs w:val="false"/>
          <w:color w:val="5F6B70"/>
        </w:rPr>
        <w:t xml:space="preserve">	0:50</w:t>
      </w:r>
    </w:p>
    <w:p>
      <w:pPr>
        <w:spacing w:after="240" w:line="336"/>
      </w:pPr>
      <w:r>
        <w:rPr>
          <w:sz w:val="24"/>
          <w:szCs w:val="24"/>
        </w:rPr>
        <w:t xml:space="preserve">Gracias, Benjamín. La primera ruta es la de habilitación. La biblioteca de calibraciones respalda el expediente de cada par modelo-kit, pero ese par solo se puede aprobar si existe una vía legal, y solo un par aprobado se puede instalar. Los técnicos habilitados sostienen una instalación segura, y el control final verifica la promesa técnica sobre el auto. Aquí casi todas las flechas son compuertas: si una está cerrada, no corresponde vender ni instalar ese modelo, aunque todo lo demás cumpla. La misma condición legal alcanza a la réplica en otros talleres. Las iniciativas de esta ruta salen del FODA: el precedente del gas licuado y homologar primero los modelos más densos.</w:t>
      </w:r>
    </w:p>
    <w:p>
      <w:pPr>
        <w:pStyle w:val="Heading2"/>
        <w:keepNext/>
        <w:tabs>
          <w:tab w:val="right" w:pos="9360"/>
        </w:tabs>
      </w:pPr>
      <w:r>
        <w:t xml:space="preserve">12 · El ahorro se acredita, no se promete</w:t>
      </w:r>
      <w:r>
        <w:rPr>
          <w:b w:val="false"/>
          <w:bCs w:val="false"/>
          <w:color w:val="5F6B70"/>
        </w:rPr>
        <w:t xml:space="preserve">	0:50</w:t>
      </w:r>
    </w:p>
    <w:p>
      <w:pPr>
        <w:spacing w:after="240" w:line="336"/>
      </w:pPr>
      <w:r>
        <w:rPr>
          <w:sz w:val="24"/>
          <w:szCs w:val="24"/>
        </w:rPr>
        <w:t xml:space="preserve">La segunda ruta es la de evidencia, el corazón de la propuesta de valor. Un protocolo de medición comparable permite cerrar cada expediente de medición y posventa, y ese expediente permite entregar al cliente un reporte de su ahorro realmente observado. Ojo: contar reportes entregados no mide litros ahorrados; el ahorro tiene su propia medición, con una línea base del mismo auto. El reporte y la promesa cumplida podrían construir confianza, y la confianza podría convertir consultas en clientes. Las alianzas apoyan ambos pasos: el respaldo de aseguradoras y plantas suma confianza, y la cuota destraba la compra. Estas flechas son hipótesis que comprobaremos con datos.</w:t>
      </w:r>
    </w:p>
    <w:p>
      <w:pPr>
        <w:pStyle w:val="Heading2"/>
        <w:keepNext/>
        <w:tabs>
          <w:tab w:val="right" w:pos="9360"/>
        </w:tabs>
      </w:pPr>
      <w:r>
        <w:t xml:space="preserve">13 · La rentabilidad sobre el capital es la meta final; hoy no tiene cifra</w:t>
      </w:r>
      <w:r>
        <w:rPr>
          <w:b w:val="false"/>
          <w:bCs w:val="false"/>
          <w:color w:val="5F6B70"/>
        </w:rPr>
        <w:t xml:space="preserve">	1:05</w:t>
      </w:r>
    </w:p>
    <w:p>
      <w:pPr>
        <w:spacing w:after="240" w:line="336"/>
      </w:pPr>
      <w:r>
        <w:rPr>
          <w:sz w:val="24"/>
          <w:szCs w:val="24"/>
        </w:rPr>
        <w:t xml:space="preserve">La tercera ruta lleva al objetivo que destacó el profesor: obtener rentabilidad por sobre el costo de capital. Exige que el negocio rinda más de lo que piden quienes aportan el capital, no solo que tenga utilidad contable. Dos caminos lo alimentan: el margen por servicio, que depende de captar clientes y de una instalación sin retrabajo; y la expansión con licencias, que solo crea valor si su evaluación incremental es positiva. Lo medimos en dos etapas. Antes de invertir, con el Plan Financiero: VAN mayor que cero y TIR mayor que la tasa exigida. Ya operando, cada período: el retorno sobre el capital empleado frente al costo de capital. Un VAN positivo autoriza invertir, pero no demuestra que la operación rinda; por eso son dos etapas. Hoy no tiene cifra, y no la vamos a inventar: faltan los flujos, la inversión y una tasa sustentada.</w:t>
      </w:r>
    </w:p>
    <w:p>
      <w:pPr>
        <w:pStyle w:val="Heading2"/>
        <w:keepNext/>
        <w:tabs>
          <w:tab w:val="right" w:pos="9360"/>
        </w:tabs>
      </w:pPr>
      <w:r>
        <w:t xml:space="preserve">14 · Un indicador vale por su ficha; sin medir no es no cumplir</w:t>
      </w:r>
      <w:r>
        <w:rPr>
          <w:b w:val="false"/>
          <w:bCs w:val="false"/>
          <w:color w:val="5F6B70"/>
        </w:rPr>
        <w:t xml:space="preserve">	0:50</w:t>
      </w:r>
    </w:p>
    <w:p>
      <w:pPr>
        <w:spacing w:after="240" w:line="336"/>
      </w:pPr>
      <w:r>
        <w:rPr>
          <w:sz w:val="24"/>
          <w:szCs w:val="24"/>
        </w:rPr>
        <w:t xml:space="preserve">¿Cómo sabremos si las rutas se cumplen? Cada indicador tiene una ficha. Tomemos el ahorro acreditado: la fórmula es reportes completos sobre reportes exigibles; la fuente, el expediente de medición y el acta de entrega; la meta propuesta, cien por ciento; el responsable, Comercial y Postventa; y si hay brecha, se completa la prueba o se transparenta por qué no se pudo. El resultado se lee con cinco estados: cumple, alerta, no cumple, meta pendiente y sin medir. Sin medir no es no cumplir: hoy todo el tablero de Lumine está sin medir, y pintarlo de rojo o de verde contradiría nuestro primer valor.</w:t>
      </w:r>
    </w:p>
    <w:p>
      <w:pPr>
        <w:pStyle w:val="Heading2"/>
        <w:keepNext/>
        <w:tabs>
          <w:tab w:val="right" w:pos="9360"/>
        </w:tabs>
      </w:pPr>
      <w:r>
        <w:t xml:space="preserve">15 · El CMI decide cuándo avanzar, corregir o detenerse</w:t>
      </w:r>
      <w:r>
        <w:rPr>
          <w:b w:val="false"/>
          <w:bCs w:val="false"/>
          <w:color w:val="5F6B70"/>
        </w:rPr>
        <w:t xml:space="preserve">	0:50</w:t>
      </w:r>
    </w:p>
    <w:p>
      <w:pPr>
        <w:spacing w:after="240" w:line="336"/>
      </w:pPr>
      <w:r>
        <w:rPr>
          <w:sz w:val="24"/>
          <w:szCs w:val="24"/>
        </w:rPr>
        <w:t xml:space="preserve">El control no termina en un color. El ciclo es observar con evidencia, comparar con una meta aprobada, explicar si la brecha es externa, del proceso o de la medición, decidir y volver a medir. Si una orden no tiene verificación, no se entrega. Si un cliente recibe una estimación sin respaldo, se corrige la información. Si no hay vía legal, no se sube la meta comercial: se detiene lo que depende de ella. En síntesis, el CMI le dice a Lumine cuándo avanzar, cuándo corregir y cuándo detenerse, en el camino hacia su visión de 2031. Lo que sigue es definir qué iniciativas y qué presupuesto necesita cada hito. Muchas gracias.</w:t>
      </w:r>
    </w:p>
    <w:p>
      <w:r>
        <w:br w:type="page"/>
      </w:r>
    </w:p>
    <w:p>
      <w:pPr>
        <w:pStyle w:val="Heading1"/>
      </w:pPr>
      <w:r>
        <w:t xml:space="preserve">Anexo · solo si preguntan</w:t>
      </w:r>
    </w:p>
    <w:p>
      <w:pPr>
        <w:spacing w:after="200" w:before="0" w:line="300"/>
      </w:pPr>
      <w:r>
        <w:rPr>
          <w:sz w:val="22"/>
          <w:szCs w:val="22"/>
        </w:rPr>
        <w:t xml:space="preserve">El anexo no se expone. En el PowerPoint, la lámina 16 es un índice: un clic en la pregunta lleva a la lámina de respuesta, y cada lámina del anexo tiene un enlace de vuelta al índice.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960"/>
        <w:gridCol w:w="4500"/>
      </w:tblGrid>
      <w:tr>
        <w:trPr>
          <w:tblHeader/>
        </w:trPr>
        <w:tc>
          <w:tcPr>
            <w:tcW w:type="dxa" w:w="900"/>
            <w:tcBorders>
              <w:top w:val="single" w:color="C9D3D8" w:sz="4"/>
              <w:left w:val="single" w:color="C9D3D8" w:sz="4"/>
              <w:bottom w:val="single" w:color="C9D3D8" w:sz="4"/>
              <w:right w:val="single" w:color="C9D3D8" w:sz="4"/>
            </w:tcBorders>
            <w:shd w:fill="EAF5FB" w:color="auto" w:val="clear"/>
            <w:tcMar>
              <w:top w:type="dxa" w:w="80"/>
              <w:left w:type="dxa" w:w="120"/>
              <w:bottom w:type="dxa" w:w="80"/>
              <w:right w:type="dxa" w:w="120"/>
            </w:tcMar>
          </w:tcPr>
          <w:p>
            <w:r>
              <w:rPr>
                <w:b/>
                <w:bCs/>
                <w:color w:val="0A6F9E"/>
                <w:sz w:val="20"/>
                <w:szCs w:val="20"/>
              </w:rPr>
              <w:t xml:space="preserve">Tema</w:t>
            </w:r>
          </w:p>
        </w:tc>
        <w:tc>
          <w:tcPr>
            <w:tcW w:type="dxa" w:w="3960"/>
            <w:tcBorders>
              <w:top w:val="single" w:color="C9D3D8" w:sz="4"/>
              <w:left w:val="single" w:color="C9D3D8" w:sz="4"/>
              <w:bottom w:val="single" w:color="C9D3D8" w:sz="4"/>
              <w:right w:val="single" w:color="C9D3D8" w:sz="4"/>
            </w:tcBorders>
            <w:shd w:fill="EAF5FB" w:color="auto" w:val="clear"/>
            <w:tcMar>
              <w:top w:type="dxa" w:w="80"/>
              <w:left w:type="dxa" w:w="120"/>
              <w:bottom w:type="dxa" w:w="80"/>
              <w:right w:type="dxa" w:w="120"/>
            </w:tcMar>
          </w:tcPr>
          <w:p>
            <w:r>
              <w:rPr>
                <w:b/>
                <w:bCs/>
                <w:color w:val="0A6F9E"/>
                <w:sz w:val="20"/>
                <w:szCs w:val="20"/>
              </w:rPr>
              <w:t xml:space="preserve">Pregunta</w:t>
            </w:r>
          </w:p>
        </w:tc>
        <w:tc>
          <w:tcPr>
            <w:tcW w:type="dxa" w:w="4500"/>
            <w:tcBorders>
              <w:top w:val="single" w:color="C9D3D8" w:sz="4"/>
              <w:left w:val="single" w:color="C9D3D8" w:sz="4"/>
              <w:bottom w:val="single" w:color="C9D3D8" w:sz="4"/>
              <w:right w:val="single" w:color="C9D3D8" w:sz="4"/>
            </w:tcBorders>
            <w:shd w:fill="EAF5FB" w:color="auto" w:val="clear"/>
            <w:tcMar>
              <w:top w:type="dxa" w:w="80"/>
              <w:left w:type="dxa" w:w="120"/>
              <w:bottom w:type="dxa" w:w="80"/>
              <w:right w:type="dxa" w:w="120"/>
            </w:tcMar>
          </w:tcPr>
          <w:p>
            <w:r>
              <w:rPr>
                <w:b/>
                <w:bCs/>
                <w:color w:val="0A6F9E"/>
                <w:sz w:val="20"/>
                <w:szCs w:val="20"/>
              </w:rPr>
              <w:t xml:space="preserve">Qué responder</w:t>
            </w:r>
          </w:p>
        </w:tc>
      </w:tr>
      <w:tr>
        <w:tc>
          <w:tcPr>
            <w:tcW w:type="dxa" w:w="900"/>
            <w:tcBorders>
              <w:top w:val="single" w:color="C9D3D8" w:sz="4"/>
              <w:left w:val="single" w:color="C9D3D8" w:sz="4"/>
              <w:bottom w:val="single" w:color="C9D3D8" w:sz="4"/>
              <w:right w:val="single" w:color="C9D3D8" w:sz="4"/>
            </w:tcBorders>
            <w:tcMar>
              <w:top w:type="dxa" w:w="80"/>
              <w:left w:type="dxa" w:w="120"/>
              <w:bottom w:type="dxa" w:w="80"/>
              <w:right w:type="dxa" w:w="120"/>
            </w:tcMar>
          </w:tcPr>
          <w:p>
            <w:r>
              <w:rPr>
                <w:b w:val="false"/>
                <w:bCs w:val="false"/>
                <w:sz w:val="20"/>
                <w:szCs w:val="20"/>
              </w:rPr>
              <w:t xml:space="preserve">A1</w:t>
            </w:r>
          </w:p>
        </w:tc>
        <w:tc>
          <w:tcPr>
            <w:tcW w:type="dxa" w:w="3960"/>
            <w:tcBorders>
              <w:top w:val="single" w:color="C9D3D8" w:sz="4"/>
              <w:left w:val="single" w:color="C9D3D8" w:sz="4"/>
              <w:bottom w:val="single" w:color="C9D3D8" w:sz="4"/>
              <w:right w:val="single" w:color="C9D3D8" w:sz="4"/>
            </w:tcBorders>
            <w:tcMar>
              <w:top w:type="dxa" w:w="80"/>
              <w:left w:type="dxa" w:w="120"/>
              <w:bottom w:type="dxa" w:w="80"/>
              <w:right w:type="dxa" w:w="120"/>
            </w:tcMar>
          </w:tcPr>
          <w:p>
            <w:r>
              <w:rPr>
                <w:b w:val="false"/>
                <w:bCs w:val="false"/>
                <w:sz w:val="20"/>
                <w:szCs w:val="20"/>
              </w:rPr>
              <w:t xml:space="preserve">¿Por qué F1 se mide en dos etapas y no solo con el VAN?</w:t>
            </w:r>
          </w:p>
        </w:tc>
        <w:tc>
          <w:tcPr>
            <w:tcW w:type="dxa" w:w="4500"/>
            <w:tcBorders>
              <w:top w:val="single" w:color="C9D3D8" w:sz="4"/>
              <w:left w:val="single" w:color="C9D3D8" w:sz="4"/>
              <w:bottom w:val="single" w:color="C9D3D8" w:sz="4"/>
              <w:right w:val="single" w:color="C9D3D8" w:sz="4"/>
            </w:tcBorders>
            <w:tcMar>
              <w:top w:type="dxa" w:w="80"/>
              <w:left w:type="dxa" w:w="120"/>
              <w:bottom w:type="dxa" w:w="80"/>
              <w:right w:type="dxa" w:w="120"/>
            </w:tcMar>
          </w:tcPr>
          <w:p>
            <w:r>
              <w:rPr>
                <w:b w:val="false"/>
                <w:bCs w:val="false"/>
                <w:sz w:val="20"/>
                <w:szCs w:val="20"/>
              </w:rPr>
              <w:t xml:space="preserve">El VAN y la TIR evalúan la decisión de invertir con flujos proyectados; el retorno sobre el capital empleado frente a su costo controla la operación período a período. Faltan flujos, inversión y una tasa sustentada.</w:t>
            </w:r>
          </w:p>
        </w:tc>
      </w:tr>
      <w:tr>
        <w:tc>
          <w:tcPr>
            <w:tcW w:type="dxa" w:w="900"/>
            <w:tcBorders>
              <w:top w:val="single" w:color="C9D3D8" w:sz="4"/>
              <w:left w:val="single" w:color="C9D3D8" w:sz="4"/>
              <w:bottom w:val="single" w:color="C9D3D8" w:sz="4"/>
              <w:right w:val="single" w:color="C9D3D8" w:sz="4"/>
            </w:tcBorders>
            <w:tcMar>
              <w:top w:type="dxa" w:w="80"/>
              <w:left w:type="dxa" w:w="120"/>
              <w:bottom w:type="dxa" w:w="80"/>
              <w:right w:type="dxa" w:w="120"/>
            </w:tcMar>
          </w:tcPr>
          <w:p>
            <w:r>
              <w:rPr>
                <w:b w:val="false"/>
                <w:bCs w:val="false"/>
                <w:sz w:val="20"/>
                <w:szCs w:val="20"/>
              </w:rPr>
              <w:t xml:space="preserve">A2</w:t>
            </w:r>
          </w:p>
        </w:tc>
        <w:tc>
          <w:tcPr>
            <w:tcW w:type="dxa" w:w="3960"/>
            <w:tcBorders>
              <w:top w:val="single" w:color="C9D3D8" w:sz="4"/>
              <w:left w:val="single" w:color="C9D3D8" w:sz="4"/>
              <w:bottom w:val="single" w:color="C9D3D8" w:sz="4"/>
              <w:right w:val="single" w:color="C9D3D8" w:sz="4"/>
            </w:tcBorders>
            <w:tcMar>
              <w:top w:type="dxa" w:w="80"/>
              <w:left w:type="dxa" w:w="120"/>
              <w:bottom w:type="dxa" w:w="80"/>
              <w:right w:type="dxa" w:w="120"/>
            </w:tcMar>
          </w:tcPr>
          <w:p>
            <w:r>
              <w:rPr>
                <w:b w:val="false"/>
                <w:bCs w:val="false"/>
                <w:sz w:val="20"/>
                <w:szCs w:val="20"/>
              </w:rPr>
              <w:t xml:space="preserve">El CMI completo: objetivo, indicador, meta, responsable e iniciativa (aprendizaje y crecimiento, procesos internos, clientes, financiera)</w:t>
            </w:r>
          </w:p>
        </w:tc>
        <w:tc>
          <w:tcPr>
            <w:tcW w:type="dxa" w:w="4500"/>
            <w:tcBorders>
              <w:top w:val="single" w:color="C9D3D8" w:sz="4"/>
              <w:left w:val="single" w:color="C9D3D8" w:sz="4"/>
              <w:bottom w:val="single" w:color="C9D3D8" w:sz="4"/>
              <w:right w:val="single" w:color="C9D3D8" w:sz="4"/>
            </w:tcBorders>
            <w:tcMar>
              <w:top w:type="dxa" w:w="80"/>
              <w:left w:type="dxa" w:w="120"/>
              <w:bottom w:type="dxa" w:w="80"/>
              <w:right w:type="dxa" w:w="120"/>
            </w:tcMar>
          </w:tcPr>
          <w:p>
            <w:r>
              <w:rPr>
                <w:b w:val="false"/>
                <w:bCs w:val="false"/>
                <w:sz w:val="20"/>
                <w:szCs w:val="20"/>
              </w:rPr>
              <w:t xml:space="preserve">Responsables según la estructura de la Fase 3. Metas propuestas por el equipo.</w:t>
            </w:r>
          </w:p>
        </w:tc>
      </w:tr>
      <w:tr>
        <w:tc>
          <w:tcPr>
            <w:tcW w:type="dxa" w:w="900"/>
            <w:tcBorders>
              <w:top w:val="single" w:color="C9D3D8" w:sz="4"/>
              <w:left w:val="single" w:color="C9D3D8" w:sz="4"/>
              <w:bottom w:val="single" w:color="C9D3D8" w:sz="4"/>
              <w:right w:val="single" w:color="C9D3D8" w:sz="4"/>
            </w:tcBorders>
            <w:tcMar>
              <w:top w:type="dxa" w:w="80"/>
              <w:left w:type="dxa" w:w="120"/>
              <w:bottom w:type="dxa" w:w="80"/>
              <w:right w:type="dxa" w:w="120"/>
            </w:tcMar>
          </w:tcPr>
          <w:p>
            <w:r>
              <w:rPr>
                <w:b w:val="false"/>
                <w:bCs w:val="false"/>
                <w:sz w:val="20"/>
                <w:szCs w:val="20"/>
              </w:rPr>
              <w:t xml:space="preserve">A3</w:t>
            </w:r>
          </w:p>
        </w:tc>
        <w:tc>
          <w:tcPr>
            <w:tcW w:type="dxa" w:w="3960"/>
            <w:tcBorders>
              <w:top w:val="single" w:color="C9D3D8" w:sz="4"/>
              <w:left w:val="single" w:color="C9D3D8" w:sz="4"/>
              <w:bottom w:val="single" w:color="C9D3D8" w:sz="4"/>
              <w:right w:val="single" w:color="C9D3D8" w:sz="4"/>
            </w:tcBorders>
            <w:tcMar>
              <w:top w:type="dxa" w:w="80"/>
              <w:left w:type="dxa" w:w="120"/>
              <w:bottom w:type="dxa" w:w="80"/>
              <w:right w:type="dxa" w:w="120"/>
            </w:tcMar>
          </w:tcPr>
          <w:p>
            <w:r>
              <w:rPr>
                <w:b w:val="false"/>
                <w:bCs w:val="false"/>
                <w:sz w:val="20"/>
                <w:szCs w:val="20"/>
              </w:rPr>
              <w:t xml:space="preserve">Las 20 relaciones, con mecanismo y prueba (R01 a R10, R11 a R20)</w:t>
            </w:r>
          </w:p>
        </w:tc>
        <w:tc>
          <w:tcPr>
            <w:tcW w:type="dxa" w:w="4500"/>
            <w:tcBorders>
              <w:top w:val="single" w:color="C9D3D8" w:sz="4"/>
              <w:left w:val="single" w:color="C9D3D8" w:sz="4"/>
              <w:bottom w:val="single" w:color="C9D3D8" w:sz="4"/>
              <w:right w:val="single" w:color="C9D3D8" w:sz="4"/>
            </w:tcBorders>
            <w:tcMar>
              <w:top w:type="dxa" w:w="80"/>
              <w:left w:type="dxa" w:w="120"/>
              <w:bottom w:type="dxa" w:w="80"/>
              <w:right w:type="dxa" w:w="120"/>
            </w:tcMar>
          </w:tcPr>
          <w:p>
            <w:r>
              <w:rPr>
                <w:b w:val="false"/>
                <w:bCs w:val="false"/>
                <w:sz w:val="20"/>
                <w:szCs w:val="20"/>
              </w:rPr>
              <w:t xml:space="preserve">Continua: habilitante. Blanca gruesa: condición externa. Punteada: hipótesis por comprobar.</w:t>
            </w:r>
          </w:p>
        </w:tc>
      </w:tr>
      <w:tr>
        <w:tc>
          <w:tcPr>
            <w:tcW w:type="dxa" w:w="900"/>
            <w:tcBorders>
              <w:top w:val="single" w:color="C9D3D8" w:sz="4"/>
              <w:left w:val="single" w:color="C9D3D8" w:sz="4"/>
              <w:bottom w:val="single" w:color="C9D3D8" w:sz="4"/>
              <w:right w:val="single" w:color="C9D3D8" w:sz="4"/>
            </w:tcBorders>
            <w:tcMar>
              <w:top w:type="dxa" w:w="80"/>
              <w:left w:type="dxa" w:w="120"/>
              <w:bottom w:type="dxa" w:w="80"/>
              <w:right w:type="dxa" w:w="120"/>
            </w:tcMar>
          </w:tcPr>
          <w:p>
            <w:r>
              <w:rPr>
                <w:b w:val="false"/>
                <w:bCs w:val="false"/>
                <w:sz w:val="20"/>
                <w:szCs w:val="20"/>
              </w:rPr>
              <w:t xml:space="preserve">A4</w:t>
            </w:r>
          </w:p>
        </w:tc>
        <w:tc>
          <w:tcPr>
            <w:tcW w:type="dxa" w:w="3960"/>
            <w:tcBorders>
              <w:top w:val="single" w:color="C9D3D8" w:sz="4"/>
              <w:left w:val="single" w:color="C9D3D8" w:sz="4"/>
              <w:bottom w:val="single" w:color="C9D3D8" w:sz="4"/>
              <w:right w:val="single" w:color="C9D3D8" w:sz="4"/>
            </w:tcBorders>
            <w:tcMar>
              <w:top w:type="dxa" w:w="80"/>
              <w:left w:type="dxa" w:w="120"/>
              <w:bottom w:type="dxa" w:w="80"/>
              <w:right w:type="dxa" w:w="120"/>
            </w:tcMar>
          </w:tcPr>
          <w:p>
            <w:r>
              <w:rPr>
                <w:b w:val="false"/>
                <w:bCs w:val="false"/>
                <w:sz w:val="20"/>
                <w:szCs w:val="20"/>
              </w:rPr>
              <w:t xml:space="preserve">¿Qué cambió frente a la propuesta de 17 objetivos y 30 relaciones?</w:t>
            </w:r>
          </w:p>
        </w:tc>
        <w:tc>
          <w:tcPr>
            <w:tcW w:type="dxa" w:w="4500"/>
            <w:tcBorders>
              <w:top w:val="single" w:color="C9D3D8" w:sz="4"/>
              <w:left w:val="single" w:color="C9D3D8" w:sz="4"/>
              <w:bottom w:val="single" w:color="C9D3D8" w:sz="4"/>
              <w:right w:val="single" w:color="C9D3D8" w:sz="4"/>
            </w:tcBorders>
            <w:tcMar>
              <w:top w:type="dxa" w:w="80"/>
              <w:left w:type="dxa" w:w="120"/>
              <w:bottom w:type="dxa" w:w="80"/>
              <w:right w:type="dxa" w:w="120"/>
            </w:tcMar>
          </w:tcPr>
          <w:p>
            <w:r>
              <w:rPr>
                <w:b w:val="false"/>
                <w:bCs w:val="false"/>
                <w:sz w:val="20"/>
                <w:szCs w:val="20"/>
              </w:rPr>
              <w:t xml:space="preserve">F1 en dos etapas; financiamiento a P6; C3 medido desde el cliente; C4 como conversión; 30 relaciones reducidas a 20 sin duplicados.</w:t>
            </w:r>
          </w:p>
        </w:tc>
      </w:tr>
      <w:tr>
        <w:tc>
          <w:tcPr>
            <w:tcW w:type="dxa" w:w="900"/>
            <w:tcBorders>
              <w:top w:val="single" w:color="C9D3D8" w:sz="4"/>
              <w:left w:val="single" w:color="C9D3D8" w:sz="4"/>
              <w:bottom w:val="single" w:color="C9D3D8" w:sz="4"/>
              <w:right w:val="single" w:color="C9D3D8" w:sz="4"/>
            </w:tcBorders>
            <w:tcMar>
              <w:top w:type="dxa" w:w="80"/>
              <w:left w:type="dxa" w:w="120"/>
              <w:bottom w:type="dxa" w:w="80"/>
              <w:right w:type="dxa" w:w="120"/>
            </w:tcMar>
          </w:tcPr>
          <w:p>
            <w:r>
              <w:rPr>
                <w:b w:val="false"/>
                <w:bCs w:val="false"/>
                <w:sz w:val="20"/>
                <w:szCs w:val="20"/>
              </w:rPr>
              <w:t xml:space="preserve">A5</w:t>
            </w:r>
          </w:p>
        </w:tc>
        <w:tc>
          <w:tcPr>
            <w:tcW w:type="dxa" w:w="3960"/>
            <w:tcBorders>
              <w:top w:val="single" w:color="C9D3D8" w:sz="4"/>
              <w:left w:val="single" w:color="C9D3D8" w:sz="4"/>
              <w:bottom w:val="single" w:color="C9D3D8" w:sz="4"/>
              <w:right w:val="single" w:color="C9D3D8" w:sz="4"/>
            </w:tcBorders>
            <w:tcMar>
              <w:top w:type="dxa" w:w="80"/>
              <w:left w:type="dxa" w:w="120"/>
              <w:bottom w:type="dxa" w:w="80"/>
              <w:right w:type="dxa" w:w="120"/>
            </w:tcMar>
          </w:tcPr>
          <w:p>
            <w:r>
              <w:rPr>
                <w:b w:val="false"/>
                <w:bCs w:val="false"/>
                <w:sz w:val="20"/>
                <w:szCs w:val="20"/>
              </w:rPr>
              <w:t xml:space="preserve">¿Cómo se lee cada estado del tablero?</w:t>
            </w:r>
          </w:p>
        </w:tc>
        <w:tc>
          <w:tcPr>
            <w:tcW w:type="dxa" w:w="4500"/>
            <w:tcBorders>
              <w:top w:val="single" w:color="C9D3D8" w:sz="4"/>
              <w:left w:val="single" w:color="C9D3D8" w:sz="4"/>
              <w:bottom w:val="single" w:color="C9D3D8" w:sz="4"/>
              <w:right w:val="single" w:color="C9D3D8" w:sz="4"/>
            </w:tcBorders>
            <w:tcMar>
              <w:top w:type="dxa" w:w="80"/>
              <w:left w:type="dxa" w:w="120"/>
              <w:bottom w:type="dxa" w:w="80"/>
              <w:right w:type="dxa" w:w="120"/>
            </w:tcMar>
          </w:tcPr>
          <w:p>
            <w:r>
              <w:rPr>
                <w:b w:val="false"/>
                <w:bCs w:val="false"/>
                <w:sz w:val="20"/>
                <w:szCs w:val="20"/>
              </w:rPr>
              <w:t xml:space="preserve">Cumple, alerta, no cumple, meta pendiente y sin medir. Sin dato y documento, sin medir. Un rechazo formal documentado registra no cumple.</w:t>
            </w:r>
          </w:p>
        </w:tc>
      </w:tr>
      <w:tr>
        <w:tc>
          <w:tcPr>
            <w:tcW w:type="dxa" w:w="900"/>
            <w:tcBorders>
              <w:top w:val="single" w:color="C9D3D8" w:sz="4"/>
              <w:left w:val="single" w:color="C9D3D8" w:sz="4"/>
              <w:bottom w:val="single" w:color="C9D3D8" w:sz="4"/>
              <w:right w:val="single" w:color="C9D3D8" w:sz="4"/>
            </w:tcBorders>
            <w:tcMar>
              <w:top w:type="dxa" w:w="80"/>
              <w:left w:type="dxa" w:w="120"/>
              <w:bottom w:type="dxa" w:w="80"/>
              <w:right w:type="dxa" w:w="120"/>
            </w:tcMar>
          </w:tcPr>
          <w:p>
            <w:r>
              <w:rPr>
                <w:b w:val="false"/>
                <w:bCs w:val="false"/>
                <w:sz w:val="20"/>
                <w:szCs w:val="20"/>
              </w:rPr>
              <w:t xml:space="preserve">A6</w:t>
            </w:r>
          </w:p>
        </w:tc>
        <w:tc>
          <w:tcPr>
            <w:tcW w:type="dxa" w:w="3960"/>
            <w:tcBorders>
              <w:top w:val="single" w:color="C9D3D8" w:sz="4"/>
              <w:left w:val="single" w:color="C9D3D8" w:sz="4"/>
              <w:bottom w:val="single" w:color="C9D3D8" w:sz="4"/>
              <w:right w:val="single" w:color="C9D3D8" w:sz="4"/>
            </w:tcBorders>
            <w:tcMar>
              <w:top w:type="dxa" w:w="80"/>
              <w:left w:type="dxa" w:w="120"/>
              <w:bottom w:type="dxa" w:w="80"/>
              <w:right w:type="dxa" w:w="120"/>
            </w:tcMar>
          </w:tcPr>
          <w:p>
            <w:r>
              <w:rPr>
                <w:b w:val="false"/>
                <w:bCs w:val="false"/>
                <w:sz w:val="20"/>
                <w:szCs w:val="20"/>
              </w:rPr>
              <w:t xml:space="preserve">¿Qué iniciativas mueven los objetivos?</w:t>
            </w:r>
          </w:p>
        </w:tc>
        <w:tc>
          <w:tcPr>
            <w:tcW w:type="dxa" w:w="4500"/>
            <w:tcBorders>
              <w:top w:val="single" w:color="C9D3D8" w:sz="4"/>
              <w:left w:val="single" w:color="C9D3D8" w:sz="4"/>
              <w:bottom w:val="single" w:color="C9D3D8" w:sz="4"/>
              <w:right w:val="single" w:color="C9D3D8" w:sz="4"/>
            </w:tcBorders>
            <w:tcMar>
              <w:top w:type="dxa" w:w="80"/>
              <w:left w:type="dxa" w:w="120"/>
              <w:bottom w:type="dxa" w:w="80"/>
              <w:right w:type="dxa" w:w="120"/>
            </w:tcMar>
          </w:tcPr>
          <w:p>
            <w:r>
              <w:rPr>
                <w:b w:val="false"/>
                <w:bCs w:val="false"/>
                <w:sz w:val="20"/>
                <w:szCs w:val="20"/>
              </w:rPr>
              <w:t xml:space="preserve">Sin presupuesto: es la siguiente etapa del plan.</w:t>
            </w:r>
          </w:p>
        </w:tc>
      </w:tr>
      <w:tr>
        <w:tc>
          <w:tcPr>
            <w:tcW w:type="dxa" w:w="900"/>
            <w:tcBorders>
              <w:top w:val="single" w:color="C9D3D8" w:sz="4"/>
              <w:left w:val="single" w:color="C9D3D8" w:sz="4"/>
              <w:bottom w:val="single" w:color="C9D3D8" w:sz="4"/>
              <w:right w:val="single" w:color="C9D3D8" w:sz="4"/>
            </w:tcBorders>
            <w:tcMar>
              <w:top w:type="dxa" w:w="80"/>
              <w:left w:type="dxa" w:w="120"/>
              <w:bottom w:type="dxa" w:w="80"/>
              <w:right w:type="dxa" w:w="120"/>
            </w:tcMar>
          </w:tcPr>
          <w:p>
            <w:r>
              <w:rPr>
                <w:b w:val="false"/>
                <w:bCs w:val="false"/>
                <w:sz w:val="20"/>
                <w:szCs w:val="20"/>
              </w:rPr>
              <w:t xml:space="preserve">A7</w:t>
            </w:r>
          </w:p>
        </w:tc>
        <w:tc>
          <w:tcPr>
            <w:tcW w:type="dxa" w:w="3960"/>
            <w:tcBorders>
              <w:top w:val="single" w:color="C9D3D8" w:sz="4"/>
              <w:left w:val="single" w:color="C9D3D8" w:sz="4"/>
              <w:bottom w:val="single" w:color="C9D3D8" w:sz="4"/>
              <w:right w:val="single" w:color="C9D3D8" w:sz="4"/>
            </w:tcBorders>
            <w:tcMar>
              <w:top w:type="dxa" w:w="80"/>
              <w:left w:type="dxa" w:w="120"/>
              <w:bottom w:type="dxa" w:w="80"/>
              <w:right w:type="dxa" w:w="120"/>
            </w:tcMar>
          </w:tcPr>
          <w:p>
            <w:r>
              <w:rPr>
                <w:b w:val="false"/>
                <w:bCs w:val="false"/>
                <w:sz w:val="20"/>
                <w:szCs w:val="20"/>
              </w:rPr>
              <w:t xml:space="preserve">FODA por perspectivas del CMI</w:t>
            </w:r>
          </w:p>
        </w:tc>
        <w:tc>
          <w:tcPr>
            <w:tcW w:type="dxa" w:w="4500"/>
            <w:tcBorders>
              <w:top w:val="single" w:color="C9D3D8" w:sz="4"/>
              <w:left w:val="single" w:color="C9D3D8" w:sz="4"/>
              <w:bottom w:val="single" w:color="C9D3D8" w:sz="4"/>
              <w:right w:val="single" w:color="C9D3D8" w:sz="4"/>
            </w:tcBorders>
            <w:tcMar>
              <w:top w:type="dxa" w:w="80"/>
              <w:left w:type="dxa" w:w="120"/>
              <w:bottom w:type="dxa" w:w="80"/>
              <w:right w:type="dxa" w:w="120"/>
            </w:tcMar>
          </w:tcPr>
          <w:p>
            <w:r>
              <w:rPr>
                <w:b w:val="false"/>
                <w:bCs w:val="false"/>
                <w:sz w:val="20"/>
                <w:szCs w:val="20"/>
              </w:rPr>
              <w:t xml:space="preserve">Tomado de la presentación anterior del curso.</w:t>
            </w:r>
          </w:p>
        </w:tc>
      </w:tr>
      <w:tr>
        <w:tc>
          <w:tcPr>
            <w:tcW w:type="dxa" w:w="900"/>
            <w:tcBorders>
              <w:top w:val="single" w:color="C9D3D8" w:sz="4"/>
              <w:left w:val="single" w:color="C9D3D8" w:sz="4"/>
              <w:bottom w:val="single" w:color="C9D3D8" w:sz="4"/>
              <w:right w:val="single" w:color="C9D3D8" w:sz="4"/>
            </w:tcBorders>
            <w:tcMar>
              <w:top w:type="dxa" w:w="80"/>
              <w:left w:type="dxa" w:w="120"/>
              <w:bottom w:type="dxa" w:w="80"/>
              <w:right w:type="dxa" w:w="120"/>
            </w:tcMar>
          </w:tcPr>
          <w:p>
            <w:r>
              <w:rPr>
                <w:b w:val="false"/>
                <w:bCs w:val="false"/>
                <w:sz w:val="20"/>
                <w:szCs w:val="20"/>
              </w:rPr>
              <w:t xml:space="preserve">A8</w:t>
            </w:r>
          </w:p>
        </w:tc>
        <w:tc>
          <w:tcPr>
            <w:tcW w:type="dxa" w:w="3960"/>
            <w:tcBorders>
              <w:top w:val="single" w:color="C9D3D8" w:sz="4"/>
              <w:left w:val="single" w:color="C9D3D8" w:sz="4"/>
              <w:bottom w:val="single" w:color="C9D3D8" w:sz="4"/>
              <w:right w:val="single" w:color="C9D3D8" w:sz="4"/>
            </w:tcBorders>
            <w:tcMar>
              <w:top w:type="dxa" w:w="80"/>
              <w:left w:type="dxa" w:w="120"/>
              <w:bottom w:type="dxa" w:w="80"/>
              <w:right w:type="dxa" w:w="120"/>
            </w:tcMar>
          </w:tcPr>
          <w:p>
            <w:r>
              <w:rPr>
                <w:b w:val="false"/>
                <w:bCs w:val="false"/>
                <w:sz w:val="20"/>
                <w:szCs w:val="20"/>
              </w:rPr>
              <w:t xml:space="preserve">Cadena de valor</w:t>
            </w:r>
          </w:p>
        </w:tc>
        <w:tc>
          <w:tcPr>
            <w:tcW w:type="dxa" w:w="4500"/>
            <w:tcBorders>
              <w:top w:val="single" w:color="C9D3D8" w:sz="4"/>
              <w:left w:val="single" w:color="C9D3D8" w:sz="4"/>
              <w:bottom w:val="single" w:color="C9D3D8" w:sz="4"/>
              <w:right w:val="single" w:color="C9D3D8" w:sz="4"/>
            </w:tcBorders>
            <w:tcMar>
              <w:top w:type="dxa" w:w="80"/>
              <w:left w:type="dxa" w:w="120"/>
              <w:bottom w:type="dxa" w:w="80"/>
              <w:right w:type="dxa" w:w="120"/>
            </w:tcMar>
          </w:tcPr>
          <w:p>
            <w:r>
              <w:rPr>
                <w:b w:val="false"/>
                <w:bCs w:val="false"/>
                <w:sz w:val="20"/>
                <w:szCs w:val="20"/>
              </w:rPr>
              <w:t xml:space="preserve">Tomado de la presentación anterior del curso.</w:t>
            </w:r>
          </w:p>
        </w:tc>
      </w:tr>
      <w:tr>
        <w:tc>
          <w:tcPr>
            <w:tcW w:type="dxa" w:w="900"/>
            <w:tcBorders>
              <w:top w:val="single" w:color="C9D3D8" w:sz="4"/>
              <w:left w:val="single" w:color="C9D3D8" w:sz="4"/>
              <w:bottom w:val="single" w:color="C9D3D8" w:sz="4"/>
              <w:right w:val="single" w:color="C9D3D8" w:sz="4"/>
            </w:tcBorders>
            <w:tcMar>
              <w:top w:type="dxa" w:w="80"/>
              <w:left w:type="dxa" w:w="120"/>
              <w:bottom w:type="dxa" w:w="80"/>
              <w:right w:type="dxa" w:w="120"/>
            </w:tcMar>
          </w:tcPr>
          <w:p>
            <w:r>
              <w:rPr>
                <w:b w:val="false"/>
                <w:bCs w:val="false"/>
                <w:sz w:val="20"/>
                <w:szCs w:val="20"/>
              </w:rPr>
              <w:t xml:space="preserve">A9</w:t>
            </w:r>
          </w:p>
        </w:tc>
        <w:tc>
          <w:tcPr>
            <w:tcW w:type="dxa" w:w="3960"/>
            <w:tcBorders>
              <w:top w:val="single" w:color="C9D3D8" w:sz="4"/>
              <w:left w:val="single" w:color="C9D3D8" w:sz="4"/>
              <w:bottom w:val="single" w:color="C9D3D8" w:sz="4"/>
              <w:right w:val="single" w:color="C9D3D8" w:sz="4"/>
            </w:tcBorders>
            <w:tcMar>
              <w:top w:type="dxa" w:w="80"/>
              <w:left w:type="dxa" w:w="120"/>
              <w:bottom w:type="dxa" w:w="80"/>
              <w:right w:type="dxa" w:w="120"/>
            </w:tcMar>
          </w:tcPr>
          <w:p>
            <w:r>
              <w:rPr>
                <w:b w:val="false"/>
                <w:bCs w:val="false"/>
                <w:sz w:val="20"/>
                <w:szCs w:val="20"/>
              </w:rPr>
              <w:t xml:space="preserve">PEST y cinco fuerzas, con su método</w:t>
            </w:r>
          </w:p>
        </w:tc>
        <w:tc>
          <w:tcPr>
            <w:tcW w:type="dxa" w:w="4500"/>
            <w:tcBorders>
              <w:top w:val="single" w:color="C9D3D8" w:sz="4"/>
              <w:left w:val="single" w:color="C9D3D8" w:sz="4"/>
              <w:bottom w:val="single" w:color="C9D3D8" w:sz="4"/>
              <w:right w:val="single" w:color="C9D3D8" w:sz="4"/>
            </w:tcBorders>
            <w:tcMar>
              <w:top w:type="dxa" w:w="80"/>
              <w:left w:type="dxa" w:w="120"/>
              <w:bottom w:type="dxa" w:w="80"/>
              <w:right w:type="dxa" w:w="120"/>
            </w:tcMar>
          </w:tcPr>
          <w:p>
            <w:r>
              <w:rPr>
                <w:b w:val="false"/>
                <w:bCs w:val="false"/>
                <w:sz w:val="20"/>
                <w:szCs w:val="20"/>
              </w:rPr>
              <w:t xml:space="preserve">Escalas propias de los instrumentos de Control de Gestión; no se comparan con las de Integrador II.</w:t>
            </w:r>
          </w:p>
        </w:tc>
      </w:tr>
      <w:tr>
        <w:tc>
          <w:tcPr>
            <w:tcW w:type="dxa" w:w="900"/>
            <w:tcBorders>
              <w:top w:val="single" w:color="C9D3D8" w:sz="4"/>
              <w:left w:val="single" w:color="C9D3D8" w:sz="4"/>
              <w:bottom w:val="single" w:color="C9D3D8" w:sz="4"/>
              <w:right w:val="single" w:color="C9D3D8" w:sz="4"/>
            </w:tcBorders>
            <w:tcMar>
              <w:top w:type="dxa" w:w="80"/>
              <w:left w:type="dxa" w:w="120"/>
              <w:bottom w:type="dxa" w:w="80"/>
              <w:right w:type="dxa" w:w="120"/>
            </w:tcMar>
          </w:tcPr>
          <w:p>
            <w:r>
              <w:rPr>
                <w:b w:val="false"/>
                <w:bCs w:val="false"/>
                <w:sz w:val="20"/>
                <w:szCs w:val="20"/>
              </w:rPr>
              <w:t xml:space="preserve">A10</w:t>
            </w:r>
          </w:p>
        </w:tc>
        <w:tc>
          <w:tcPr>
            <w:tcW w:type="dxa" w:w="3960"/>
            <w:tcBorders>
              <w:top w:val="single" w:color="C9D3D8" w:sz="4"/>
              <w:left w:val="single" w:color="C9D3D8" w:sz="4"/>
              <w:bottom w:val="single" w:color="C9D3D8" w:sz="4"/>
              <w:right w:val="single" w:color="C9D3D8" w:sz="4"/>
            </w:tcBorders>
            <w:tcMar>
              <w:top w:type="dxa" w:w="80"/>
              <w:left w:type="dxa" w:w="120"/>
              <w:bottom w:type="dxa" w:w="80"/>
              <w:right w:type="dxa" w:w="120"/>
            </w:tcMar>
          </w:tcPr>
          <w:p>
            <w:r>
              <w:rPr>
                <w:b w:val="false"/>
                <w:bCs w:val="false"/>
                <w:sz w:val="20"/>
                <w:szCs w:val="20"/>
              </w:rPr>
              <w:t xml:space="preserve">Misión, visión y valores completos</w:t>
            </w:r>
          </w:p>
        </w:tc>
        <w:tc>
          <w:tcPr>
            <w:tcW w:type="dxa" w:w="4500"/>
            <w:tcBorders>
              <w:top w:val="single" w:color="C9D3D8" w:sz="4"/>
              <w:left w:val="single" w:color="C9D3D8" w:sz="4"/>
              <w:bottom w:val="single" w:color="C9D3D8" w:sz="4"/>
              <w:right w:val="single" w:color="C9D3D8" w:sz="4"/>
            </w:tcBorders>
            <w:tcMar>
              <w:top w:type="dxa" w:w="80"/>
              <w:left w:type="dxa" w:w="120"/>
              <w:bottom w:type="dxa" w:w="80"/>
              <w:right w:type="dxa" w:w="120"/>
            </w:tcMar>
          </w:tcPr>
          <w:p>
            <w:r>
              <w:rPr>
                <w:b w:val="false"/>
                <w:bCs w:val="false"/>
                <w:sz w:val="20"/>
                <w:szCs w:val="20"/>
              </w:rPr>
              <w:t xml:space="preserve">Textos literales de la presentación anterior.</w:t>
            </w:r>
          </w:p>
        </w:tc>
      </w:tr>
      <w:tr>
        <w:tc>
          <w:tcPr>
            <w:tcW w:type="dxa" w:w="900"/>
            <w:tcBorders>
              <w:top w:val="single" w:color="C9D3D8" w:sz="4"/>
              <w:left w:val="single" w:color="C9D3D8" w:sz="4"/>
              <w:bottom w:val="single" w:color="C9D3D8" w:sz="4"/>
              <w:right w:val="single" w:color="C9D3D8" w:sz="4"/>
            </w:tcBorders>
            <w:tcMar>
              <w:top w:type="dxa" w:w="80"/>
              <w:left w:type="dxa" w:w="120"/>
              <w:bottom w:type="dxa" w:w="80"/>
              <w:right w:type="dxa" w:w="120"/>
            </w:tcMar>
          </w:tcPr>
          <w:p>
            <w:r>
              <w:rPr>
                <w:b w:val="false"/>
                <w:bCs w:val="false"/>
                <w:sz w:val="20"/>
                <w:szCs w:val="20"/>
              </w:rPr>
              <w:t xml:space="preserve">A11</w:t>
            </w:r>
          </w:p>
        </w:tc>
        <w:tc>
          <w:tcPr>
            <w:tcW w:type="dxa" w:w="3960"/>
            <w:tcBorders>
              <w:top w:val="single" w:color="C9D3D8" w:sz="4"/>
              <w:left w:val="single" w:color="C9D3D8" w:sz="4"/>
              <w:bottom w:val="single" w:color="C9D3D8" w:sz="4"/>
              <w:right w:val="single" w:color="C9D3D8" w:sz="4"/>
            </w:tcBorders>
            <w:tcMar>
              <w:top w:type="dxa" w:w="80"/>
              <w:left w:type="dxa" w:w="120"/>
              <w:bottom w:type="dxa" w:w="80"/>
              <w:right w:type="dxa" w:w="120"/>
            </w:tcMar>
          </w:tcPr>
          <w:p>
            <w:r>
              <w:rPr>
                <w:b w:val="false"/>
                <w:bCs w:val="false"/>
                <w:sz w:val="20"/>
                <w:szCs w:val="20"/>
              </w:rPr>
              <w:t xml:space="preserve">¿Qué es dato, qué es propuesta y qué falta?</w:t>
            </w:r>
          </w:p>
        </w:tc>
        <w:tc>
          <w:tcPr>
            <w:tcW w:type="dxa" w:w="4500"/>
            <w:tcBorders>
              <w:top w:val="single" w:color="C9D3D8" w:sz="4"/>
              <w:left w:val="single" w:color="C9D3D8" w:sz="4"/>
              <w:bottom w:val="single" w:color="C9D3D8" w:sz="4"/>
              <w:right w:val="single" w:color="C9D3D8" w:sz="4"/>
            </w:tcBorders>
            <w:tcMar>
              <w:top w:type="dxa" w:w="80"/>
              <w:left w:type="dxa" w:w="120"/>
              <w:bottom w:type="dxa" w:w="80"/>
              <w:right w:type="dxa" w:w="120"/>
            </w:tcMar>
          </w:tcPr>
          <w:p>
            <w:r>
              <w:rPr>
                <w:b w:val="false"/>
                <w:bCs w:val="false"/>
                <w:sz w:val="20"/>
                <w:szCs w:val="20"/>
              </w:rPr>
              <w:t xml:space="preserve">Cada cifra dice qué es.</w:t>
            </w:r>
          </w:p>
        </w:tc>
      </w:tr>
    </w:tbl>
    <w:p>
      <w:pPr>
        <w:spacing w:after="0" w:before="160" w:line="300"/>
      </w:pPr>
      <w:r>
        <w:rPr>
          <w:color w:val="5F6B70"/>
          <w:sz w:val="20"/>
          <w:szCs w:val="20"/>
        </w:rPr>
        <w:t xml:space="preserve">Respaldo completo de decisiones, contradicciones entre fuentes, riesgos y preguntas para ensayar: RESPALDO.md, en la carpeta solemne-2 del repositorio.</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F6B70"/>
        <w:sz w:val="16"/>
        <w:szCs w:val="16"/>
      </w:rPr>
      <w:t xml:space="preserve">Guion · Solemne 2 · Lumine Motors · página </w:t>
    </w:r>
    <w:r>
      <w:rPr>
        <w:color w:val="5F6B70"/>
        <w:sz w:val="16"/>
        <w:szCs w:val="16"/>
      </w:rPr>
      <w:fldChar w:fldCharType="begin"/>
    </w:r>
    <w:r>
      <w:rPr>
        <w:color w:val="5F6B70"/>
        <w:sz w:val="16"/>
        <w:szCs w:val="16"/>
      </w:rPr>
      <w:instrText xml:space="preserve">PAGE</w:instrText>
    </w:r>
    <w:r>
      <w:rPr>
        <w:color w:val="5F6B70"/>
        <w:sz w:val="16"/>
        <w:szCs w:val="16"/>
      </w:rPr>
      <w:fldChar w:fldCharType="separate"/>
    </w:r>
    <w:r>
      <w:rPr>
        <w:color w:val="5F6B7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11111"/>
      <w:sz w:val="48"/>
      <w:szCs w:val="48"/>
    </w:rPr>
  </w:style>
  <w:style w:type="paragraph" w:styleId="Heading1">
    <w:name w:val="Heading 1"/>
    <w:basedOn w:val="Normal"/>
    <w:next w:val="Normal"/>
    <w:qFormat/>
    <w:pPr>
      <w:spacing w:after="120" w:before="120"/>
      <w:outlineLvl w:val="0"/>
    </w:pPr>
    <w:rPr>
      <w:b/>
      <w:bCs/>
      <w:color w:val="0A6F9E"/>
      <w:sz w:val="32"/>
      <w:szCs w:val="32"/>
    </w:rPr>
  </w:style>
  <w:style w:type="paragraph" w:styleId="Heading2">
    <w:name w:val="Heading 2"/>
    <w:basedOn w:val="Normal"/>
    <w:next w:val="Normal"/>
    <w:qFormat/>
    <w:pPr>
      <w:pBdr>
        <w:bottom w:val="single" w:color="C9D3D8" w:sz="4" w:space="4"/>
      </w:pBdr>
      <w:spacing w:after="100" w:before="240"/>
      <w:outlineLvl w:val="1"/>
    </w:pPr>
    <w:rPr>
      <w:b/>
      <w:bCs/>
      <w:color w:val="111111"/>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 Solemne 2 · Control de Gestión · Lumine Motors</dc:title>
  <dc:creator>Diego Alarcón, Benjamín Torres y Lukas Verdugo</dc:creator>
  <cp:lastModifiedBy>Un-named</cp:lastModifiedBy>
  <cp:revision>1</cp:revision>
  <dcterms:created xsi:type="dcterms:W3CDTF">2026-10-21T02:17:06.145Z</dcterms:created>
  <dcterms:modified xsi:type="dcterms:W3CDTF">2026-10-21T02:17:06.146Z</dcterms:modified>
</cp:coreProperties>
</file>

<file path=docProps/custom.xml><?xml version="1.0" encoding="utf-8"?>
<Properties xmlns="http://schemas.openxmlformats.org/officeDocument/2006/custom-properties" xmlns:vt="http://schemas.openxmlformats.org/officeDocument/2006/docPropsVTypes"/>
</file>