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</w:pPr>
      <w:r>
        <w:rPr>
          <w:color w:val="5F6B70"/>
          <w:sz w:val="18"/>
          <w:szCs w:val="18"/>
        </w:rPr>
        <w:t xml:space="preserve">LUMINE MOTORS · CONTROL DE GESTIÓN · ICMA901 · CONTROL 3 · AVANCE 1 DEL TIG</w:t>
      </w:r>
    </w:p>
    <w:p>
      <w:pPr>
        <w:pStyle w:val="Title"/>
      </w:pPr>
      <w:r>
        <w:t xml:space="preserve">Guion del anexo A11 · Cuadro de Mando Integral</w:t>
      </w:r>
    </w:p>
    <w:p>
      <w:pPr>
        <w:spacing w:after="240" w:before="0" w:line="300"/>
      </w:pPr>
      <w:r>
        <w:rPr>
          <w:i/>
          <w:iCs/>
          <w:color w:val="0A6F9E"/>
          <w:sz w:val="22"/>
          <w:szCs w:val="22"/>
        </w:rPr>
        <w:t xml:space="preserve">Solo si el profesor pregunta por el Cuadro de Mando Integral o por el Avance 2. Se abre desde el índice del anexo (A11). Sugerido: Lukas Verdugo. Unos 1:56 a 130 palabras por minuto (251 palabras).</w:t>
      </w:r>
    </w:p>
    <w:p>
      <w:pPr>
        <w:pStyle w:val="Heading2"/>
        <w:keepNext/>
      </w:pPr>
      <w:r>
        <w:t xml:space="preserve">1 · Para empezar</w:t>
      </w:r>
    </w:p>
    <w:p>
      <w:pPr>
        <w:spacing w:after="60" w:before="0" w:line="300"/>
      </w:pPr>
      <w:r>
        <w:rPr>
          <w:i/>
          <w:iCs/>
          <w:color w:val="5F6B70"/>
          <w:sz w:val="18"/>
          <w:szCs w:val="18"/>
        </w:rPr>
        <w:t xml:space="preserve">Abrir A11 desde el índice del anexo y señalar el título.</w:t>
      </w:r>
    </w:p>
    <w:p>
      <w:pPr>
        <w:spacing w:after="240" w:line="336"/>
      </w:pPr>
      <w:r>
        <w:rPr>
          <w:sz w:val="24"/>
          <w:szCs w:val="24"/>
        </w:rPr>
        <w:t xml:space="preserve">Profesor, esto que ve aquí es el mapa estratégico de Lumine. No es parte de este avance: es lo que vamos a desarrollar en el Avance 2. Lo dejamos en el anexo porque muestra hacia dónde nos lleva todo el diagnóstico.</w:t>
      </w:r>
    </w:p>
    <w:p>
      <w:pPr>
        <w:pStyle w:val="Heading2"/>
        <w:keepNext/>
      </w:pPr>
      <w:r>
        <w:t xml:space="preserve">2 · Cómo se lee</w:t>
      </w:r>
    </w:p>
    <w:p>
      <w:pPr>
        <w:spacing w:after="60" w:before="0" w:line="300"/>
      </w:pPr>
      <w:r>
        <w:rPr>
          <w:i/>
          <w:iCs/>
          <w:color w:val="5F6B70"/>
          <w:sz w:val="18"/>
          <w:szCs w:val="18"/>
        </w:rPr>
        <w:t xml:space="preserve">Recorrer el mapa con la mano, de abajo hacia arriba.</w:t>
      </w:r>
    </w:p>
    <w:p>
      <w:pPr>
        <w:spacing w:after="240" w:line="336"/>
      </w:pPr>
      <w:r>
        <w:rPr>
          <w:sz w:val="24"/>
          <w:szCs w:val="24"/>
        </w:rPr>
        <w:t xml:space="preserve">El mapa se lee de abajo hacia arriba. Abajo está lo que Lumine tiene que aprender: la biblioteca de calibraciones, los técnicos habilitados y el protocolo para medir el ahorro. Con eso funcionan los procesos: conseguir la vía legal, aprobar cada modelo e instalar de forma segura. Eso le entrega al cliente dos cosas: que el kit cumpla lo que promete y un ahorro que se pueda demostrar. Si lo logramos, viene la confianza, el cliente compra, y arriba, al final, está la meta: que el negocio rinda más de lo que cuesta el capital. En total son diecisiete objetivos, conectados por veinte flechas.</w:t>
      </w:r>
    </w:p>
    <w:p>
      <w:pPr>
        <w:pStyle w:val="Heading2"/>
        <w:keepNext/>
      </w:pPr>
      <w:r>
        <w:t xml:space="preserve">3 · Las flechas</w:t>
      </w:r>
    </w:p>
    <w:p>
      <w:pPr>
        <w:spacing w:after="60" w:before="0" w:line="300"/>
      </w:pPr>
      <w:r>
        <w:rPr>
          <w:i/>
          <w:iCs/>
          <w:color w:val="5F6B70"/>
          <w:sz w:val="18"/>
          <w:szCs w:val="18"/>
        </w:rPr>
        <w:t xml:space="preserve">Señalar la leyenda de líneas, arriba a la derecha.</w:t>
      </w:r>
    </w:p>
    <w:p>
      <w:pPr>
        <w:spacing w:after="240" w:line="336"/>
      </w:pPr>
      <w:r>
        <w:rPr>
          <w:sz w:val="24"/>
          <w:szCs w:val="24"/>
        </w:rPr>
        <w:t xml:space="preserve">Las flechas no son todas iguales. La continua es algo que tiene que pasar sí o sí antes del paso siguiente. La blanca y gruesa es algo que no depende de nosotros, como la ley. Y la punteada es una hipótesis: creemos que funciona, pero hay que probarlo. Y aquí está lo honesto: doce de las veinte flechas son hipótesis. Es lógico, porque Lumine todavía no opera.</w:t>
      </w:r>
    </w:p>
    <w:p>
      <w:pPr>
        <w:pStyle w:val="Heading2"/>
        <w:keepNext/>
      </w:pPr>
      <w:r>
        <w:t xml:space="preserve">4 · Para cerrar</w:t>
      </w:r>
    </w:p>
    <w:p>
      <w:pPr>
        <w:spacing w:after="60" w:before="0" w:line="300"/>
      </w:pPr>
      <w:r>
        <w:rPr>
          <w:i/>
          <w:iCs/>
          <w:color w:val="5F6B70"/>
          <w:sz w:val="18"/>
          <w:szCs w:val="18"/>
        </w:rPr>
        <w:t xml:space="preserve">Volver al índice del anexo.</w:t>
      </w:r>
    </w:p>
    <w:p>
      <w:pPr>
        <w:spacing w:after="240" w:line="336"/>
      </w:pPr>
      <w:r>
        <w:rPr>
          <w:sz w:val="24"/>
          <w:szCs w:val="24"/>
        </w:rPr>
        <w:t xml:space="preserve">Por eso el mapa responde a las tres brechas que vimos: la vía legal, demostrar el ahorro y tener la capacidad de ejecutar. Los indicadores y las metas de cada objetivo los vamos a presentar en el Avance 2.</w:t>
      </w:r>
    </w:p>
    <w:p>
      <w:pPr>
        <w:spacing w:after="120" w:before="120" w:line="300"/>
      </w:pPr>
      <w:r>
        <w:rPr>
          <w:color w:val="5F6B70"/>
          <w:sz w:val="18"/>
          <w:szCs w:val="18"/>
        </w:rPr>
        <w:t xml:space="preserve">El mapa es una propuesta preliminar: no se expone en el Avance 1 y sus metas, indicadores y responsables corresponden al Avance 2.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70"/>
        <w:sz w:val="16"/>
        <w:szCs w:val="16"/>
      </w:rPr>
      <w:t xml:space="preserve">Guion del anexo CMI · Control 3 · Lumine Motors · página </w:t>
    </w:r>
    <w:r>
      <w:rPr>
        <w:color w:val="5F6B70"/>
        <w:sz w:val="16"/>
        <w:szCs w:val="16"/>
      </w:rPr>
      <w:fldChar w:fldCharType="begin"/>
    </w:r>
    <w:r>
      <w:rPr>
        <w:color w:val="5F6B70"/>
        <w:sz w:val="16"/>
        <w:szCs w:val="16"/>
      </w:rPr>
      <w:instrText xml:space="preserve">PAGE</w:instrText>
    </w:r>
    <w:r>
      <w:rPr>
        <w:color w:val="5F6B70"/>
        <w:sz w:val="16"/>
        <w:szCs w:val="16"/>
      </w:rPr>
      <w:fldChar w:fldCharType="separate"/>
    </w:r>
    <w:r>
      <w:rPr>
        <w:color w:val="5F6B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D3D8" w:sz="4" w:space="4"/>
      </w:pBdr>
      <w:spacing w:after="60" w:before="200"/>
      <w:outlineLvl w:val="1"/>
    </w:pPr>
    <w:rPr>
      <w:b/>
      <w:bCs/>
      <w:color w:val="111111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anexo A11 · CMI · Lumine Motors</dc:title>
  <dc:creator>Diego Alarcón, Benjamín Torres y Lukas Verdugo</dc:creator>
  <cp:lastModifiedBy>Un-named</cp:lastModifiedBy>
  <cp:revision>1</cp:revision>
  <dcterms:created xsi:type="dcterms:W3CDTF">2026-10-23T01:57:39.840Z</dcterms:created>
  <dcterms:modified xsi:type="dcterms:W3CDTF">2026-10-23T01:57:39.842Z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