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pPr>
      <w:r>
        <w:rPr>
          <w:color w:val="5F6B70"/>
          <w:sz w:val="18"/>
          <w:szCs w:val="18"/>
        </w:rPr>
        <w:t xml:space="preserve">LUMINE MOTORS · CONTROL DE GESTIÓN · ICMA901 · SECCIÓN 500 · NRC 4118</w:t>
      </w:r>
    </w:p>
    <w:p>
      <w:pPr>
        <w:pStyle w:val="Title"/>
      </w:pPr>
      <w:r>
        <w:t xml:space="preserve">Guion · TIG · entrega final</w:t>
      </w:r>
    </w:p>
    <w:p>
      <w:pPr>
        <w:spacing w:after="200" w:before="0" w:line="300"/>
      </w:pPr>
      <w:r>
        <w:rPr>
          <w:i/>
          <w:iCs/>
          <w:color w:val="0A6F9E"/>
          <w:sz w:val="22"/>
          <w:szCs w:val="22"/>
        </w:rPr>
        <w:t xml:space="preserve">Del diagnóstico al Cuadro de Mando Integral de Lumine Motors. Profesor Leonardo Lizana Contreras.</w:t>
      </w:r>
    </w:p>
    <w:p>
      <w:pPr>
        <w:spacing w:after="120" w:before="0" w:line="300"/>
      </w:pPr>
      <w:r>
        <w:rPr>
          <w:sz w:val="22"/>
          <w:szCs w:val="22"/>
        </w:rPr>
        <w:t xml:space="preserve">Exposición de máximo 15 minutos: 15 láminas y 1.568 palabras, unos 12:04 a 130 palabras por minuto, con margen para el cambio de expositor. Diego abre y cierra. Los cambios de expositor están escritos en el texto. El mismo guion va en las notas del orador del PowerPoint.</w:t>
      </w:r>
    </w:p>
    <w:p>
      <w:pPr>
        <w:pStyle w:val="Heading2"/>
      </w:pPr>
      <w:r>
        <w:t xml:space="preserve">Hoja de control de tiempos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2460"/>
        <w:gridCol w:w="1150"/>
        <w:gridCol w:w="1150"/>
      </w:tblGrid>
      <w:tr>
        <w:trPr>
          <w:tblHeader/>
        </w:trPr>
        <w:tc>
          <w:tcPr>
            <w:tcW w:type="dxa" w:w="3300"/>
            <w:tcBorders>
              <w:top w:val="single" w:color="C9D3D8" w:sz="4"/>
              <w:left w:val="single" w:color="C9D3D8" w:sz="4"/>
              <w:bottom w:val="single" w:color="C9D3D8" w:sz="4"/>
              <w:right w:val="single" w:color="C9D3D8" w:sz="4"/>
            </w:tcBorders>
            <w:shd w:fill="EAF5FB" w:color="auto" w:val="clear"/>
            <w:tcMar>
              <w:top w:type="dxa" w:w="60"/>
              <w:left w:type="dxa" w:w="100"/>
              <w:bottom w:type="dxa" w:w="60"/>
              <w:right w:type="dxa" w:w="100"/>
            </w:tcMar>
          </w:tcPr>
          <w:p>
            <w:r>
              <w:rPr>
                <w:b/>
                <w:bCs/>
                <w:color w:val="0A6F9E"/>
                <w:sz w:val="19"/>
                <w:szCs w:val="19"/>
              </w:rPr>
              <w:t xml:space="preserve">Lámina</w:t>
            </w:r>
          </w:p>
        </w:tc>
        <w:tc>
          <w:tcPr>
            <w:tcW w:type="dxa" w:w="1300"/>
            <w:tcBorders>
              <w:top w:val="single" w:color="C9D3D8" w:sz="4"/>
              <w:left w:val="single" w:color="C9D3D8" w:sz="4"/>
              <w:bottom w:val="single" w:color="C9D3D8" w:sz="4"/>
              <w:right w:val="single" w:color="C9D3D8" w:sz="4"/>
            </w:tcBorders>
            <w:shd w:fill="EAF5FB" w:color="auto" w:val="clear"/>
            <w:tcMar>
              <w:top w:type="dxa" w:w="60"/>
              <w:left w:type="dxa" w:w="100"/>
              <w:bottom w:type="dxa" w:w="60"/>
              <w:right w:type="dxa" w:w="100"/>
            </w:tcMar>
          </w:tcPr>
          <w:p>
            <w:r>
              <w:rPr>
                <w:b/>
                <w:bCs/>
                <w:color w:val="0A6F9E"/>
                <w:sz w:val="19"/>
                <w:szCs w:val="19"/>
              </w:rPr>
              <w:t xml:space="preserve">Expositor</w:t>
            </w:r>
          </w:p>
        </w:tc>
        <w:tc>
          <w:tcPr>
            <w:tcW w:type="dxa" w:w="2460"/>
            <w:tcBorders>
              <w:top w:val="single" w:color="C9D3D8" w:sz="4"/>
              <w:left w:val="single" w:color="C9D3D8" w:sz="4"/>
              <w:bottom w:val="single" w:color="C9D3D8" w:sz="4"/>
              <w:right w:val="single" w:color="C9D3D8" w:sz="4"/>
            </w:tcBorders>
            <w:shd w:fill="EAF5FB" w:color="auto" w:val="clear"/>
            <w:tcMar>
              <w:top w:type="dxa" w:w="60"/>
              <w:left w:type="dxa" w:w="100"/>
              <w:bottom w:type="dxa" w:w="60"/>
              <w:right w:type="dxa" w:w="100"/>
            </w:tcMar>
          </w:tcPr>
          <w:p>
            <w:r>
              <w:rPr>
                <w:b/>
                <w:bCs/>
                <w:color w:val="0A6F9E"/>
                <w:sz w:val="19"/>
                <w:szCs w:val="19"/>
              </w:rPr>
              <w:t xml:space="preserve">Apartado del informe</w:t>
            </w:r>
          </w:p>
        </w:tc>
        <w:tc>
          <w:tcPr>
            <w:tcW w:type="dxa" w:w="1150"/>
            <w:tcBorders>
              <w:top w:val="single" w:color="C9D3D8" w:sz="4"/>
              <w:left w:val="single" w:color="C9D3D8" w:sz="4"/>
              <w:bottom w:val="single" w:color="C9D3D8" w:sz="4"/>
              <w:right w:val="single" w:color="C9D3D8" w:sz="4"/>
            </w:tcBorders>
            <w:shd w:fill="EAF5FB" w:color="auto" w:val="clear"/>
            <w:tcMar>
              <w:top w:type="dxa" w:w="60"/>
              <w:left w:type="dxa" w:w="100"/>
              <w:bottom w:type="dxa" w:w="60"/>
              <w:right w:type="dxa" w:w="100"/>
            </w:tcMar>
          </w:tcPr>
          <w:p>
            <w:r>
              <w:rPr>
                <w:b/>
                <w:bCs/>
                <w:color w:val="0A6F9E"/>
                <w:sz w:val="19"/>
                <w:szCs w:val="19"/>
              </w:rPr>
              <w:t xml:space="preserve">Palabras</w:t>
            </w:r>
          </w:p>
        </w:tc>
        <w:tc>
          <w:tcPr>
            <w:tcW w:type="dxa" w:w="1150"/>
            <w:tcBorders>
              <w:top w:val="single" w:color="C9D3D8" w:sz="4"/>
              <w:left w:val="single" w:color="C9D3D8" w:sz="4"/>
              <w:bottom w:val="single" w:color="C9D3D8" w:sz="4"/>
              <w:right w:val="single" w:color="C9D3D8" w:sz="4"/>
            </w:tcBorders>
            <w:shd w:fill="EAF5FB" w:color="auto" w:val="clear"/>
            <w:tcMar>
              <w:top w:type="dxa" w:w="60"/>
              <w:left w:type="dxa" w:w="100"/>
              <w:bottom w:type="dxa" w:w="60"/>
              <w:right w:type="dxa" w:w="100"/>
            </w:tcMar>
          </w:tcPr>
          <w:p>
            <w:r>
              <w:rPr>
                <w:b/>
                <w:bCs/>
                <w:color w:val="0A6F9E"/>
                <w:sz w:val="19"/>
                <w:szCs w:val="19"/>
              </w:rPr>
              <w:t xml:space="preserve">Tiempo</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 · Portada · TIG · informe final</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Diego</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 Portada</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61</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0:30</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2 · El parque se conserva y usarlo cuesta cada vez más</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Diego</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3. Introducción</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97</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0:45</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3 · Un kit que se suma, no reemplaza</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Diego</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4. Comprensión del negocio</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81</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0:35</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4 · El cliente compra ahorro sin cambiar de auto, si confía</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Diego</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4. Comprensión del negocio</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94</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0:45</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5 · Misión, visión y valores que orientan decisiones</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Diego</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5. Declaraciones estratégicas</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104</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0:50</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6 · Cuatro números resumen el diagnóstico</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Benjamín</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6.1 a 6.3 Análisis estratégico</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153</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1:10</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7 · Tres brechas deciden si el negocio funciona</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Benjamín</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6.4 Síntesis FODA y diagnóstico integrado</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97</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0:45</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8 · Diferenciación enfocada: competir con evidencia, no con precio</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Benjamín</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7. Formulación de estrategia</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131</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1:00</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9 · Los ocho objetivos de la estrategia llegan al CMI</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Benjamín</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8. Redacción de objetivos estratégicos</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122</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0:55</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10 · Diecisiete objetivos y veinte relaciones en tres rutas</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Lukas</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9. Desarrollo del Cuadro de Mando Integral</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121</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0:55</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11 · El tablero está sin medir y la mayoría de las relaciones son hipótesis</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Lukas</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10.1 y 10.2 Análisis de la información</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115</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0:55</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12 · La vía legal es una compuerta del CMI</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Lukas</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10.3 Escenarios regulatorios en el CMI</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96</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0:45</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13 · Más de 16.000 litros para que el ahorro pague el kit</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Lukas</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10.4 Umbral de recuperación</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96</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0:45</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14 · Cinco decisiones antes de vender el primer kit</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Lukas</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12. Recomendaciones</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96</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0:45</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15 · El CMI decide cuándo avanzar, corregir o detenerse</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Diego</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11. Conclusiones</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104</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0:50</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bCs/>
                <w:sz w:val="19"/>
                <w:szCs w:val="19"/>
              </w:rPr>
              <w:t xml:space="preserve">Total</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bCs/>
                <w:sz w:val="19"/>
                <w:szCs w:val="19"/>
              </w:rPr>
              <w:t xml:space="preserve"/>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bCs/>
                <w:sz w:val="19"/>
                <w:szCs w:val="19"/>
              </w:rPr>
              <w:t xml:space="preserve"/>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bCs/>
                <w:sz w:val="19"/>
                <w:szCs w:val="19"/>
              </w:rPr>
              <w:t xml:space="preserve">1.568</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bCs/>
                <w:sz w:val="19"/>
                <w:szCs w:val="19"/>
              </w:rPr>
              <w:t xml:space="preserve">12:04</w:t>
            </w:r>
          </w:p>
        </w:tc>
      </w:tr>
    </w:tbl>
    <w:p>
      <w:pPr>
        <w:spacing w:after="80" w:before="0" w:line="3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60"/>
        <w:gridCol w:w="1500"/>
        <w:gridCol w:w="1600"/>
        <w:gridCol w:w="1500"/>
      </w:tblGrid>
      <w:tr>
        <w:trPr>
          <w:tblHeader/>
        </w:trPr>
        <w:tc>
          <w:tcPr>
            <w:tcW w:type="dxa" w:w="2600"/>
            <w:tcBorders>
              <w:top w:val="single" w:color="C9D3D8" w:sz="4"/>
              <w:left w:val="single" w:color="C9D3D8" w:sz="4"/>
              <w:bottom w:val="single" w:color="C9D3D8" w:sz="4"/>
              <w:right w:val="single" w:color="C9D3D8" w:sz="4"/>
            </w:tcBorders>
            <w:shd w:fill="EAF5FB" w:color="auto" w:val="clear"/>
            <w:tcMar>
              <w:top w:type="dxa" w:w="60"/>
              <w:left w:type="dxa" w:w="100"/>
              <w:bottom w:type="dxa" w:w="60"/>
              <w:right w:type="dxa" w:w="100"/>
            </w:tcMar>
          </w:tcPr>
          <w:p>
            <w:r>
              <w:rPr>
                <w:b/>
                <w:bCs/>
                <w:color w:val="0A6F9E"/>
                <w:sz w:val="19"/>
                <w:szCs w:val="19"/>
              </w:rPr>
              <w:t xml:space="preserve">Expositor</w:t>
            </w:r>
          </w:p>
        </w:tc>
        <w:tc>
          <w:tcPr>
            <w:tcW w:type="dxa" w:w="2160"/>
            <w:tcBorders>
              <w:top w:val="single" w:color="C9D3D8" w:sz="4"/>
              <w:left w:val="single" w:color="C9D3D8" w:sz="4"/>
              <w:bottom w:val="single" w:color="C9D3D8" w:sz="4"/>
              <w:right w:val="single" w:color="C9D3D8" w:sz="4"/>
            </w:tcBorders>
            <w:shd w:fill="EAF5FB" w:color="auto" w:val="clear"/>
            <w:tcMar>
              <w:top w:type="dxa" w:w="60"/>
              <w:left w:type="dxa" w:w="100"/>
              <w:bottom w:type="dxa" w:w="60"/>
              <w:right w:type="dxa" w:w="100"/>
            </w:tcMar>
          </w:tcPr>
          <w:p>
            <w:r>
              <w:rPr>
                <w:b/>
                <w:bCs/>
                <w:color w:val="0A6F9E"/>
                <w:sz w:val="19"/>
                <w:szCs w:val="19"/>
              </w:rPr>
              <w:t xml:space="preserve">Láminas</w:t>
            </w:r>
          </w:p>
        </w:tc>
        <w:tc>
          <w:tcPr>
            <w:tcW w:type="dxa" w:w="1500"/>
            <w:tcBorders>
              <w:top w:val="single" w:color="C9D3D8" w:sz="4"/>
              <w:left w:val="single" w:color="C9D3D8" w:sz="4"/>
              <w:bottom w:val="single" w:color="C9D3D8" w:sz="4"/>
              <w:right w:val="single" w:color="C9D3D8" w:sz="4"/>
            </w:tcBorders>
            <w:shd w:fill="EAF5FB" w:color="auto" w:val="clear"/>
            <w:tcMar>
              <w:top w:type="dxa" w:w="60"/>
              <w:left w:type="dxa" w:w="100"/>
              <w:bottom w:type="dxa" w:w="60"/>
              <w:right w:type="dxa" w:w="100"/>
            </w:tcMar>
          </w:tcPr>
          <w:p>
            <w:r>
              <w:rPr>
                <w:b/>
                <w:bCs/>
                <w:color w:val="0A6F9E"/>
                <w:sz w:val="19"/>
                <w:szCs w:val="19"/>
              </w:rPr>
              <w:t xml:space="preserve">Palabras</w:t>
            </w:r>
          </w:p>
        </w:tc>
        <w:tc>
          <w:tcPr>
            <w:tcW w:type="dxa" w:w="1600"/>
            <w:tcBorders>
              <w:top w:val="single" w:color="C9D3D8" w:sz="4"/>
              <w:left w:val="single" w:color="C9D3D8" w:sz="4"/>
              <w:bottom w:val="single" w:color="C9D3D8" w:sz="4"/>
              <w:right w:val="single" w:color="C9D3D8" w:sz="4"/>
            </w:tcBorders>
            <w:shd w:fill="EAF5FB" w:color="auto" w:val="clear"/>
            <w:tcMar>
              <w:top w:type="dxa" w:w="60"/>
              <w:left w:type="dxa" w:w="100"/>
              <w:bottom w:type="dxa" w:w="60"/>
              <w:right w:type="dxa" w:w="100"/>
            </w:tcMar>
          </w:tcPr>
          <w:p>
            <w:r>
              <w:rPr>
                <w:b/>
                <w:bCs/>
                <w:color w:val="0A6F9E"/>
                <w:sz w:val="19"/>
                <w:szCs w:val="19"/>
              </w:rPr>
              <w:t xml:space="preserve">Tiempo estimado</w:t>
            </w:r>
          </w:p>
        </w:tc>
        <w:tc>
          <w:tcPr>
            <w:tcW w:type="dxa" w:w="1500"/>
            <w:tcBorders>
              <w:top w:val="single" w:color="C9D3D8" w:sz="4"/>
              <w:left w:val="single" w:color="C9D3D8" w:sz="4"/>
              <w:bottom w:val="single" w:color="C9D3D8" w:sz="4"/>
              <w:right w:val="single" w:color="C9D3D8" w:sz="4"/>
            </w:tcBorders>
            <w:shd w:fill="EAF5FB" w:color="auto" w:val="clear"/>
            <w:tcMar>
              <w:top w:type="dxa" w:w="60"/>
              <w:left w:type="dxa" w:w="100"/>
              <w:bottom w:type="dxa" w:w="60"/>
              <w:right w:type="dxa" w:w="100"/>
            </w:tcMar>
          </w:tcPr>
          <w:p>
            <w:r>
              <w:rPr>
                <w:b/>
                <w:bCs/>
                <w:color w:val="0A6F9E"/>
                <w:sz w:val="19"/>
                <w:szCs w:val="19"/>
              </w:rPr>
              <w:t xml:space="preserve">Objetivo</w:t>
            </w:r>
          </w:p>
        </w:tc>
      </w:tr>
      <w:tr>
        <w:tc>
          <w:tcPr>
            <w:tcW w:type="dxa" w:w="26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Diego Alarcón</w:t>
            </w:r>
          </w:p>
        </w:tc>
        <w:tc>
          <w:tcPr>
            <w:tcW w:type="dxa" w:w="21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1, 2, 3, 4, 5, 15</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541</w:t>
            </w:r>
          </w:p>
        </w:tc>
        <w:tc>
          <w:tcPr>
            <w:tcW w:type="dxa" w:w="16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4:10</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 4:00</w:t>
            </w:r>
          </w:p>
        </w:tc>
      </w:tr>
      <w:tr>
        <w:tc>
          <w:tcPr>
            <w:tcW w:type="dxa" w:w="26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Benjamín Torres</w:t>
            </w:r>
          </w:p>
        </w:tc>
        <w:tc>
          <w:tcPr>
            <w:tcW w:type="dxa" w:w="21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6, 7, 8, 9</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503</w:t>
            </w:r>
          </w:p>
        </w:tc>
        <w:tc>
          <w:tcPr>
            <w:tcW w:type="dxa" w:w="16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3:52</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 4:00</w:t>
            </w:r>
          </w:p>
        </w:tc>
      </w:tr>
      <w:tr>
        <w:tc>
          <w:tcPr>
            <w:tcW w:type="dxa" w:w="26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Lukas Verdugo</w:t>
            </w:r>
          </w:p>
        </w:tc>
        <w:tc>
          <w:tcPr>
            <w:tcW w:type="dxa" w:w="21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10, 11, 12, 13, 14</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524</w:t>
            </w:r>
          </w:p>
        </w:tc>
        <w:tc>
          <w:tcPr>
            <w:tcW w:type="dxa" w:w="16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4:02</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 4:00</w:t>
            </w:r>
          </w:p>
        </w:tc>
      </w:tr>
    </w:tbl>
    <w:p>
      <w:pPr>
        <w:spacing w:after="120" w:before="160" w:line="300"/>
      </w:pPr>
      <w:r>
        <w:rPr>
          <w:color w:val="5F6B70"/>
          <w:sz w:val="20"/>
          <w:szCs w:val="20"/>
        </w:rPr>
        <w:t xml:space="preserve">Cómo ensayar: cronometren el recorrido completo, con los cambios de turno incluidos. 130 palabras por minuto es un ritmo de conversación pausada; si alguien se pasa, recorta en su parte, no en la del siguiente. Las cifras se dicen como están en el guion (por ejemplo, «dos coma ochenta y dos»).</w:t>
      </w:r>
    </w:p>
    <w:p>
      <w:r>
        <w:br w:type="page"/>
      </w:r>
    </w:p>
    <w:p>
      <w:pPr>
        <w:pStyle w:val="Heading1"/>
      </w:pPr>
      <w:r>
        <w:t xml:space="preserve">Diego Alarcón · abre</w:t>
      </w:r>
    </w:p>
    <w:p>
      <w:pPr>
        <w:spacing w:after="160" w:before="0" w:line="300"/>
      </w:pPr>
      <w:r>
        <w:rPr>
          <w:color w:val="5F6B70"/>
          <w:sz w:val="20"/>
          <w:szCs w:val="20"/>
        </w:rPr>
        <w:t xml:space="preserve">Láminas 1, 2, 3, 4, 5 · unos 4:10 en total (541 palabras).</w:t>
      </w:r>
    </w:p>
    <w:p>
      <w:pPr>
        <w:pStyle w:val="Heading2"/>
        <w:keepNext/>
        <w:tabs>
          <w:tab w:val="right" w:pos="9360"/>
        </w:tabs>
      </w:pPr>
      <w:r>
        <w:t xml:space="preserve">1 · Portada · TIG · informe final</w:t>
      </w:r>
      <w:r>
        <w:rPr>
          <w:b w:val="false"/>
          <w:bCs w:val="false"/>
          <w:color w:val="5F6B70"/>
        </w:rPr>
        <w:t xml:space="preserve">	0:30</w:t>
      </w:r>
    </w:p>
    <w:p>
      <w:pPr>
        <w:spacing w:after="60" w:before="0" w:line="300"/>
      </w:pPr>
      <w:r>
        <w:rPr>
          <w:color w:val="5F6B70"/>
          <w:sz w:val="18"/>
          <w:szCs w:val="18"/>
        </w:rPr>
        <w:t xml:space="preserve">Informe: 1. Portada</w:t>
      </w:r>
    </w:p>
    <w:p>
      <w:pPr>
        <w:spacing w:after="240" w:line="336"/>
      </w:pPr>
      <w:r>
        <w:rPr>
          <w:sz w:val="24"/>
          <w:szCs w:val="24"/>
        </w:rPr>
        <w:t xml:space="preserve">Buenos días, profesor y compañeros. Somos Diego Alarcón, Benjamín Torres y Lukas Verdugo, y presentamos el informe final de nuestro trabajo de Control de Gestión: el sistema de control de Lumine Motors, una empresa que todavía no opera. No vamos a mostrar ventas ni ahorros que no existen; vamos a mostrar cómo una estrategia se convierte en objetivos, indicadores y decisiones.</w:t>
      </w:r>
    </w:p>
    <w:p>
      <w:pPr>
        <w:pStyle w:val="Heading2"/>
        <w:keepNext/>
        <w:tabs>
          <w:tab w:val="right" w:pos="9360"/>
        </w:tabs>
      </w:pPr>
      <w:r>
        <w:t xml:space="preserve">2 · El parque se conserva y usarlo cuesta cada vez más</w:t>
      </w:r>
      <w:r>
        <w:rPr>
          <w:b w:val="false"/>
          <w:bCs w:val="false"/>
          <w:color w:val="5F6B70"/>
        </w:rPr>
        <w:t xml:space="preserve">	0:45</w:t>
      </w:r>
    </w:p>
    <w:p>
      <w:pPr>
        <w:spacing w:after="60" w:before="0" w:line="300"/>
      </w:pPr>
      <w:r>
        <w:rPr>
          <w:color w:val="5F6B70"/>
          <w:sz w:val="18"/>
          <w:szCs w:val="18"/>
        </w:rPr>
        <w:t xml:space="preserve">Informe: 3. Introducción</w:t>
      </w:r>
    </w:p>
    <w:p>
      <w:pPr>
        <w:spacing w:after="240" w:line="336"/>
      </w:pPr>
      <w:r>
        <w:rPr>
          <w:sz w:val="24"/>
          <w:szCs w:val="24"/>
        </w:rPr>
        <w:t xml:space="preserve">Partamos por el problema. En Chile la gente conserva su auto: este año se han transferido tres coma cinco autos usados por cada auto nuevo inscrito. Y usarlo cuesta más: en marzo, la bencina de noventa y tres en la Región Metropolitana subió unos trescientos setenta pesos por litro, y el Banco Central recortó su proyección de crecimiento. Quien depende de su auto paga cada vez más por usarlo y no puede cambiarlo. Nuestro objetivo fue diseñar el sistema de control que le diga a Lumine cuándo avanzar, cuándo corregir y cuándo detenerse frente a ese problema.</w:t>
      </w:r>
    </w:p>
    <w:p>
      <w:pPr>
        <w:pStyle w:val="Heading2"/>
        <w:keepNext/>
        <w:tabs>
          <w:tab w:val="right" w:pos="9360"/>
        </w:tabs>
      </w:pPr>
      <w:r>
        <w:t xml:space="preserve">3 · Un kit que se suma, no reemplaza</w:t>
      </w:r>
      <w:r>
        <w:rPr>
          <w:b w:val="false"/>
          <w:bCs w:val="false"/>
          <w:color w:val="5F6B70"/>
        </w:rPr>
        <w:t xml:space="preserve">	0:35</w:t>
      </w:r>
    </w:p>
    <w:p>
      <w:pPr>
        <w:spacing w:after="60" w:before="0" w:line="300"/>
      </w:pPr>
      <w:r>
        <w:rPr>
          <w:color w:val="5F6B70"/>
          <w:sz w:val="18"/>
          <w:szCs w:val="18"/>
        </w:rPr>
        <w:t xml:space="preserve">Informe: 4. Comprensión del negocio</w:t>
      </w:r>
    </w:p>
    <w:p>
      <w:pPr>
        <w:spacing w:after="240" w:line="336"/>
      </w:pPr>
      <w:r>
        <w:rPr>
          <w:sz w:val="24"/>
          <w:szCs w:val="24"/>
        </w:rPr>
        <w:t xml:space="preserve">Lumine instalaría un kit de hibridación aditiva en autos a combustión de tracción delantera. El motor original queda intacto. El kit suma una unidad de control, que decide cuándo asistir y corta ante fallas; un banco de baterías, que guarda la energía del frenado, y un motor eléctrico en el eje trasero. No se enchufa, y el diseño deja que el freno, el ABS y el control de estabilidad originales siempre manden. Hoy es un diseño: falta probarlo, homologarlo y documentarlo.</w:t>
      </w:r>
    </w:p>
    <w:p>
      <w:pPr>
        <w:pStyle w:val="Heading2"/>
        <w:keepNext/>
        <w:tabs>
          <w:tab w:val="right" w:pos="9360"/>
        </w:tabs>
      </w:pPr>
      <w:r>
        <w:t xml:space="preserve">4 · El cliente compra ahorro sin cambiar de auto, si confía</w:t>
      </w:r>
      <w:r>
        <w:rPr>
          <w:b w:val="false"/>
          <w:bCs w:val="false"/>
          <w:color w:val="5F6B70"/>
        </w:rPr>
        <w:t xml:space="preserve">	0:45</w:t>
      </w:r>
    </w:p>
    <w:p>
      <w:pPr>
        <w:spacing w:after="60" w:before="0" w:line="300"/>
      </w:pPr>
      <w:r>
        <w:rPr>
          <w:color w:val="5F6B70"/>
          <w:sz w:val="18"/>
          <w:szCs w:val="18"/>
        </w:rPr>
        <w:t xml:space="preserve">Informe: 4. Comprensión del negocio</w:t>
      </w:r>
    </w:p>
    <w:p>
      <w:pPr>
        <w:spacing w:after="240" w:line="336"/>
      </w:pPr>
      <w:r>
        <w:rPr>
          <w:sz w:val="24"/>
          <w:szCs w:val="24"/>
        </w:rPr>
        <w:t xml:space="preserve">¿Qué compra el cliente? Ahorro sin cambiar de auto. La propuesta tiene cuatro partes: ahorrar combustible, un respaldo técnico verificable, seguir usando el mismo vehículo y transparencia sobre compatibilidad y costos. La estimación es de hasta veinte por ciento menos bencina en ciudad, todavía no medida en autos chilenos. En tres entrevistas apareció una pista: el precio decide si se compra y la confianza, si uno se atreve. El negocio tendría un taller propio y, como segunda línea potencial, licencias de calibración con la plataforma Lumine Habilita, cuya demostración pueden abrir con este código.</w:t>
      </w:r>
    </w:p>
    <w:p>
      <w:pPr>
        <w:pStyle w:val="Heading2"/>
        <w:keepNext/>
        <w:tabs>
          <w:tab w:val="right" w:pos="9360"/>
        </w:tabs>
      </w:pPr>
      <w:r>
        <w:t xml:space="preserve">5 · Misión, visión y valores que orientan decisiones</w:t>
      </w:r>
      <w:r>
        <w:rPr>
          <w:b w:val="false"/>
          <w:bCs w:val="false"/>
          <w:color w:val="5F6B70"/>
        </w:rPr>
        <w:t xml:space="preserve">	0:50</w:t>
      </w:r>
    </w:p>
    <w:p>
      <w:pPr>
        <w:spacing w:after="60" w:before="0" w:line="300"/>
      </w:pPr>
      <w:r>
        <w:rPr>
          <w:color w:val="5F6B70"/>
          <w:sz w:val="18"/>
          <w:szCs w:val="18"/>
        </w:rPr>
        <w:t xml:space="preserve">Informe: 5. Declaraciones estratégicas</w:t>
      </w:r>
    </w:p>
    <w:p>
      <w:pPr>
        <w:spacing w:after="240" w:line="336"/>
      </w:pPr>
      <w:r>
        <w:rPr>
          <w:sz w:val="24"/>
          <w:szCs w:val="24"/>
        </w:rPr>
        <w:t xml:space="preserve">La misión es reducir el combustible que un auto a combustión necesita por kilómetro, instalando un sistema de hibridación en el auto que el cliente ya tiene, sin reemplazarlo ni intervenir su motor. La visión es ser hacia 2031 el taller de referencia en hibridación de vehículos en uso en Chile, reconocido por la autoridad, las plantas de revisión técnica y las aseguradoras. En nuestro sistema de control, los valores son reglas: verificabilidad antes que afirmación, por eso un dato sin medir no vale cero; y formalidad como condición de operación, por eso hay compuertas que no se saltan. Benjamín sigue con el diagnóstico.</w:t>
      </w:r>
    </w:p>
    <w:p>
      <w:r>
        <w:br w:type="page"/>
      </w:r>
    </w:p>
    <w:p>
      <w:pPr>
        <w:pStyle w:val="Heading1"/>
      </w:pPr>
      <w:r>
        <w:t xml:space="preserve">Benjamín Torres</w:t>
      </w:r>
    </w:p>
    <w:p>
      <w:pPr>
        <w:spacing w:after="160" w:before="0" w:line="300"/>
      </w:pPr>
      <w:r>
        <w:rPr>
          <w:color w:val="5F6B70"/>
          <w:sz w:val="20"/>
          <w:szCs w:val="20"/>
        </w:rPr>
        <w:t xml:space="preserve">Láminas 6, 7, 8, 9 · unos 3:52 en total (503 palabras).</w:t>
      </w:r>
    </w:p>
    <w:p>
      <w:pPr>
        <w:pStyle w:val="Heading2"/>
        <w:keepNext/>
        <w:tabs>
          <w:tab w:val="right" w:pos="9360"/>
        </w:tabs>
      </w:pPr>
      <w:r>
        <w:t xml:space="preserve">6 · Cuatro números resumen el diagnóstico</w:t>
      </w:r>
      <w:r>
        <w:rPr>
          <w:b w:val="false"/>
          <w:bCs w:val="false"/>
          <w:color w:val="5F6B70"/>
        </w:rPr>
        <w:t xml:space="preserve">	1:10</w:t>
      </w:r>
    </w:p>
    <w:p>
      <w:pPr>
        <w:spacing w:after="60" w:before="0" w:line="300"/>
      </w:pPr>
      <w:r>
        <w:rPr>
          <w:color w:val="5F6B70"/>
          <w:sz w:val="18"/>
          <w:szCs w:val="18"/>
        </w:rPr>
        <w:t xml:space="preserve">Informe: 6.1 a 6.3 Análisis estratégico</w:t>
      </w:r>
    </w:p>
    <w:p>
      <w:pPr>
        <w:spacing w:after="240" w:line="336"/>
      </w:pPr>
      <w:r>
        <w:rPr>
          <w:sz w:val="24"/>
          <w:szCs w:val="24"/>
        </w:rPr>
        <w:t xml:space="preserve">Gracias, Diego. El diagnóstico se resume en cuatro números. Primero, el entorno general: la matriz PEST da dos coma ochenta y dos sobre cinco, bajo el neutro de tres; el freno es económico, por el desempleo de nueve coma seis por ciento y un dólar sobre novecientos setenta pesos con un kit importado, y también regulatorio. Segundo, la industria: las cinco fuerzas dan tres coma cuarenta y nueve, una industria poco atractiva, y el rival principal no es otro taller: es que el cliente posponga la inversión. Tercero, hacia adentro: de quince recursos y capacidades, solo dos son potencialmente sostenibles, la biblioteca de calibraciones y la ingeniería de integración, y la biblioteca hoy está vacía. Cuarto, la Ley veintiún mil setecientos noventa y tres no tiene reglamento; si el reglamento sigue al borrador de dos mil veintiuno, quedaríamos entre la vía alternativa y ninguna. Eso no se promedia: es una condición de entrada.</w:t>
      </w:r>
    </w:p>
    <w:p>
      <w:pPr>
        <w:pStyle w:val="Heading2"/>
        <w:keepNext/>
        <w:tabs>
          <w:tab w:val="right" w:pos="9360"/>
        </w:tabs>
      </w:pPr>
      <w:r>
        <w:t xml:space="preserve">7 · Tres brechas deciden si el negocio funciona</w:t>
      </w:r>
      <w:r>
        <w:rPr>
          <w:b w:val="false"/>
          <w:bCs w:val="false"/>
          <w:color w:val="5F6B70"/>
        </w:rPr>
        <w:t xml:space="preserve">	0:45</w:t>
      </w:r>
    </w:p>
    <w:p>
      <w:pPr>
        <w:spacing w:after="60" w:before="0" w:line="300"/>
      </w:pPr>
      <w:r>
        <w:rPr>
          <w:color w:val="5F6B70"/>
          <w:sz w:val="18"/>
          <w:szCs w:val="18"/>
        </w:rPr>
        <w:t xml:space="preserve">Informe: 6.4 Síntesis FODA y diagnóstico integrado</w:t>
      </w:r>
    </w:p>
    <w:p>
      <w:pPr>
        <w:spacing w:after="240" w:line="336"/>
      </w:pPr>
      <w:r>
        <w:rPr>
          <w:sz w:val="24"/>
          <w:szCs w:val="24"/>
        </w:rPr>
        <w:t xml:space="preserve">El FODA cruza esos hallazgos y deja tres brechas. La primera es la habilitación formal: una vía legal y el reconocimiento de aseguradoras y plantas de revisión técnica. La segunda es demostrar valor frente a posponer la compra: medir el ahorro en autos chilenos y ofrecer una forma de pago que el cliente pueda asumir. La tercera es la capacidad de ejecución: llenar la biblioteca, formar técnicos en alta tensión y proteger el costo del kit frente al dólar. Si cualquiera falla, el negocio no funciona; por eso son el puente entre el diagnóstico y la estrategia.</w:t>
      </w:r>
    </w:p>
    <w:p>
      <w:pPr>
        <w:pStyle w:val="Heading2"/>
        <w:keepNext/>
        <w:tabs>
          <w:tab w:val="right" w:pos="9360"/>
        </w:tabs>
      </w:pPr>
      <w:r>
        <w:t xml:space="preserve">8 · Diferenciación enfocada: competir con evidencia, no con precio</w:t>
      </w:r>
      <w:r>
        <w:rPr>
          <w:b w:val="false"/>
          <w:bCs w:val="false"/>
          <w:color w:val="5F6B70"/>
        </w:rPr>
        <w:t xml:space="preserve">	1:00</w:t>
      </w:r>
    </w:p>
    <w:p>
      <w:pPr>
        <w:spacing w:after="60" w:before="0" w:line="300"/>
      </w:pPr>
      <w:r>
        <w:rPr>
          <w:color w:val="5F6B70"/>
          <w:sz w:val="18"/>
          <w:szCs w:val="18"/>
        </w:rPr>
        <w:t xml:space="preserve">Informe: 7. Formulación de estrategia</w:t>
      </w:r>
    </w:p>
    <w:p>
      <w:pPr>
        <w:spacing w:after="240" w:line="336"/>
      </w:pPr>
      <w:r>
        <w:rPr>
          <w:sz w:val="24"/>
          <w:szCs w:val="24"/>
        </w:rPr>
        <w:t xml:space="preserve">Con ese diagnóstico elegimos la diferenciación enfocada. Lumine no puede competir por costo: su kit es importado y su principal rival, posponer la compra, no tiene precio. Por eso compite con evidencia, en el segmento donde el ahorro vale más: los conductores de alto kilometraje. La declaración es un servicio certificado que reduce el combustible del auto que el cliente ya tiene, sostenido por un conocimiento de calibración que un competidor no puede comprar. Elegir es renunciar: no competimos por precio y no ofrecemos inmediatez, porque cada instalación depende de un diagnóstico y de un modelo aprobado. La ventaja que buscamos es la biblioteca de calibraciones; hoy es potencial, y no hay que confundirla con la estrategia, que es el camino para construirla. La estrategia tiene tres ejes, uno por brecha.</w:t>
      </w:r>
    </w:p>
    <w:p>
      <w:pPr>
        <w:pStyle w:val="Heading2"/>
        <w:keepNext/>
        <w:tabs>
          <w:tab w:val="right" w:pos="9360"/>
        </w:tabs>
      </w:pPr>
      <w:r>
        <w:t xml:space="preserve">9 · Los ocho objetivos de la estrategia llegan al CMI</w:t>
      </w:r>
      <w:r>
        <w:rPr>
          <w:b w:val="false"/>
          <w:bCs w:val="false"/>
          <w:color w:val="5F6B70"/>
        </w:rPr>
        <w:t xml:space="preserve">	0:55</w:t>
      </w:r>
    </w:p>
    <w:p>
      <w:pPr>
        <w:spacing w:after="60" w:before="0" w:line="300"/>
      </w:pPr>
      <w:r>
        <w:rPr>
          <w:color w:val="5F6B70"/>
          <w:sz w:val="18"/>
          <w:szCs w:val="18"/>
        </w:rPr>
        <w:t xml:space="preserve">Informe: 8. Redacción de objetivos estratégicos</w:t>
      </w:r>
    </w:p>
    <w:p>
      <w:pPr>
        <w:spacing w:after="240" w:line="336"/>
      </w:pPr>
      <w:r>
        <w:rPr>
          <w:sz w:val="24"/>
          <w:szCs w:val="24"/>
        </w:rPr>
        <w:t xml:space="preserve">Esos tres ejes tenían ocho objetivos, y los ocho llegan al Cuadro de Mando Integral. Habilitación formal queda en la vía legal, la aprobación de cada par modelo-kit y las alianzas con aseguradoras y plantas. Acceso comercial, en la captación del segmento y en el financiamiento, que se gestiona dentro de esas alianzas. Conocimiento y escala, en la biblioteca, la medición del ahorro y la expansión. Agregamos cinco objetivos que la formulación no cubría: la instalación segura, la promesa técnica cumplida, la confianza medida desde el cliente, el margen por servicio y la rentabilidad por sobre el costo de capital. En total son diecisiete, cada uno con un verbo, un resultado verificable, un indicador y un responsable. Lukas muestra cómo se conectan.</w:t>
      </w:r>
    </w:p>
    <w:p>
      <w:r>
        <w:br w:type="page"/>
      </w:r>
    </w:p>
    <w:p>
      <w:pPr>
        <w:pStyle w:val="Heading1"/>
      </w:pPr>
      <w:r>
        <w:t xml:space="preserve">Lukas Verdugo</w:t>
      </w:r>
    </w:p>
    <w:p>
      <w:pPr>
        <w:spacing w:after="160" w:before="0" w:line="300"/>
      </w:pPr>
      <w:r>
        <w:rPr>
          <w:color w:val="5F6B70"/>
          <w:sz w:val="20"/>
          <w:szCs w:val="20"/>
        </w:rPr>
        <w:t xml:space="preserve">Láminas 10, 11, 12, 13, 14 · unos 4:02 en total (524 palabras).</w:t>
      </w:r>
    </w:p>
    <w:p>
      <w:pPr>
        <w:pStyle w:val="Heading2"/>
        <w:keepNext/>
        <w:tabs>
          <w:tab w:val="right" w:pos="9360"/>
        </w:tabs>
      </w:pPr>
      <w:r>
        <w:t xml:space="preserve">10 · Diecisiete objetivos y veinte relaciones en tres rutas</w:t>
      </w:r>
      <w:r>
        <w:rPr>
          <w:b w:val="false"/>
          <w:bCs w:val="false"/>
          <w:color w:val="5F6B70"/>
        </w:rPr>
        <w:t xml:space="preserve">	0:55</w:t>
      </w:r>
    </w:p>
    <w:p>
      <w:pPr>
        <w:spacing w:after="60" w:before="0" w:line="300"/>
      </w:pPr>
      <w:r>
        <w:rPr>
          <w:color w:val="5F6B70"/>
          <w:sz w:val="18"/>
          <w:szCs w:val="18"/>
        </w:rPr>
        <w:t xml:space="preserve">Informe: 9. Desarrollo del Cuadro de Mando Integral</w:t>
      </w:r>
    </w:p>
    <w:p>
      <w:pPr>
        <w:spacing w:after="240" w:line="336"/>
      </w:pPr>
      <w:r>
        <w:rPr>
          <w:sz w:val="24"/>
          <w:szCs w:val="24"/>
        </w:rPr>
        <w:t xml:space="preserve">Gracias, Benjamín. El mapa se lee de abajo hacia arriba: las capacidades habilitan los procesos, los procesos producen la propuesta de valor, y de ahí salen la confianza, la captación y, al final, la rentabilidad por sobre el costo de capital. Las flechas tienen tres formas: continua, una condición habilitante; blanca y gruesa, una condición externa, como la vía legal; y punteada, una hipótesis que habrá que comprobar. Las veinte relaciones forman tres rutas: habilitación, que lleva a la promesa técnica; evidencia, que lleva de la medición a la confianza y la compra; y valor económico, que lleva al margen y a la rentabilidad. Cada indicador tiene ficha y cinco estados posibles: cumple, alerta, no cumple, meta pendiente y sin medir.</w:t>
      </w:r>
    </w:p>
    <w:p>
      <w:pPr>
        <w:pStyle w:val="Heading2"/>
        <w:keepNext/>
        <w:tabs>
          <w:tab w:val="right" w:pos="9360"/>
        </w:tabs>
      </w:pPr>
      <w:r>
        <w:t xml:space="preserve">11 · El tablero está sin medir y la mayoría de las relaciones son hipótesis</w:t>
      </w:r>
      <w:r>
        <w:rPr>
          <w:b w:val="false"/>
          <w:bCs w:val="false"/>
          <w:color w:val="5F6B70"/>
        </w:rPr>
        <w:t xml:space="preserve">	0:55</w:t>
      </w:r>
    </w:p>
    <w:p>
      <w:pPr>
        <w:spacing w:after="60" w:before="0" w:line="300"/>
      </w:pPr>
      <w:r>
        <w:rPr>
          <w:color w:val="5F6B70"/>
          <w:sz w:val="18"/>
          <w:szCs w:val="18"/>
        </w:rPr>
        <w:t xml:space="preserve">Informe: 10.1 y 10.2 Análisis de la información</w:t>
      </w:r>
    </w:p>
    <w:p>
      <w:pPr>
        <w:spacing w:after="240" w:line="336"/>
      </w:pPr>
      <w:r>
        <w:rPr>
          <w:sz w:val="24"/>
          <w:szCs w:val="24"/>
        </w:rPr>
        <w:t xml:space="preserve">Con esas reglas analizamos la información disponible, sin datos simulados. Hoy, doce indicadores están sin medir y cinco tienen la meta pendiente; ninguno cumple ni incumple, porque la empresa no opera. Pintarlo de rojo o de verde contradiría nuestro primer valor. El segundo hallazgo: de las veinte relaciones, doce son hipótesis, el sesenta por ciento. La ruta de habilitación es sólida, porque son requisitos técnicos y legales; la de valor económico es completamente hipotética. Por eso, al principio, el CMI de Lumine no mide resultados: comprueba hipótesis. Lo que sí se gestiona desde hoy son cuatro hitos previos a la venta: el protocolo de medición, la vía legal, el primer modelo aprobado y las alianzas.</w:t>
      </w:r>
    </w:p>
    <w:p>
      <w:pPr>
        <w:pStyle w:val="Heading2"/>
        <w:keepNext/>
        <w:tabs>
          <w:tab w:val="right" w:pos="9360"/>
        </w:tabs>
      </w:pPr>
      <w:r>
        <w:t xml:space="preserve">12 · La vía legal es una compuerta del CMI</w:t>
      </w:r>
      <w:r>
        <w:rPr>
          <w:b w:val="false"/>
          <w:bCs w:val="false"/>
          <w:color w:val="5F6B70"/>
        </w:rPr>
        <w:t xml:space="preserve">	0:45</w:t>
      </w:r>
    </w:p>
    <w:p>
      <w:pPr>
        <w:spacing w:after="60" w:before="0" w:line="300"/>
      </w:pPr>
      <w:r>
        <w:rPr>
          <w:color w:val="5F6B70"/>
          <w:sz w:val="18"/>
          <w:szCs w:val="18"/>
        </w:rPr>
        <w:t xml:space="preserve">Informe: 10.3 Escenarios regulatorios en el CMI</w:t>
      </w:r>
    </w:p>
    <w:p>
      <w:pPr>
        <w:spacing w:after="240" w:line="336"/>
      </w:pPr>
      <w:r>
        <w:rPr>
          <w:sz w:val="24"/>
          <w:szCs w:val="24"/>
        </w:rPr>
        <w:t xml:space="preserve">El tercer hallazgo es la vía legal. Actúa sobre el mapa por dos relaciones externas: condiciona la aprobación de cada modelo y la réplica en otros talleres. Si el reglamento abre una vía amplia, se avanza modelo por modelo. Si es acotada, se ajusta la meta de captación al parque elegible. Si es alternativa, cambia el indicador de la vía legal y se recalendarizan los hitos. Y si no hay vía, se detiene todo lo que depende de ella y no se suben metas comerciales. Si el reglamento sigue al borrador, estaríamos entre los dos últimos.</w:t>
      </w:r>
    </w:p>
    <w:p>
      <w:pPr>
        <w:pStyle w:val="Heading2"/>
        <w:keepNext/>
        <w:tabs>
          <w:tab w:val="right" w:pos="9360"/>
        </w:tabs>
      </w:pPr>
      <w:r>
        <w:t xml:space="preserve">13 · Más de 16.000 litros para que el ahorro pague el kit</w:t>
      </w:r>
      <w:r>
        <w:rPr>
          <w:b w:val="false"/>
          <w:bCs w:val="false"/>
          <w:color w:val="5F6B70"/>
        </w:rPr>
        <w:t xml:space="preserve">	0:45</w:t>
      </w:r>
    </w:p>
    <w:p>
      <w:pPr>
        <w:spacing w:after="60" w:before="0" w:line="300"/>
      </w:pPr>
      <w:r>
        <w:rPr>
          <w:color w:val="5F6B70"/>
          <w:sz w:val="18"/>
          <w:szCs w:val="18"/>
        </w:rPr>
        <w:t xml:space="preserve">Informe: 10.4 Umbral de recuperación</w:t>
      </w:r>
    </w:p>
    <w:p>
      <w:pPr>
        <w:spacing w:after="240" w:line="336"/>
      </w:pPr>
      <w:r>
        <w:rPr>
          <w:sz w:val="24"/>
          <w:szCs w:val="24"/>
        </w:rPr>
        <w:t xml:space="preserve">El cuarto hallazgo usa solo cifras existentes: el precio de referencia del kit Plus, cuatro millones novecientos noventa mil pesos; el ahorro estimado de veinte por ciento, y el precio actual de la bencina. Para que el ahorro pague el kit, el auto tendría que consumir unos dieciséis mil doscientos litros. El alza de marzo bajó ese umbral en veinticuatro por ciento. Pero si el ahorro real fuera la mitad, el umbral se duplicaría. Dos conclusiones: el foco en el alto kilometraje está bien puesto, y medir el ahorro es la información más valiosa del negocio.</w:t>
      </w:r>
    </w:p>
    <w:p>
      <w:pPr>
        <w:pStyle w:val="Heading2"/>
        <w:keepNext/>
        <w:tabs>
          <w:tab w:val="right" w:pos="9360"/>
        </w:tabs>
      </w:pPr>
      <w:r>
        <w:t xml:space="preserve">14 · Cinco decisiones antes de vender el primer kit</w:t>
      </w:r>
      <w:r>
        <w:rPr>
          <w:b w:val="false"/>
          <w:bCs w:val="false"/>
          <w:color w:val="5F6B70"/>
        </w:rPr>
        <w:t xml:space="preserve">	0:45</w:t>
      </w:r>
    </w:p>
    <w:p>
      <w:pPr>
        <w:spacing w:after="60" w:before="0" w:line="300"/>
      </w:pPr>
      <w:r>
        <w:rPr>
          <w:color w:val="5F6B70"/>
          <w:sz w:val="18"/>
          <w:szCs w:val="18"/>
        </w:rPr>
        <w:t xml:space="preserve">Informe: 12. Recomendaciones</w:t>
      </w:r>
    </w:p>
    <w:p>
      <w:pPr>
        <w:spacing w:after="240" w:line="336"/>
      </w:pPr>
      <w:r>
        <w:rPr>
          <w:sz w:val="24"/>
          <w:szCs w:val="24"/>
        </w:rPr>
        <w:t xml:space="preserve">De ahí salen cinco recomendaciones. Uno, no comprometer inversión comercial antes de documentar una vía legal. Dos, aprobar el protocolo y medir el primer auto antes de comunicar cualquier ahorro. Tres, elaborar el Plan Financiero con una tasa sustentada, para poder medir la rentabilidad sobre el costo de capital. Cuatro, cerrar convenios con aseguradora, planta de revisión y financiera antes del primer kit. Y cinco, proteger cada calibración como secreto empresarial desde la primera. Mientras la empresa no opere, el tablero se revisa cada mes, centrado en los cuatro hitos previos a la venta. Diego cierra.</w:t>
      </w:r>
    </w:p>
    <w:p>
      <w:r>
        <w:br w:type="page"/>
      </w:r>
    </w:p>
    <w:p>
      <w:pPr>
        <w:pStyle w:val="Heading1"/>
      </w:pPr>
      <w:r>
        <w:t xml:space="preserve">Diego Alarcón · cierre</w:t>
      </w:r>
    </w:p>
    <w:p>
      <w:pPr>
        <w:pStyle w:val="Heading2"/>
        <w:keepNext/>
        <w:tabs>
          <w:tab w:val="right" w:pos="9360"/>
        </w:tabs>
      </w:pPr>
      <w:r>
        <w:t xml:space="preserve">15 · El CMI decide cuándo avanzar, corregir o detenerse</w:t>
      </w:r>
      <w:r>
        <w:rPr>
          <w:b w:val="false"/>
          <w:bCs w:val="false"/>
          <w:color w:val="5F6B70"/>
        </w:rPr>
        <w:t xml:space="preserve">	0:50</w:t>
      </w:r>
    </w:p>
    <w:p>
      <w:pPr>
        <w:spacing w:after="60" w:before="0" w:line="300"/>
      </w:pPr>
      <w:r>
        <w:rPr>
          <w:color w:val="5F6B70"/>
          <w:sz w:val="18"/>
          <w:szCs w:val="18"/>
        </w:rPr>
        <w:t xml:space="preserve">Informe: 11. Conclusiones</w:t>
      </w:r>
    </w:p>
    <w:p>
      <w:pPr>
        <w:spacing w:after="240" w:line="336"/>
      </w:pPr>
      <w:r>
        <w:rPr>
          <w:sz w:val="24"/>
          <w:szCs w:val="24"/>
        </w:rPr>
        <w:t xml:space="preserve">Gracias, Lukas. Cerramos con tres conclusiones. Primero, Lumine responde a una necesidad real con una estrategia coherente con su diagnóstico: diferenciación enfocada en el alto kilometraje. Segundo, en una empresa que todavía no opera, el Cuadro de Mando Integral no sirve para mostrar resultados, sino para ordenar decisiones: qué debe cumplirse antes de vender, qué relaciones son hipótesis y cuándo corresponde detenerse. Tercero, lo que falta demostrar es claro: la vía legal, el ahorro medido en autos chilenos y la rentabilidad por sobre el costo de capital, que hoy no tiene cifra y no vamos a inventar. Muchas gracias; quedamos atentos a sus preguntas.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0"/>
        <w:sz w:val="16"/>
        <w:szCs w:val="16"/>
      </w:rPr>
      <w:t xml:space="preserve">Guion · TIG · entrega final · Lumine Motors · página </w:t>
    </w:r>
    <w:r>
      <w:rPr>
        <w:color w:val="5F6B70"/>
        <w:sz w:val="16"/>
        <w:szCs w:val="16"/>
      </w:rPr>
      <w:fldChar w:fldCharType="begin"/>
    </w:r>
    <w:r>
      <w:rPr>
        <w:color w:val="5F6B70"/>
        <w:sz w:val="16"/>
        <w:szCs w:val="16"/>
      </w:rPr>
      <w:instrText xml:space="preserve">PAGE</w:instrText>
    </w:r>
    <w:r>
      <w:rPr>
        <w:color w:val="5F6B70"/>
        <w:sz w:val="16"/>
        <w:szCs w:val="16"/>
      </w:rPr>
      <w:fldChar w:fldCharType="separate"/>
    </w:r>
    <w:r>
      <w:rPr>
        <w:color w:val="5F6B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11111"/>
      <w:sz w:val="44"/>
      <w:szCs w:val="44"/>
    </w:rPr>
  </w:style>
  <w:style w:type="paragraph" w:styleId="Heading1">
    <w:name w:val="Heading 1"/>
    <w:basedOn w:val="Normal"/>
    <w:next w:val="Normal"/>
    <w:qFormat/>
    <w:pPr>
      <w:spacing w:after="120" w:before="120"/>
      <w:outlineLvl w:val="0"/>
    </w:pPr>
    <w:rPr>
      <w:b/>
      <w:bCs/>
      <w:color w:val="0A6F9E"/>
      <w:sz w:val="32"/>
      <w:szCs w:val="32"/>
    </w:rPr>
  </w:style>
  <w:style w:type="paragraph" w:styleId="Heading2">
    <w:name w:val="Heading 2"/>
    <w:basedOn w:val="Normal"/>
    <w:next w:val="Normal"/>
    <w:qFormat/>
    <w:pPr>
      <w:pBdr>
        <w:bottom w:val="single" w:color="C9D3D8" w:sz="4" w:space="4"/>
      </w:pBdr>
      <w:spacing w:after="80" w:before="240"/>
      <w:outlineLvl w:val="1"/>
    </w:pPr>
    <w:rPr>
      <w:b/>
      <w:bCs/>
      <w:color w:val="111111"/>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 TIG · entrega final · Lumine Motors</dc:title>
  <dc:creator>Diego Alarcón, Benjamín Torres y Lukas Verdugo</dc:creator>
  <cp:lastModifiedBy>Un-named</cp:lastModifiedBy>
  <cp:revision>1</cp:revision>
  <dcterms:created xsi:type="dcterms:W3CDTF">2026-10-22T22:05:26.050Z</dcterms:created>
  <dcterms:modified xsi:type="dcterms:W3CDTF">2026-10-22T22:05:26.052Z</dcterms:modified>
</cp:coreProperties>
</file>

<file path=docProps/custom.xml><?xml version="1.0" encoding="utf-8"?>
<Properties xmlns="http://schemas.openxmlformats.org/officeDocument/2006/custom-properties" xmlns:vt="http://schemas.openxmlformats.org/officeDocument/2006/docPropsVTypes"/>
</file>