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pPr>
      <w:r>
        <w:rPr>
          <w:color w:val="5F6B70"/>
          <w:sz w:val="18"/>
          <w:szCs w:val="18"/>
        </w:rPr>
        <w:t xml:space="preserve">LUMINE MOTORS · CONTROL DE GESTIÓN · ICMA901 · SECCIÓN 500 · NRC 4118</w:t>
      </w:r>
    </w:p>
    <w:p>
      <w:pPr>
        <w:pStyle w:val="Title"/>
      </w:pPr>
      <w:r>
        <w:t xml:space="preserve">Guion · Control 3 · Avance 1 del TIG</w:t>
      </w:r>
    </w:p>
    <w:p>
      <w:pPr>
        <w:spacing w:after="200" w:before="0" w:line="300"/>
      </w:pPr>
      <w:r>
        <w:rPr>
          <w:i/>
          <w:iCs/>
          <w:color w:val="0A6F9E"/>
          <w:sz w:val="22"/>
          <w:szCs w:val="22"/>
        </w:rPr>
        <w:t xml:space="preserve">Comprensión del negocio y análisis estratégico de Lumine Motors. Profesor Leonardo Lizana Contreras · martes 27 de octubre de 2026, 15:00.</w:t>
      </w:r>
    </w:p>
    <w:p>
      <w:pPr>
        <w:spacing w:after="120" w:before="0" w:line="300"/>
      </w:pPr>
      <w:r>
        <w:rPr>
          <w:sz w:val="22"/>
          <w:szCs w:val="22"/>
        </w:rPr>
        <w:t xml:space="preserve">Exposición de máximo 15 minutos: 13 láminas y 1.798 palabras, unos 13:50 a 130 palabras por minuto, con algo más de un minuto de margen. Diego abre y cierra. Los cambios de expositor están escritos en el texto. El mismo guion va en las notas del orador del PowerPoint.</w:t>
      </w:r>
    </w:p>
    <w:p>
      <w:pPr>
        <w:pStyle w:val="Heading2"/>
      </w:pPr>
      <w:r>
        <w:t xml:space="preserve">Hoja de control de tiempos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2460"/>
        <w:gridCol w:w="1150"/>
        <w:gridCol w:w="1150"/>
      </w:tblGrid>
      <w:tr>
        <w:trPr>
          <w:tblHeader/>
        </w:trPr>
        <w:tc>
          <w:tcPr>
            <w:tcW w:type="dxa" w:w="330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Lámina</w:t>
            </w:r>
          </w:p>
        </w:tc>
        <w:tc>
          <w:tcPr>
            <w:tcW w:type="dxa" w:w="130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Expositor</w:t>
            </w:r>
          </w:p>
        </w:tc>
        <w:tc>
          <w:tcPr>
            <w:tcW w:type="dxa" w:w="246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Apartado del informe</w:t>
            </w:r>
          </w:p>
        </w:tc>
        <w:tc>
          <w:tcPr>
            <w:tcW w:type="dxa" w:w="115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Palabras</w:t>
            </w:r>
          </w:p>
        </w:tc>
        <w:tc>
          <w:tcPr>
            <w:tcW w:type="dxa" w:w="115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Tiempo</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 · Portada · Control 3 · Avance 1 del TIG</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Diego</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36</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0:15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2 · El parque se conserva y usarlo cuesta cada vez más</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Diego</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3. Introducción</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127</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1:00</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3 · Un kit que se suma, no reemplaza</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Diego</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4. Comprensión del negocio</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124</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0:55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4 · El cliente compra ahorro sin cambiar de auto, si confía</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Diego</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4. Comprensión del negocio</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140</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1:05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5 · Misión, visión y valores que orientan decisiones</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Diego</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5. Declaraciones estratégicas</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114</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0:55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6 · PEST 2,82: el freno es económico y regulatorio</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Benjamín</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6.2 Entorno general: PEST</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190</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1:30</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7 · La vía legal decide si el negocio existe</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Benjamín</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6.2 Entorno general: PEST (regulación)</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181</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1:25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8 · Porter 3,49: el rival principal es posponer la inversión</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Benjamín</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6.3 Industria: cinco fuerzas</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220</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1:40</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9 · Recursos y factores críticos: la diferenciación es potencial</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Lukas</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6.4 Capacidades internas</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151</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1:10</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10 · Cadena de valor: la exclusividad nace en la calibración y se juega en operaciones</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Lukas</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6.4 Capacidades internas y cadena de valor</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149</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1:10</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11 · FODA: fortalezas de diseño frente a amenazas externas decisivas</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Lukas</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6.5 Síntesis FODA</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163</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1:15</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12 · Tres brechas prioritarias</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Lukas</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6.6 Diagnóstico integrado</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134</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1:00</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13 · Qué está fundamentado y qué falta demostrar</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Diego</w:t>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6.6 Diagnóstico integrado</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69</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val="false"/>
                <w:bCs w:val="false"/>
                <w:sz w:val="19"/>
                <w:szCs w:val="19"/>
              </w:rPr>
              <w:t xml:space="preserve">0:30</w:t>
            </w:r>
          </w:p>
        </w:tc>
      </w:tr>
      <w:tr>
        <w:tc>
          <w:tcPr>
            <w:tcW w:type="dxa" w:w="3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bCs/>
                <w:sz w:val="19"/>
                <w:szCs w:val="19"/>
              </w:rPr>
              <w:t xml:space="preserve">Total</w:t>
            </w:r>
          </w:p>
        </w:tc>
        <w:tc>
          <w:tcPr>
            <w:tcW w:type="dxa" w:w="13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bCs/>
                <w:sz w:val="19"/>
                <w:szCs w:val="19"/>
              </w:rPr>
              <w:t xml:space="preserve"/>
            </w:r>
          </w:p>
        </w:tc>
        <w:tc>
          <w:tcPr>
            <w:tcW w:type="dxa" w:w="24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bCs/>
                <w:sz w:val="19"/>
                <w:szCs w:val="19"/>
              </w:rPr>
              <w:t xml:space="preserve"/>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bCs/>
                <w:sz w:val="19"/>
                <w:szCs w:val="19"/>
              </w:rPr>
              <w:t xml:space="preserve">1.798</w:t>
            </w:r>
          </w:p>
        </w:tc>
        <w:tc>
          <w:tcPr>
            <w:tcW w:type="dxa" w:w="115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b/>
                <w:bCs/>
                <w:sz w:val="19"/>
                <w:szCs w:val="19"/>
              </w:rPr>
              <w:t xml:space="preserve">13:50</w:t>
            </w:r>
          </w:p>
        </w:tc>
      </w:tr>
    </w:tbl>
    <w:p>
      <w:pPr>
        <w:spacing w:after="80" w:before="0" w:line="3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1500"/>
        <w:gridCol w:w="1600"/>
        <w:gridCol w:w="1500"/>
      </w:tblGrid>
      <w:tr>
        <w:trPr>
          <w:tblHeader/>
        </w:trPr>
        <w:tc>
          <w:tcPr>
            <w:tcW w:type="dxa" w:w="260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Expositor</w:t>
            </w:r>
          </w:p>
        </w:tc>
        <w:tc>
          <w:tcPr>
            <w:tcW w:type="dxa" w:w="216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Láminas</w:t>
            </w:r>
          </w:p>
        </w:tc>
        <w:tc>
          <w:tcPr>
            <w:tcW w:type="dxa" w:w="150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Palabras</w:t>
            </w:r>
          </w:p>
        </w:tc>
        <w:tc>
          <w:tcPr>
            <w:tcW w:type="dxa" w:w="160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Tiempo estimado</w:t>
            </w:r>
          </w:p>
        </w:tc>
        <w:tc>
          <w:tcPr>
            <w:tcW w:type="dxa" w:w="1500"/>
            <w:tcBorders>
              <w:top w:val="single" w:color="C9D3D8" w:sz="4"/>
              <w:left w:val="single" w:color="C9D3D8" w:sz="4"/>
              <w:bottom w:val="single" w:color="C9D3D8" w:sz="4"/>
              <w:right w:val="single" w:color="C9D3D8" w:sz="4"/>
            </w:tcBorders>
            <w:shd w:fill="EAF5FB" w:color="auto" w:val="clear"/>
            <w:tcMar>
              <w:top w:type="dxa" w:w="60"/>
              <w:left w:type="dxa" w:w="100"/>
              <w:bottom w:type="dxa" w:w="60"/>
              <w:right w:type="dxa" w:w="100"/>
            </w:tcMar>
          </w:tcPr>
          <w:p>
            <w:r>
              <w:rPr>
                <w:b/>
                <w:bCs/>
                <w:color w:val="0A6F9E"/>
                <w:sz w:val="19"/>
                <w:szCs w:val="19"/>
              </w:rPr>
              <w:t xml:space="preserve">Objetivo</w:t>
            </w:r>
          </w:p>
        </w:tc>
      </w:tr>
      <w:tr>
        <w:tc>
          <w:tcPr>
            <w:tcW w:type="dxa" w:w="26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Diego Alarcón</w:t>
            </w:r>
          </w:p>
        </w:tc>
        <w:tc>
          <w:tcPr>
            <w:tcW w:type="dxa" w:w="21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1, 2, 3, 4, 5, 13</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610</w:t>
            </w:r>
          </w:p>
        </w:tc>
        <w:tc>
          <w:tcPr>
            <w:tcW w:type="dxa" w:w="16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4:42</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4:42</w:t>
            </w:r>
          </w:p>
        </w:tc>
      </w:tr>
      <w:tr>
        <w:tc>
          <w:tcPr>
            <w:tcW w:type="dxa" w:w="26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Benjamín Torres</w:t>
            </w:r>
          </w:p>
        </w:tc>
        <w:tc>
          <w:tcPr>
            <w:tcW w:type="dxa" w:w="21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6, 7, 8</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591</w:t>
            </w:r>
          </w:p>
        </w:tc>
        <w:tc>
          <w:tcPr>
            <w:tcW w:type="dxa" w:w="16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4:33</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4:30</w:t>
            </w:r>
          </w:p>
        </w:tc>
      </w:tr>
      <w:tr>
        <w:tc>
          <w:tcPr>
            <w:tcW w:type="dxa" w:w="26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Lukas Verdugo</w:t>
            </w:r>
          </w:p>
        </w:tc>
        <w:tc>
          <w:tcPr>
            <w:tcW w:type="dxa" w:w="216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9, 10, 11, 12</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597</w:t>
            </w:r>
          </w:p>
        </w:tc>
        <w:tc>
          <w:tcPr>
            <w:tcW w:type="dxa" w:w="16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4:36</w:t>
            </w:r>
          </w:p>
        </w:tc>
        <w:tc>
          <w:tcPr>
            <w:tcW w:type="dxa" w:w="1500"/>
            <w:tcBorders>
              <w:top w:val="single" w:color="C9D3D8" w:sz="4"/>
              <w:left w:val="single" w:color="C9D3D8" w:sz="4"/>
              <w:bottom w:val="single" w:color="C9D3D8" w:sz="4"/>
              <w:right w:val="single" w:color="C9D3D8" w:sz="4"/>
            </w:tcBorders>
            <w:tcMar>
              <w:top w:type="dxa" w:w="60"/>
              <w:left w:type="dxa" w:w="100"/>
              <w:bottom w:type="dxa" w:w="60"/>
              <w:right w:type="dxa" w:w="100"/>
            </w:tcMar>
          </w:tcPr>
          <w:p>
            <w:r>
              <w:rPr>
                <w:sz w:val="19"/>
                <w:szCs w:val="19"/>
              </w:rPr>
              <w:t xml:space="preserve">4:38</w:t>
            </w:r>
          </w:p>
        </w:tc>
      </w:tr>
    </w:tbl>
    <w:p>
      <w:pPr>
        <w:spacing w:after="120" w:before="160" w:line="300"/>
      </w:pPr>
      <w:r>
        <w:rPr>
          <w:color w:val="5F6B70"/>
          <w:sz w:val="20"/>
          <w:szCs w:val="20"/>
        </w:rPr>
        <w:t xml:space="preserve">Cómo ensayar: cronometren el recorrido completo, con los cambios de turno incluidos. 130 palabras por minuto es un ritmo de conversación pausada; si alguien se pasa, recorta en su parte, no en la del siguiente. Las cifras se dicen como están en el guion (por ejemplo, «dos coma ochenta y dos»).</w:t>
      </w:r>
    </w:p>
    <w:p>
      <w:r>
        <w:br w:type="page"/>
      </w:r>
    </w:p>
    <w:p>
      <w:pPr>
        <w:pStyle w:val="Heading1"/>
      </w:pPr>
      <w:r>
        <w:t xml:space="preserve">Diego Alarcón · abre</w:t>
      </w:r>
    </w:p>
    <w:p>
      <w:pPr>
        <w:spacing w:after="160" w:before="0" w:line="300"/>
      </w:pPr>
      <w:r>
        <w:rPr>
          <w:color w:val="5F6B70"/>
          <w:sz w:val="20"/>
          <w:szCs w:val="20"/>
        </w:rPr>
        <w:t xml:space="preserve">Láminas 1, 2, 3, 4, 5 · unos 4:42 en total (610 palabras).</w:t>
      </w:r>
    </w:p>
    <w:p>
      <w:pPr>
        <w:pStyle w:val="Heading2"/>
        <w:keepNext/>
        <w:tabs>
          <w:tab w:val="right" w:pos="9360"/>
        </w:tabs>
      </w:pPr>
      <w:r>
        <w:t xml:space="preserve">1 · Portada · Control 3 · Avance 1 del TIG</w:t>
      </w:r>
      <w:r>
        <w:rPr>
          <w:b w:val="false"/>
          <w:bCs w:val="false"/>
          <w:color w:val="5F6B70"/>
        </w:rPr>
        <w:t xml:space="preserve">	0:15</w:t>
      </w:r>
    </w:p>
    <w:p>
      <w:pPr>
        <w:spacing w:after="60" w:before="0" w:line="300"/>
      </w:pPr>
      <w:r>
        <w:rPr>
          <w:color w:val="5F6B70"/>
          <w:sz w:val="18"/>
          <w:szCs w:val="18"/>
        </w:rPr>
        <w:t xml:space="preserve">Informe: —</w:t>
      </w:r>
    </w:p>
    <w:p>
      <w:pPr>
        <w:spacing w:after="240" w:line="336"/>
      </w:pPr>
      <w:r>
        <w:rPr>
          <w:sz w:val="24"/>
          <w:szCs w:val="24"/>
        </w:rPr>
        <w:t xml:space="preserve">Buenos días, profesor y compañeros. Somos Diego Alarcón, Benjamín Torres y Lukas Verdugo, y presentamos el Avance 1 de nuestro trabajo de Control de Gestión: la comprensión del negocio y el análisis estratégico de Lumine Motors.</w:t>
      </w:r>
    </w:p>
    <w:p>
      <w:pPr>
        <w:pStyle w:val="Heading2"/>
        <w:keepNext/>
        <w:tabs>
          <w:tab w:val="right" w:pos="9360"/>
        </w:tabs>
      </w:pPr>
      <w:r>
        <w:t xml:space="preserve">2 · El parque se conserva y usarlo cuesta cada vez más</w:t>
      </w:r>
      <w:r>
        <w:rPr>
          <w:b w:val="false"/>
          <w:bCs w:val="false"/>
          <w:color w:val="5F6B70"/>
        </w:rPr>
        <w:t xml:space="preserve">	1:00</w:t>
      </w:r>
    </w:p>
    <w:p>
      <w:pPr>
        <w:spacing w:after="60" w:before="0" w:line="300"/>
      </w:pPr>
      <w:r>
        <w:rPr>
          <w:color w:val="5F6B70"/>
          <w:sz w:val="18"/>
          <w:szCs w:val="18"/>
        </w:rPr>
        <w:t xml:space="preserve">Informe: 3. Introducción</w:t>
      </w:r>
    </w:p>
    <w:p>
      <w:pPr>
        <w:spacing w:after="240" w:line="336"/>
      </w:pPr>
      <w:r>
        <w:rPr>
          <w:sz w:val="24"/>
          <w:szCs w:val="24"/>
        </w:rPr>
        <w:t xml:space="preserve">Partamos por el contexto. En todo el mundo, la transición energética suele pensarse como cambiar de auto. Pero en Chile la gente conserva su vehículo: este año se han transferido tres coma cinco autos usados por cada auto nuevo inscrito. Al mismo tiempo, usar ese auto cuesta más. En marzo, la bencina de noventa y tres en la Región Metropolitana subió de unos mil ciento setenta a unos mil quinientos cuarenta pesos por litro, y el Banco Central recortó su proyección de crecimiento, en parte por el alza de los combustibles. Ahí está el problema: quien depende de su auto paga cada vez más por usarlo y no puede cambiarlo. El objetivo de este avance es entender si Lumine responde a ese problema y en qué condiciones.</w:t>
      </w:r>
    </w:p>
    <w:p>
      <w:pPr>
        <w:pStyle w:val="Heading2"/>
        <w:keepNext/>
        <w:tabs>
          <w:tab w:val="right" w:pos="9360"/>
        </w:tabs>
      </w:pPr>
      <w:r>
        <w:t xml:space="preserve">3 · Un kit que se suma, no reemplaza</w:t>
      </w:r>
      <w:r>
        <w:rPr>
          <w:b w:val="false"/>
          <w:bCs w:val="false"/>
          <w:color w:val="5F6B70"/>
        </w:rPr>
        <w:t xml:space="preserve">	0:55</w:t>
      </w:r>
    </w:p>
    <w:p>
      <w:pPr>
        <w:spacing w:after="60" w:before="0" w:line="300"/>
      </w:pPr>
      <w:r>
        <w:rPr>
          <w:color w:val="5F6B70"/>
          <w:sz w:val="18"/>
          <w:szCs w:val="18"/>
        </w:rPr>
        <w:t xml:space="preserve">Informe: 4. Comprensión del negocio</w:t>
      </w:r>
    </w:p>
    <w:p>
      <w:pPr>
        <w:spacing w:after="240" w:line="336"/>
      </w:pPr>
      <w:r>
        <w:rPr>
          <w:sz w:val="24"/>
          <w:szCs w:val="24"/>
        </w:rPr>
        <w:t xml:space="preserve">Lumine Motors Chile es un proyecto, todavía sin operación, que instalaría un kit de hibridación aditiva en autos a combustión de tracción delantera. El motor original, la transmisión y la alimentación quedan como están. El kit suma tres piezas: una unidad de control, que decide cuándo asistir y corta ante fallas; un banco de baterías, que guarda la energía que hoy se pierde al frenar; y un motor eléctrico en el eje trasero, que ayuda al auto a moverse. No se enchufa, y el diseño deja que el freno, el ABS y el control de estabilidad originales siempre manden sobre el kit. Todavía es un diseño: falta probarlo, homologarlo y documentarlo antes de ofrecerlo. Por eso hoy no hablamos de resultados, sino de condiciones.</w:t>
      </w:r>
    </w:p>
    <w:p>
      <w:pPr>
        <w:pStyle w:val="Heading2"/>
        <w:keepNext/>
        <w:tabs>
          <w:tab w:val="right" w:pos="9360"/>
        </w:tabs>
      </w:pPr>
      <w:r>
        <w:t xml:space="preserve">4 · El cliente compra ahorro sin cambiar de auto, si confía</w:t>
      </w:r>
      <w:r>
        <w:rPr>
          <w:b w:val="false"/>
          <w:bCs w:val="false"/>
          <w:color w:val="5F6B70"/>
        </w:rPr>
        <w:t xml:space="preserve">	1:05</w:t>
      </w:r>
    </w:p>
    <w:p>
      <w:pPr>
        <w:spacing w:after="60" w:before="0" w:line="300"/>
      </w:pPr>
      <w:r>
        <w:rPr>
          <w:color w:val="5F6B70"/>
          <w:sz w:val="18"/>
          <w:szCs w:val="18"/>
        </w:rPr>
        <w:t xml:space="preserve">Informe: 4. Comprensión del negocio</w:t>
      </w:r>
    </w:p>
    <w:p>
      <w:pPr>
        <w:spacing w:after="240" w:line="336"/>
      </w:pPr>
      <w:r>
        <w:rPr>
          <w:sz w:val="24"/>
          <w:szCs w:val="24"/>
        </w:rPr>
        <w:t xml:space="preserve">¿Qué compra el cliente? La necesidad es dejar de pagar cada vez más por usar el auto, sin tener que reemplazarlo. La propuesta de valor tendría cuatro partes: ahorrar combustible sin comprar un auto nuevo, un respaldo técnico verificable, seguir usando el mismo vehículo y transparencia sobre compatibilidad y costos. La estimación de ingeniería es de hasta veinte por ciento menos bencina en ciudad, pero no está medida en autos chilenos. En tres entrevistas apareció una pista que habrá que validar con una muestra mayor: el precio decide si se compra, pero la confianza decide si uno se atreve. El modelo de negocio tendría dos líneas: un taller propio y, más adelante, licencias de la biblioteca de calibraciones y del procedimiento a otros talleres, junto con la plataforma de habilitación técnica Lumine Habilita, cuya demostración pueden ver con este código.</w:t>
      </w:r>
    </w:p>
    <w:p>
      <w:pPr>
        <w:pStyle w:val="Heading2"/>
        <w:keepNext/>
        <w:tabs>
          <w:tab w:val="right" w:pos="9360"/>
        </w:tabs>
      </w:pPr>
      <w:r>
        <w:t xml:space="preserve">5 · Misión, visión y valores que orientan decisiones</w:t>
      </w:r>
      <w:r>
        <w:rPr>
          <w:b w:val="false"/>
          <w:bCs w:val="false"/>
          <w:color w:val="5F6B70"/>
        </w:rPr>
        <w:t xml:space="preserve">	0:55</w:t>
      </w:r>
    </w:p>
    <w:p>
      <w:pPr>
        <w:spacing w:after="60" w:before="0" w:line="300"/>
      </w:pPr>
      <w:r>
        <w:rPr>
          <w:color w:val="5F6B70"/>
          <w:sz w:val="18"/>
          <w:szCs w:val="18"/>
        </w:rPr>
        <w:t xml:space="preserve">Informe: 5. Declaraciones estratégicas</w:t>
      </w:r>
    </w:p>
    <w:p>
      <w:pPr>
        <w:spacing w:after="240" w:line="336"/>
      </w:pPr>
      <w:r>
        <w:rPr>
          <w:sz w:val="24"/>
          <w:szCs w:val="24"/>
        </w:rPr>
        <w:t xml:space="preserve">Esa propuesta descansa en una identidad declarada. La misión es reducir el combustible que un vehículo liviano a combustión necesita por kilómetro, mediante la instalación certificada de un sistema de hibridación aditiva sobre el auto que el cliente ya tiene, sin reemplazarlo y sin intervenir su motor. La visión es ser hacia 2031 el taller de referencia en hibridación de vehículos en uso en Chile, reconocido por la autoridad, las plantas de revisión técnica y las aseguradoras. Hoy ambas son aspiraciones. Tres valores ordenan las decisiones: verificabilidad antes que afirmación, formalidad como condición de operación y seguridad de quien instala y de quien conduce. Benjamín analiza el entorno en que esto tendría que funcionar.</w:t>
      </w:r>
    </w:p>
    <w:p>
      <w:r>
        <w:br w:type="page"/>
      </w:r>
    </w:p>
    <w:p>
      <w:pPr>
        <w:pStyle w:val="Heading1"/>
      </w:pPr>
      <w:r>
        <w:t xml:space="preserve">Benjamín Torres</w:t>
      </w:r>
    </w:p>
    <w:p>
      <w:pPr>
        <w:spacing w:after="160" w:before="0" w:line="300"/>
      </w:pPr>
      <w:r>
        <w:rPr>
          <w:color w:val="5F6B70"/>
          <w:sz w:val="20"/>
          <w:szCs w:val="20"/>
        </w:rPr>
        <w:t xml:space="preserve">Láminas 6, 7, 8 · unos 4:33 en total (591 palabras).</w:t>
      </w:r>
    </w:p>
    <w:p>
      <w:pPr>
        <w:pStyle w:val="Heading2"/>
        <w:keepNext/>
        <w:tabs>
          <w:tab w:val="right" w:pos="9360"/>
        </w:tabs>
      </w:pPr>
      <w:r>
        <w:t xml:space="preserve">6 · PEST 2,82: el freno es económico y regulatorio</w:t>
      </w:r>
      <w:r>
        <w:rPr>
          <w:b w:val="false"/>
          <w:bCs w:val="false"/>
          <w:color w:val="5F6B70"/>
        </w:rPr>
        <w:t xml:space="preserve">	1:30</w:t>
      </w:r>
    </w:p>
    <w:p>
      <w:pPr>
        <w:spacing w:after="60" w:before="0" w:line="300"/>
      </w:pPr>
      <w:r>
        <w:rPr>
          <w:color w:val="5F6B70"/>
          <w:sz w:val="18"/>
          <w:szCs w:val="18"/>
        </w:rPr>
        <w:t xml:space="preserve">Informe: 6.2 Entorno general: PEST</w:t>
      </w:r>
    </w:p>
    <w:p>
      <w:pPr>
        <w:spacing w:after="240" w:line="336"/>
      </w:pPr>
      <w:r>
        <w:rPr>
          <w:sz w:val="24"/>
          <w:szCs w:val="24"/>
        </w:rPr>
        <w:t xml:space="preserve">Gracias, Diego. Para el entorno general usamos la matriz PEST del curso. Cada factor se califica de uno a cinco, donde tres es neutro; bajo tres, el entorno juega en contra. El resultado global es dos coma ochenta y dos: un entorno moderadamente desfavorable. De cincuenta y un factores, trece son oportunidades, dieciocho son neutros y veinte son amenazas. Pero lo importante es dónde está el freno. La dimensión económica es la más baja, con dos coma treinta y ocho: el ingreso de los hogares cayó con el alza de los combustibles, el desempleo llegó a nueve coma seis por ciento y el kit es cien por ciento importado, con un dólar sobre novecientos setenta pesos. La segunda más baja es la político-jurídica, con dos coma sesenta y siete, por la regulación. En cambio, la tecnológica es la más favorable, con tres coma veintitrés: los componentes son maduros y el precio promedio mundial de los paquetes de baterías LFP llegó a ochenta y un dólares por kilowatt hora, según BloombergNEF. Es decir: la tecnología existe; lo que falta es que el cliente pueda pagarla y que la ley permita instalarla.</w:t>
      </w:r>
    </w:p>
    <w:p>
      <w:pPr>
        <w:pStyle w:val="Heading2"/>
        <w:keepNext/>
        <w:tabs>
          <w:tab w:val="right" w:pos="9360"/>
        </w:tabs>
      </w:pPr>
      <w:r>
        <w:t xml:space="preserve">7 · La vía legal decide si el negocio existe</w:t>
      </w:r>
      <w:r>
        <w:rPr>
          <w:b w:val="false"/>
          <w:bCs w:val="false"/>
          <w:color w:val="5F6B70"/>
        </w:rPr>
        <w:t xml:space="preserve">	1:25</w:t>
      </w:r>
    </w:p>
    <w:p>
      <w:pPr>
        <w:spacing w:after="60" w:before="0" w:line="300"/>
      </w:pPr>
      <w:r>
        <w:rPr>
          <w:color w:val="5F6B70"/>
          <w:sz w:val="18"/>
          <w:szCs w:val="18"/>
        </w:rPr>
        <w:t xml:space="preserve">Informe: 6.2 Entorno general: PEST (regulación)</w:t>
      </w:r>
    </w:p>
    <w:p>
      <w:pPr>
        <w:spacing w:after="240" w:line="336"/>
      </w:pPr>
      <w:r>
        <w:rPr>
          <w:sz w:val="24"/>
          <w:szCs w:val="24"/>
        </w:rPr>
        <w:t xml:space="preserve">La regulación decide si el negocio existe. La Ley veintiún mil setecientos noventa y tres, publicada el catorce de enero de este año, facultó al Ministerio de Transportes para autorizar talleres que transformen la propulsión de vehículos en uso. Pero todavía no tiene reglamento. La única referencia es un borrador de diciembre de dos mil veintiuno, anterior a la ley, que define la transformación como reemplazar el motor por uno eléctrico y excluye autos con ABS, airbag o control de estabilidad. Con esas dos preguntas armamos cuatro escenarios. Si el reglamento acepta conservar el motor y no excluye esos sistemas, hay una vía amplia, en la que el primero que homologa gana una ventaja temporal. Si los excluye, la vía queda acotada. Si no acepta conservar el motor, queda una vía alternativa, por alteración de características, o ninguna, y entonces el negocio no opera. Si el reglamento sigue al borrador, Lumine quedaría en la rama de los escenarios tres o cuatro; la vía aplicable está sin confirmar. No es una amenaza que se promedie con otras: es una condición de entrada.</w:t>
      </w:r>
    </w:p>
    <w:p>
      <w:pPr>
        <w:pStyle w:val="Heading2"/>
        <w:keepNext/>
        <w:tabs>
          <w:tab w:val="right" w:pos="9360"/>
        </w:tabs>
      </w:pPr>
      <w:r>
        <w:t xml:space="preserve">8 · Porter 3,49: el rival principal es posponer la inversión</w:t>
      </w:r>
      <w:r>
        <w:rPr>
          <w:b w:val="false"/>
          <w:bCs w:val="false"/>
          <w:color w:val="5F6B70"/>
        </w:rPr>
        <w:t xml:space="preserve">	1:40</w:t>
      </w:r>
    </w:p>
    <w:p>
      <w:pPr>
        <w:spacing w:after="60" w:before="0" w:line="300"/>
      </w:pPr>
      <w:r>
        <w:rPr>
          <w:color w:val="5F6B70"/>
          <w:sz w:val="18"/>
          <w:szCs w:val="18"/>
        </w:rPr>
        <w:t xml:space="preserve">Informe: 6.3 Industria: cinco fuerzas</w:t>
      </w:r>
    </w:p>
    <w:p>
      <w:pPr>
        <w:spacing w:after="240" w:line="336"/>
      </w:pPr>
      <w:r>
        <w:rPr>
          <w:sz w:val="24"/>
          <w:szCs w:val="24"/>
        </w:rPr>
        <w:t xml:space="preserve">Para la industria usamos las cinco fuerzas de Porter. Cada fuerza se califica de cero a cinco según su intensidad, y el modelo pondera su importancia. El resultado ponderado es tres coma cuarenta y nueve: una industria moderadamente poco atractiva. La fuerza más intensa son los sustitutos, con el máximo de cinco. Y el sustituto principal no es otro taller: es posponer la inversión; el propio Porter cuenta como sustituto la opción de prescindir del producto o comprar usado. Quien no compra se ahorra el kit, pero sigue pagando toda su bencina. También compiten el híbrido usado y otras formas de reconversión. Le siguen los nuevos entrantes, con tres coma setenta y cinco: hoy la regulación bloquea a todos por igual, pero cuando se abra la vía, cualquiera con presupuesto podría homologar. Los clientes, con dos coma sesenta y cuatro, y los proveedores, con dos coma sesenta y siete, presionan menos, y la rivalidad es baja, uno coma ochenta y tres, porque nuestro análisis no identifica competidores directos en hibridación aditiva. Ojo: sustitutos y clientes suman cincuenta y cinco por ciento de la ponderación del modelo; eso es peso dentro del instrumento, no probabilidad de amenaza. Lo que Lumine sí puede mover es la inercia del cliente, con evidencia de ahorro. Lukas sigue con lo que Lumine tiene hacia adentro.</w:t>
      </w:r>
    </w:p>
    <w:p>
      <w:r>
        <w:br w:type="page"/>
      </w:r>
    </w:p>
    <w:p>
      <w:pPr>
        <w:pStyle w:val="Heading1"/>
      </w:pPr>
      <w:r>
        <w:t xml:space="preserve">Lukas Verdugo</w:t>
      </w:r>
    </w:p>
    <w:p>
      <w:pPr>
        <w:spacing w:after="160" w:before="0" w:line="300"/>
      </w:pPr>
      <w:r>
        <w:rPr>
          <w:color w:val="5F6B70"/>
          <w:sz w:val="20"/>
          <w:szCs w:val="20"/>
        </w:rPr>
        <w:t xml:space="preserve">Láminas 9, 10, 11, 12 · unos 4:36 en total (597 palabras).</w:t>
      </w:r>
    </w:p>
    <w:p>
      <w:pPr>
        <w:pStyle w:val="Heading2"/>
        <w:keepNext/>
        <w:tabs>
          <w:tab w:val="right" w:pos="9360"/>
        </w:tabs>
      </w:pPr>
      <w:r>
        <w:t xml:space="preserve">9 · Recursos y factores críticos: la diferenciación es potencial</w:t>
      </w:r>
      <w:r>
        <w:rPr>
          <w:b w:val="false"/>
          <w:bCs w:val="false"/>
          <w:color w:val="5F6B70"/>
        </w:rPr>
        <w:t xml:space="preserve">	1:10</w:t>
      </w:r>
    </w:p>
    <w:p>
      <w:pPr>
        <w:spacing w:after="60" w:before="0" w:line="300"/>
      </w:pPr>
      <w:r>
        <w:rPr>
          <w:color w:val="5F6B70"/>
          <w:sz w:val="18"/>
          <w:szCs w:val="18"/>
        </w:rPr>
        <w:t xml:space="preserve">Informe: 6.4 Capacidades internas</w:t>
      </w:r>
    </w:p>
    <w:p>
      <w:pPr>
        <w:spacing w:after="240" w:line="336"/>
      </w:pPr>
      <w:r>
        <w:rPr>
          <w:sz w:val="24"/>
          <w:szCs w:val="24"/>
        </w:rPr>
        <w:t xml:space="preserve">Gracias, Benjamín. Hacia adentro, Lumine tiene una fortaleza de diseño, no de ejecución. En el análisis de recursos y capacidades evaluamos quince elementos con cuatro filtros: valioso, raro, costoso de imitar e insustituible. Solo dos pasan los cuatro: la biblioteca de calibraciones por marca y modelo y la ingeniería de integración. Pero hay que leerlo con cuidado: son ventajas potencialmente sostenibles, no efectivas, porque la biblioteca está vacía y solo sería sostenible si se protege como secreto empresarial. Seis elementos dan ventajas temporales y siete solo igualdad. Los factores críticos de éxito muestran lo mismo: la ingeniería de integración y la estandarización del taller tienen habilidad cuatro de cinco, pero como diseño; la gestión regulatoria y el talento en alta tensión están en dos, y el financiamiento en el punto de venta no tiene convenio. La gestión regulatoria es una condición de entrada; el financiamiento, un facilitador clave de la compra.</w:t>
      </w:r>
    </w:p>
    <w:p>
      <w:pPr>
        <w:pStyle w:val="Heading2"/>
        <w:keepNext/>
        <w:tabs>
          <w:tab w:val="right" w:pos="9360"/>
        </w:tabs>
      </w:pPr>
      <w:r>
        <w:t xml:space="preserve">10 · Cadena de valor: la exclusividad nace en la calibración y se juega en operaciones</w:t>
      </w:r>
      <w:r>
        <w:rPr>
          <w:b w:val="false"/>
          <w:bCs w:val="false"/>
          <w:color w:val="5F6B70"/>
        </w:rPr>
        <w:t xml:space="preserve">	1:10</w:t>
      </w:r>
    </w:p>
    <w:p>
      <w:pPr>
        <w:spacing w:after="60" w:before="0" w:line="300"/>
      </w:pPr>
      <w:r>
        <w:rPr>
          <w:color w:val="5F6B70"/>
          <w:sz w:val="18"/>
          <w:szCs w:val="18"/>
        </w:rPr>
        <w:t xml:space="preserve">Informe: 6.4 Capacidades internas y cadena de valor</w:t>
      </w:r>
    </w:p>
    <w:p>
      <w:pPr>
        <w:spacing w:after="240" w:line="336"/>
      </w:pPr>
      <w:r>
        <w:rPr>
          <w:sz w:val="24"/>
          <w:szCs w:val="24"/>
        </w:rPr>
        <w:t xml:space="preserve">La cadena de valor explica dónde se gana y dónde se arriesga. La exclusividad nace en el desarrollo tecnológico, es decir, en la calibración de cada modelo. Pero se entrega en operaciones, que es también el cuello de botella: ahí convergen la homologación por modelo, la internación de componentes y la escasez de técnicos. El costo, en cambio, se acumula en la logística de entrada: el kit es importado, las baterías viajan como mercancía peligrosa Clase nueve y todo depende del dólar. La infraestructura es una condición de entrada: sin autorización no opera ningún eslabón. Y hay funciones que se pueden externalizar, como contabilidad, aduana, transporte peligroso y remuneraciones. Frente a competidores en operación, Lumine obtiene tres en habilidades y dos coma setenta y uno en riesgo. Es esperable en una empresa que todavía no opera, y por eso para el FODA usamos sus fortalezas puntuales, no el promedio.</w:t>
      </w:r>
    </w:p>
    <w:p>
      <w:pPr>
        <w:pStyle w:val="Heading2"/>
        <w:keepNext/>
        <w:tabs>
          <w:tab w:val="right" w:pos="9360"/>
        </w:tabs>
      </w:pPr>
      <w:r>
        <w:t xml:space="preserve">11 · FODA: fortalezas de diseño frente a amenazas externas decisivas</w:t>
      </w:r>
      <w:r>
        <w:rPr>
          <w:b w:val="false"/>
          <w:bCs w:val="false"/>
          <w:color w:val="5F6B70"/>
        </w:rPr>
        <w:t xml:space="preserve">	1:15</w:t>
      </w:r>
    </w:p>
    <w:p>
      <w:pPr>
        <w:spacing w:after="60" w:before="0" w:line="300"/>
      </w:pPr>
      <w:r>
        <w:rPr>
          <w:color w:val="5F6B70"/>
          <w:sz w:val="18"/>
          <w:szCs w:val="18"/>
        </w:rPr>
        <w:t xml:space="preserve">Informe: 6.5 Síntesis FODA</w:t>
      </w:r>
    </w:p>
    <w:p>
      <w:pPr>
        <w:spacing w:after="240" w:line="336"/>
      </w:pPr>
      <w:r>
        <w:rPr>
          <w:sz w:val="24"/>
          <w:szCs w:val="24"/>
        </w:rPr>
        <w:t xml:space="preserve">El FODA ordena todo lo anterior, separando lo interno de lo externo. Las fortalezas son de diseño: una arquitectura en el eje trasero que conserva el motor, un proceso de taller de cinco etapas y un segmento definido. Las debilidades son de ejecución: sin ensayo ni homologación, una biblioteca vacía, sin técnicos habilitados, compras en dólares sin cobertura y una marca sin casos. Cuidamos no repetir factores: el dólar aparece como amenaza externa y su efecto interno, las compras sin cobertura, como debilidad. Afuera, las oportunidades son reales y medibles: el parque se conserva, la bencina subió y las baterías se abaratan. Pero las amenazas son decisivas: la ley sin reglamento, el dólar alto con un kit importado, el menor ingreso disponible de los hogares y la opción del cliente de posponer la compra. La lectura es clara: el entorno ofrece una necesidad, pero el negocio todavía no tiene cómo demostrar que la resuelve de forma legal, segura y conveniente para el cliente.</w:t>
      </w:r>
    </w:p>
    <w:p>
      <w:pPr>
        <w:pStyle w:val="Heading2"/>
        <w:keepNext/>
        <w:tabs>
          <w:tab w:val="right" w:pos="9360"/>
        </w:tabs>
      </w:pPr>
      <w:r>
        <w:t xml:space="preserve">12 · Tres brechas prioritarias</w:t>
      </w:r>
      <w:r>
        <w:rPr>
          <w:b w:val="false"/>
          <w:bCs w:val="false"/>
          <w:color w:val="5F6B70"/>
        </w:rPr>
        <w:t xml:space="preserve">	1:00</w:t>
      </w:r>
    </w:p>
    <w:p>
      <w:pPr>
        <w:spacing w:after="60" w:before="0" w:line="300"/>
      </w:pPr>
      <w:r>
        <w:rPr>
          <w:color w:val="5F6B70"/>
          <w:sz w:val="18"/>
          <w:szCs w:val="18"/>
        </w:rPr>
        <w:t xml:space="preserve">Informe: 6.6 Diagnóstico integrado</w:t>
      </w:r>
    </w:p>
    <w:p>
      <w:pPr>
        <w:spacing w:after="240" w:line="336"/>
      </w:pPr>
      <w:r>
        <w:rPr>
          <w:sz w:val="24"/>
          <w:szCs w:val="24"/>
        </w:rPr>
        <w:t xml:space="preserve">De ese diagnóstico salen tres brechas prioritarias. No son todavía objetivos: son lo que el análisis dice que hay que resolver. La primera es la habilitación formal: una vía legal aplicable y el reconocimiento de aseguradoras y plantas de revisión técnica. La segunda es demostrar valor frente a posponer la compra: medir el ahorro en autos chilenos con un protocolo comparable y ofrecer una forma de pago que el cliente pueda asumir. La tercera es la capacidad de ejecución: llenar la biblioteca de calibraciones, formar técnicos en alta tensión y proteger el costo de un kit importado frente al dólar. Las tres se conectan: sin vía legal no hay ahorro que medir, y sin capacidad de ejecución no hay ahorro que ofrecer. Si cualquiera de las tres falla, el negocio no funciona. Diego cierra.</w:t>
      </w:r>
    </w:p>
    <w:p>
      <w:r>
        <w:br w:type="page"/>
      </w:r>
    </w:p>
    <w:p>
      <w:pPr>
        <w:pStyle w:val="Heading1"/>
      </w:pPr>
      <w:r>
        <w:t xml:space="preserve">Diego Alarcón · cierre</w:t>
      </w:r>
    </w:p>
    <w:p>
      <w:pPr>
        <w:pStyle w:val="Heading2"/>
        <w:keepNext/>
        <w:tabs>
          <w:tab w:val="right" w:pos="9360"/>
        </w:tabs>
      </w:pPr>
      <w:r>
        <w:t xml:space="preserve">13 · Qué está fundamentado y qué falta demostrar</w:t>
      </w:r>
      <w:r>
        <w:rPr>
          <w:b w:val="false"/>
          <w:bCs w:val="false"/>
          <w:color w:val="5F6B70"/>
        </w:rPr>
        <w:t xml:space="preserve">	0:30</w:t>
      </w:r>
    </w:p>
    <w:p>
      <w:pPr>
        <w:spacing w:after="60" w:before="0" w:line="300"/>
      </w:pPr>
      <w:r>
        <w:rPr>
          <w:color w:val="5F6B70"/>
          <w:sz w:val="18"/>
          <w:szCs w:val="18"/>
        </w:rPr>
        <w:t xml:space="preserve">Informe: 6.6 Diagnóstico integrado</w:t>
      </w:r>
    </w:p>
    <w:p>
      <w:pPr>
        <w:spacing w:after="240" w:line="336"/>
      </w:pPr>
      <w:r>
        <w:rPr>
          <w:sz w:val="24"/>
          <w:szCs w:val="24"/>
        </w:rPr>
        <w:t xml:space="preserve">Gracias, Lukas. En síntesis, hemos fundamentado una necesidad real y una propuesta coherente, con una identidad que exige verificar antes de afirmar. Lo que falta demostrar es igual de claro: la vía legal, el ahorro medido y la capacidad de ejecutar. En el próximo avance formularemos la estrategia y los objetivos, incluida la rentabilidad por sobre el costo de capital, y construiremos el Cuadro de Mando Integral. Muchas gracias.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0"/>
        <w:sz w:val="16"/>
        <w:szCs w:val="16"/>
      </w:rPr>
      <w:t xml:space="preserve">Guion · Control 3 · Lumine Motors · página </w:t>
    </w:r>
    <w:r>
      <w:rPr>
        <w:color w:val="5F6B70"/>
        <w:sz w:val="16"/>
        <w:szCs w:val="16"/>
      </w:rPr>
      <w:fldChar w:fldCharType="begin"/>
    </w:r>
    <w:r>
      <w:rPr>
        <w:color w:val="5F6B70"/>
        <w:sz w:val="16"/>
        <w:szCs w:val="16"/>
      </w:rPr>
      <w:instrText xml:space="preserve">PAGE</w:instrText>
    </w:r>
    <w:r>
      <w:rPr>
        <w:color w:val="5F6B70"/>
        <w:sz w:val="16"/>
        <w:szCs w:val="16"/>
      </w:rPr>
      <w:fldChar w:fldCharType="separate"/>
    </w:r>
    <w:r>
      <w:rPr>
        <w:color w:val="5F6B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11111"/>
      <w:sz w:val="44"/>
      <w:szCs w:val="44"/>
    </w:rPr>
  </w:style>
  <w:style w:type="paragraph" w:styleId="Heading1">
    <w:name w:val="Heading 1"/>
    <w:basedOn w:val="Normal"/>
    <w:next w:val="Normal"/>
    <w:qFormat/>
    <w:pPr>
      <w:spacing w:after="120" w:before="120"/>
      <w:outlineLvl w:val="0"/>
    </w:pPr>
    <w:rPr>
      <w:b/>
      <w:bCs/>
      <w:color w:val="0A6F9E"/>
      <w:sz w:val="32"/>
      <w:szCs w:val="32"/>
    </w:rPr>
  </w:style>
  <w:style w:type="paragraph" w:styleId="Heading2">
    <w:name w:val="Heading 2"/>
    <w:basedOn w:val="Normal"/>
    <w:next w:val="Normal"/>
    <w:qFormat/>
    <w:pPr>
      <w:pBdr>
        <w:bottom w:val="single" w:color="C9D3D8" w:sz="4" w:space="4"/>
      </w:pBdr>
      <w:spacing w:after="80" w:before="240"/>
      <w:outlineLvl w:val="1"/>
    </w:pPr>
    <w:rPr>
      <w:b/>
      <w:bCs/>
      <w:color w:val="11111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 Control 3 · Avance 1 del TIG · Lumine Motors</dc:title>
  <dc:creator>Diego Alarcón, Benjamín Torres y Lukas Verdugo</dc:creator>
  <cp:lastModifiedBy>Un-named</cp:lastModifiedBy>
  <cp:revision>1</cp:revision>
  <dcterms:created xsi:type="dcterms:W3CDTF">2026-10-23T00:36:47.524Z</dcterms:created>
  <dcterms:modified xsi:type="dcterms:W3CDTF">2026-10-23T00:36:47.525Z</dcterms:modified>
</cp:coreProperties>
</file>

<file path=docProps/custom.xml><?xml version="1.0" encoding="utf-8"?>
<Properties xmlns="http://schemas.openxmlformats.org/officeDocument/2006/custom-properties" xmlns:vt="http://schemas.openxmlformats.org/officeDocument/2006/docPropsVTypes"/>
</file>