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ES-009</w:t>
        <w:br/>
        <w:t>COMPONENT REGISTRY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Component Registry es el catálogo central del editor. Registra todos los tipos de componentes disponibles, su contrato, inspector asociado, renderizador y reglas de serialización. Ningún componente puede utilizarse sin estar previamente registrado.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Registrar tipos de componentes.</w:t>
      </w:r>
    </w:p>
    <w:p>
      <w:pPr>
        <w:pStyle w:val="ListBullet"/>
      </w:pPr>
      <w:r>
        <w:t>Resolver componentes por identificador.</w:t>
      </w:r>
    </w:p>
    <w:p>
      <w:pPr>
        <w:pStyle w:val="ListBullet"/>
      </w:pPr>
      <w:r>
        <w:t>Instanciar nuevos elementos.</w:t>
      </w:r>
    </w:p>
    <w:p>
      <w:pPr>
        <w:pStyle w:val="ListBullet"/>
      </w:pPr>
      <w:r>
        <w:t>Validar contratos.</w:t>
      </w:r>
    </w:p>
    <w:p>
      <w:pPr>
        <w:pStyle w:val="ListBullet"/>
      </w:pPr>
      <w:r>
        <w:t>Administrar extensiones y plugins.</w:t>
      </w:r>
    </w:p>
    <w:p>
      <w:pPr>
        <w:pStyle w:val="ListBullet"/>
      </w:pPr>
      <w:r>
        <w:t>Proporcionar metadatos al Inspector y Renderer.</w:t>
      </w:r>
    </w:p>
    <w:p>
      <w:pPr>
        <w:pStyle w:val="Heading1"/>
      </w:pPr>
      <w:r>
        <w:t>3. Contrato obligatorio</w:t>
      </w:r>
    </w:p>
    <w:p>
      <w:r>
        <w:rPr>
          <w:sz w:val="21"/>
        </w:rPr>
        <w:t>Todo componente debe definir:</w:t>
        <w:br/>
        <w:t>• id</w:t>
        <w:br/>
        <w:t>• type</w:t>
        <w:br/>
        <w:t>• version</w:t>
        <w:br/>
        <w:t>• displayName</w:t>
        <w:br/>
        <w:t>• icon</w:t>
        <w:br/>
        <w:t>• category</w:t>
        <w:br/>
        <w:t>• defaultProps</w:t>
        <w:br/>
        <w:t>• inspector</w:t>
        <w:br/>
        <w:t>• renderer</w:t>
        <w:br/>
        <w:t>• serializer</w:t>
        <w:br/>
        <w:t>• migrations</w:t>
        <w:br/>
        <w:t>• capabilities</w:t>
      </w:r>
    </w:p>
    <w:p>
      <w:pPr>
        <w:pStyle w:val="Heading1"/>
      </w:pPr>
      <w:r>
        <w:t>4. Ciclo de vida</w:t>
      </w:r>
    </w:p>
    <w:p>
      <w:r>
        <w:rPr>
          <w:sz w:val="21"/>
        </w:rPr>
        <w:t>Registrar</w:t>
        <w:br/>
        <w:t>↓</w:t>
        <w:br/>
        <w:t>Validar</w:t>
        <w:br/>
        <w:t>↓</w:t>
        <w:br/>
        <w:t>Instanciar</w:t>
        <w:br/>
        <w:t>↓</w:t>
        <w:br/>
        <w:t>Editar</w:t>
        <w:br/>
        <w:t>↓</w:t>
        <w:br/>
        <w:t>Serializar</w:t>
        <w:br/>
        <w:t>↓</w:t>
        <w:br/>
        <w:t>Renderizar</w:t>
        <w:br/>
        <w:t>↓</w:t>
        <w:br/>
        <w:t>Publicar</w:t>
        <w:br/>
        <w:t>↓</w:t>
        <w:br/>
        <w:t>Migrar (cuando aplique)</w:t>
        <w:br/>
        <w:t>↓</w:t>
        <w:br/>
        <w:t>Retirar</w:t>
      </w:r>
    </w:p>
    <w:p>
      <w:pPr>
        <w:pStyle w:val="Heading1"/>
      </w:pPr>
      <w:r>
        <w:t>5.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register(definition)</w:t>
            </w:r>
          </w:p>
        </w:tc>
        <w:tc>
          <w:tcPr>
            <w:tcW w:type="dxa" w:w="2160"/>
          </w:tcPr>
          <w:p>
            <w:r>
              <w:t>Definición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Registra un componente</w:t>
            </w:r>
          </w:p>
        </w:tc>
      </w:tr>
      <w:tr>
        <w:tc>
          <w:tcPr>
            <w:tcW w:type="dxa" w:w="2160"/>
          </w:tcPr>
          <w:p>
            <w:r>
              <w:t>create(type)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Instancia</w:t>
            </w:r>
          </w:p>
        </w:tc>
        <w:tc>
          <w:tcPr>
            <w:tcW w:type="dxa" w:w="2160"/>
          </w:tcPr>
          <w:p>
            <w:r>
              <w:t>Crea un elemento</w:t>
            </w:r>
          </w:p>
        </w:tc>
      </w:tr>
      <w:tr>
        <w:tc>
          <w:tcPr>
            <w:tcW w:type="dxa" w:w="2160"/>
          </w:tcPr>
          <w:p>
            <w:r>
              <w:t>get(type)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Definición</w:t>
            </w:r>
          </w:p>
        </w:tc>
        <w:tc>
          <w:tcPr>
            <w:tcW w:type="dxa" w:w="2160"/>
          </w:tcPr>
          <w:p>
            <w:r>
              <w:t>Obtiene el contrato</w:t>
            </w:r>
          </w:p>
        </w:tc>
      </w:tr>
      <w:tr>
        <w:tc>
          <w:tcPr>
            <w:tcW w:type="dxa" w:w="2160"/>
          </w:tcPr>
          <w:p>
            <w:r>
              <w:t>serialize(node)</w:t>
            </w:r>
          </w:p>
        </w:tc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Serializa</w:t>
            </w:r>
          </w:p>
        </w:tc>
      </w:tr>
      <w:tr>
        <w:tc>
          <w:tcPr>
            <w:tcW w:type="dxa" w:w="2160"/>
          </w:tcPr>
          <w:p>
            <w:r>
              <w:t>deserialize(data)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Reconstruye</w:t>
            </w:r>
          </w:p>
        </w:tc>
      </w:tr>
      <w:tr>
        <w:tc>
          <w:tcPr>
            <w:tcW w:type="dxa" w:w="2160"/>
          </w:tcPr>
          <w:p>
            <w:r>
              <w:t>migrate(version)</w:t>
            </w:r>
          </w:p>
        </w:tc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Actualiza contratos</w:t>
            </w:r>
          </w:p>
        </w:tc>
      </w:tr>
    </w:tbl>
    <w:p>
      <w:pPr>
        <w:pStyle w:val="Heading1"/>
      </w:pPr>
      <w:r>
        <w:t>6. Categorías</w:t>
      </w:r>
    </w:p>
    <w:p>
      <w:pPr>
        <w:pStyle w:val="ListBullet"/>
      </w:pPr>
      <w:r>
        <w:t>Texto</w:t>
      </w:r>
    </w:p>
    <w:p>
      <w:pPr>
        <w:pStyle w:val="ListBullet"/>
      </w:pPr>
      <w:r>
        <w:t>Media</w:t>
      </w:r>
    </w:p>
    <w:p>
      <w:pPr>
        <w:pStyle w:val="ListBullet"/>
      </w:pPr>
      <w:r>
        <w:t>Contenedores</w:t>
      </w:r>
    </w:p>
    <w:p>
      <w:pPr>
        <w:pStyle w:val="ListBullet"/>
      </w:pPr>
      <w:r>
        <w:t>Navegación</w:t>
      </w:r>
    </w:p>
    <w:p>
      <w:pPr>
        <w:pStyle w:val="ListBullet"/>
      </w:pPr>
      <w:r>
        <w:t>Mapas</w:t>
      </w:r>
    </w:p>
    <w:p>
      <w:pPr>
        <w:pStyle w:val="ListBullet"/>
      </w:pPr>
      <w:r>
        <w:t>Galerías</w:t>
      </w:r>
    </w:p>
    <w:p>
      <w:pPr>
        <w:pStyle w:val="ListBullet"/>
      </w:pPr>
      <w:r>
        <w:t>Temporizadores</w:t>
      </w:r>
    </w:p>
    <w:p>
      <w:pPr>
        <w:pStyle w:val="ListBullet"/>
      </w:pPr>
      <w:r>
        <w:t>Formularios</w:t>
      </w:r>
    </w:p>
    <w:p>
      <w:pPr>
        <w:pStyle w:val="ListBullet"/>
      </w:pPr>
      <w:r>
        <w:t>Decoración</w:t>
      </w:r>
    </w:p>
    <w:p>
      <w:pPr>
        <w:pStyle w:val="ListBullet"/>
      </w:pPr>
      <w:r>
        <w:t>Componentes compuestos</w:t>
      </w:r>
    </w:p>
    <w:p>
      <w:pPr>
        <w:pStyle w:val="ListBullet"/>
      </w:pPr>
      <w:r>
        <w:t>Componentes de terceros</w:t>
      </w:r>
    </w:p>
    <w:p>
      <w:pPr>
        <w:pStyle w:val="Heading1"/>
      </w:pPr>
      <w:r>
        <w:t>7. Sistema de Plugins</w:t>
      </w:r>
    </w:p>
    <w:p>
      <w:r>
        <w:rPr>
          <w:sz w:val="21"/>
        </w:rPr>
        <w:t>El registro permitirá incorporar componentes externos mediante un manifiesto firmado.</w:t>
        <w:br/>
        <w:t>Cada plugin deberá declarar:</w:t>
        <w:br/>
        <w:t>- Nombre</w:t>
        <w:br/>
        <w:t>- Versión</w:t>
        <w:br/>
        <w:t>- Compatibilidad</w:t>
        <w:br/>
        <w:t>- Componentes incluidos</w:t>
        <w:br/>
        <w:t>- Permisos requeridos</w:t>
        <w:br/>
        <w:t>- Migraciones soportadas</w:t>
      </w:r>
    </w:p>
    <w:p>
      <w:pPr>
        <w:pStyle w:val="Heading1"/>
      </w:pPr>
      <w:r>
        <w:t>8. Compatibilidad</w:t>
      </w:r>
    </w:p>
    <w:p>
      <w:pPr>
        <w:pStyle w:val="ListBullet"/>
      </w:pPr>
      <w:r>
        <w:t>Versionado semántico del componente.</w:t>
      </w:r>
    </w:p>
    <w:p>
      <w:pPr>
        <w:pStyle w:val="ListBullet"/>
      </w:pPr>
      <w:r>
        <w:t>Migraciones automáticas entre versiones.</w:t>
      </w:r>
    </w:p>
    <w:p>
      <w:pPr>
        <w:pStyle w:val="ListBullet"/>
      </w:pPr>
      <w:r>
        <w:t>Detección de contratos incompatibles.</w:t>
      </w:r>
    </w:p>
    <w:p>
      <w:pPr>
        <w:pStyle w:val="ListBullet"/>
      </w:pPr>
      <w:r>
        <w:t>Modo seguro para componentes desconocidos.</w:t>
      </w:r>
    </w:p>
    <w:p>
      <w:pPr>
        <w:pStyle w:val="Heading1"/>
      </w:pPr>
      <w:r>
        <w:t>9. Objetivos</w:t>
      </w:r>
    </w:p>
    <w:p>
      <w:r>
        <w:rPr>
          <w:sz w:val="21"/>
        </w:rPr>
        <w:t>• Registro O(1) por tipo.</w:t>
        <w:br/>
        <w:t>• Resolución rápida por identificador.</w:t>
        <w:br/>
        <w:t>• Sin dependencias directas entre componentes.</w:t>
        <w:br/>
        <w:t>• Preparado para Marketplace.</w:t>
      </w:r>
    </w:p>
    <w:p>
      <w:pPr>
        <w:pStyle w:val="Heading1"/>
      </w:pPr>
      <w:r>
        <w:t>10. Pseudocódigo</w:t>
      </w:r>
    </w:p>
    <w:p>
      <w:r>
        <w:rPr>
          <w:sz w:val="21"/>
        </w:rPr>
        <w:t>definition = registry.get(type)</w:t>
        <w:br/>
        <w:t>node = definition.create()</w:t>
        <w:br/>
        <w:t>inspector.load(definition.inspector)</w:t>
        <w:br/>
        <w:t>renderer.mount(node)</w:t>
        <w:br/>
        <w:t>history.commit(node)</w:t>
      </w:r>
    </w:p>
    <w:p>
      <w:pPr>
        <w:pStyle w:val="Heading1"/>
      </w:pPr>
      <w:r>
        <w:t>11. Checklist</w:t>
      </w:r>
    </w:p>
    <w:p>
      <w:pPr>
        <w:pStyle w:val="ListNumber"/>
      </w:pPr>
      <w:r>
        <w:t>Registro funcional.</w:t>
      </w:r>
    </w:p>
    <w:p>
      <w:pPr>
        <w:pStyle w:val="ListNumber"/>
      </w:pPr>
      <w:r>
        <w:t>Instanciación correcta.</w:t>
      </w:r>
    </w:p>
    <w:p>
      <w:pPr>
        <w:pStyle w:val="ListNumber"/>
      </w:pPr>
      <w:r>
        <w:t>Serialización válida.</w:t>
      </w:r>
    </w:p>
    <w:p>
      <w:pPr>
        <w:pStyle w:val="ListNumber"/>
      </w:pPr>
      <w:r>
        <w:t>Migraciones soportadas.</w:t>
      </w:r>
    </w:p>
    <w:p>
      <w:pPr>
        <w:pStyle w:val="ListNumber"/>
      </w:pPr>
      <w:r>
        <w:t>Plugins compatibles.</w:t>
      </w:r>
    </w:p>
    <w:p>
      <w:pPr>
        <w:pStyle w:val="ListNumber"/>
      </w:pPr>
      <w:r>
        <w:t>Marketplace preparado.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