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SOFTWARE ARCHITECTURE REFERENCE (SAR)</w:t>
        <w:br/>
        <w:t>PARTE 2</w:t>
        <w:br/>
        <w:t>ESTÁNDARES DE IMPLEMENTACIÓN Y GOBIERNO TÉCNICO</w:t>
      </w:r>
    </w:p>
    <w:p>
      <w:pPr>
        <w:pStyle w:val="Heading1"/>
      </w:pPr>
      <w:r>
        <w:t>Objetivo</w:t>
      </w:r>
    </w:p>
    <w:p>
      <w:r>
        <w:rPr>
          <w:sz w:val="22"/>
        </w:rPr>
        <w:t>Definir los estándares oficiales de implementación, revisión y gobierno técnico que deberán seguir todas las futuras contribuciones al proyecto DIRTEC Visual Studio.</w:t>
      </w:r>
    </w:p>
    <w:p>
      <w:pPr>
        <w:pStyle w:val="Heading1"/>
      </w:pPr>
      <w:r>
        <w:t>1. Estructura del proyecto</w:t>
      </w:r>
    </w:p>
    <w:p>
      <w:r>
        <w:rPr>
          <w:sz w:val="22"/>
        </w:rPr>
        <w:t>Toda nueva funcionalidad deberá clasificarse en uno de los siguientes dominios:</w:t>
        <w:br/>
        <w:t>• Dominio (Modelos y reglas de negocio)</w:t>
        <w:br/>
        <w:t>• Aplicación (Views, Services, APIs)</w:t>
        <w:br/>
        <w:t>• Editor (UI, Inspector, Árbol, Historial)</w:t>
        <w:br/>
        <w:t>• Render (Vista Real y publicación)</w:t>
        <w:br/>
        <w:t>• Infraestructura (Storage, despliegue, autenticación)</w:t>
        <w:br/>
        <w:t>• Documentación (SAR, ADR, Roadmap y Changelog)</w:t>
      </w:r>
    </w:p>
    <w:p>
      <w:pPr>
        <w:pStyle w:val="Heading1"/>
      </w:pPr>
      <w:r>
        <w:t>2. Flujo oficial para nuevas funcionalidades</w:t>
      </w:r>
    </w:p>
    <w:p>
      <w:pPr>
        <w:pStyle w:val="ListNumber"/>
      </w:pPr>
      <w:r>
        <w:t>1. Registrar la necesidad.</w:t>
      </w:r>
    </w:p>
    <w:p>
      <w:pPr>
        <w:pStyle w:val="ListNumber"/>
      </w:pPr>
      <w:r>
        <w:t>2. Crear o actualizar un ADR.</w:t>
      </w:r>
    </w:p>
    <w:p>
      <w:pPr>
        <w:pStyle w:val="ListNumber"/>
      </w:pPr>
      <w:r>
        <w:t>3. Diseñar la solución técnica.</w:t>
      </w:r>
    </w:p>
    <w:p>
      <w:pPr>
        <w:pStyle w:val="ListNumber"/>
      </w:pPr>
      <w:r>
        <w:t>4. Implementar en una rama de trabajo.</w:t>
      </w:r>
    </w:p>
    <w:p>
      <w:pPr>
        <w:pStyle w:val="ListNumber"/>
      </w:pPr>
      <w:r>
        <w:t>5. Ejecutar pruebas funcionales.</w:t>
      </w:r>
    </w:p>
    <w:p>
      <w:pPr>
        <w:pStyle w:val="ListNumber"/>
      </w:pPr>
      <w:r>
        <w:t>6. Actualizar documentación.</w:t>
      </w:r>
    </w:p>
    <w:p>
      <w:pPr>
        <w:pStyle w:val="ListNumber"/>
      </w:pPr>
      <w:r>
        <w:t>7. Integrar mediante revisión de código.</w:t>
      </w:r>
    </w:p>
    <w:p>
      <w:pPr>
        <w:pStyle w:val="Heading1"/>
      </w:pPr>
      <w:r>
        <w:t>3. Estándares de revisión de código</w:t>
      </w:r>
    </w:p>
    <w:p>
      <w:pPr>
        <w:pStyle w:val="ListBullet"/>
      </w:pPr>
      <w:r>
        <w:t>Responsabilidad única por módulo.</w:t>
      </w:r>
    </w:p>
    <w:p>
      <w:pPr>
        <w:pStyle w:val="ListBullet"/>
      </w:pPr>
      <w:r>
        <w:t>Sin duplicación de lógica.</w:t>
      </w:r>
    </w:p>
    <w:p>
      <w:pPr>
        <w:pStyle w:val="ListBullet"/>
      </w:pPr>
      <w:r>
        <w:t>Sin dependencias circulares.</w:t>
      </w:r>
    </w:p>
    <w:p>
      <w:pPr>
        <w:pStyle w:val="ListBullet"/>
      </w:pPr>
      <w:r>
        <w:t>Compatibilidad con Vista Real.</w:t>
      </w:r>
    </w:p>
    <w:p>
      <w:pPr>
        <w:pStyle w:val="ListBullet"/>
      </w:pPr>
      <w:r>
        <w:t>Pruebas actualizadas.</w:t>
      </w:r>
    </w:p>
    <w:p>
      <w:pPr>
        <w:pStyle w:val="ListBullet"/>
      </w:pPr>
      <w:r>
        <w:t>Documentación sincronizada.</w:t>
      </w:r>
    </w:p>
    <w:p>
      <w:pPr>
        <w:pStyle w:val="ListBullet"/>
      </w:pPr>
      <w:r>
        <w:t>Respeto al contrato del Documento Universal.</w:t>
      </w:r>
    </w:p>
    <w:p>
      <w:pPr>
        <w:pStyle w:val="Heading1"/>
      </w:pPr>
      <w:r>
        <w:t>4. Convenciones</w:t>
      </w:r>
    </w:p>
    <w:p>
      <w:r>
        <w:rPr>
          <w:sz w:val="22"/>
        </w:rPr>
        <w:t>Backend:</w:t>
        <w:br/>
        <w:t>- Favorecer servicios para lógica reutilizable.</w:t>
        <w:br/>
        <w:t>- Mantener modelos centrados en el dominio.</w:t>
        <w:br/>
        <w:br/>
        <w:t>Frontend:</w:t>
        <w:br/>
        <w:t>- Evitar archivos monolíticos.</w:t>
        <w:br/>
        <w:t>- Modularizar por motores.</w:t>
        <w:br/>
        <w:t>- Reutilizar componentes.</w:t>
        <w:br/>
        <w:br/>
        <w:t>Documentación:</w:t>
        <w:br/>
        <w:t>- Cada fase genera un changelog.</w:t>
        <w:br/>
        <w:t>- Toda decisión relevante queda registrada como ADR.</w:t>
      </w:r>
    </w:p>
    <w:p>
      <w:pPr>
        <w:pStyle w:val="Heading1"/>
      </w:pPr>
      <w:r>
        <w:t>5. Gestión de versiones</w:t>
      </w:r>
    </w:p>
    <w:p>
      <w:r>
        <w:rPr>
          <w:sz w:val="22"/>
        </w:rPr>
        <w:t>Versiones de desarrollo:</w:t>
        <w:br/>
        <w:t>v0.x = evolución interna</w:t>
        <w:br/>
        <w:t>v1.0 = primera versión estable</w:t>
        <w:br/>
        <w:t>Cada versión importante deberá incluir:</w:t>
        <w:br/>
        <w:t>• Notas de versión</w:t>
        <w:br/>
        <w:t>• Checklist de pruebas</w:t>
        <w:br/>
        <w:t>• ADR asociados</w:t>
        <w:br/>
        <w:t>• Actualización del SAR</w:t>
      </w:r>
    </w:p>
    <w:p>
      <w:pPr>
        <w:pStyle w:val="Heading1"/>
      </w:pPr>
      <w:r>
        <w:t>6. Hoja de ruta técnica</w:t>
      </w:r>
    </w:p>
    <w:p>
      <w:r>
        <w:rPr>
          <w:sz w:val="22"/>
        </w:rPr>
        <w:t>Fase 3.5: Consolidación del editor.</w:t>
        <w:br/>
        <w:t>Fase 4: Component Engine.</w:t>
        <w:br/>
        <w:t>Fase 5: Marketplace y APIs.</w:t>
        <w:br/>
        <w:t>Fase 6: Colaboración en tiempo real.</w:t>
        <w:br/>
        <w:t>Fase 7: Ecosistema de documentos visuales.</w:t>
      </w:r>
    </w:p>
    <w:p>
      <w:pPr>
        <w:pStyle w:val="Heading1"/>
      </w:pPr>
      <w:r>
        <w:t>Conclusión</w:t>
      </w:r>
    </w:p>
    <w:p>
      <w:r>
        <w:rPr>
          <w:sz w:val="22"/>
        </w:rPr>
        <w:t>Este documento formaliza el gobierno técnico del proyecto. Su propósito es mantener una arquitectura coherente, facilitar la incorporación de nuevos desarrolladores y asegurar que la evolución del producto siga principios consistentes.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