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DIRTEC VISUAL STUDIO</w:t>
        <w:br/>
        <w:t>TOMO II – BACKEND ARCHITECTURE</w:t>
        <w:br/>
        <w:t>PARTE 2</w:t>
        <w:br/>
        <w:t>MODELO DE DOMINIO Y ENTIDADES</w:t>
      </w:r>
    </w:p>
    <w:p>
      <w:pPr>
        <w:pStyle w:val="Heading1"/>
      </w:pPr>
      <w:r>
        <w:t>Introducción</w:t>
      </w:r>
    </w:p>
    <w:p>
      <w:r>
        <w:rPr>
          <w:sz w:val="22"/>
        </w:rPr>
        <w:t>Este documento describe el modelo de dominio del backend y establece las responsabilidades de cada entidad para mantener una arquitectura limpia y escalable.</w:t>
      </w:r>
    </w:p>
    <w:p>
      <w:pPr>
        <w:pStyle w:val="Heading1"/>
      </w:pPr>
      <w:r>
        <w:t>1. Modelo de dominio</w:t>
      </w:r>
    </w:p>
    <w:p>
      <w:r>
        <w:rPr>
          <w:sz w:val="22"/>
        </w:rPr>
        <w:t>El backend se organiza alrededor del concepto de Evento. Sobre él se construyen el diseño visual, las secciones, los componentes, los assets y el sistema de publicación. La separación entre datos del evento y presentación es uno de los objetivos principales de la evolución del proyecto.</w:t>
      </w:r>
    </w:p>
    <w:p>
      <w:pPr>
        <w:pStyle w:val="Heading1"/>
      </w:pPr>
      <w:r>
        <w:t>2. Responsabilidad de las entidades</w:t>
      </w:r>
    </w:p>
    <w:p>
      <w:pPr>
        <w:pStyle w:val="Heading2"/>
      </w:pPr>
      <w:r>
        <w:t>EventoBoda</w:t>
      </w:r>
    </w:p>
    <w:p>
      <w:r>
        <w:rPr>
          <w:sz w:val="22"/>
        </w:rPr>
        <w:t>Representa el evento y concentra información de negocio: fechas, lugares, enlaces, configuración general y relaciones con invitados y recursos.</w:t>
      </w:r>
    </w:p>
    <w:p>
      <w:pPr>
        <w:pStyle w:val="Heading2"/>
      </w:pPr>
      <w:r>
        <w:t>DisenoInvitacion</w:t>
      </w:r>
    </w:p>
    <w:p>
      <w:r>
        <w:rPr>
          <w:sz w:val="22"/>
        </w:rPr>
        <w:t>Define el documento editable asociado al evento. Debe convertirse en el punto central del editor visual.</w:t>
      </w:r>
    </w:p>
    <w:p>
      <w:pPr>
        <w:pStyle w:val="Heading2"/>
      </w:pPr>
      <w:r>
        <w:t>SeccionInvitacion</w:t>
      </w:r>
    </w:p>
    <w:p>
      <w:r>
        <w:rPr>
          <w:sz w:val="22"/>
        </w:rPr>
        <w:t>Representa una sección reutilizable del documento (portada, detalles, menú, RSVP, etc.).</w:t>
      </w:r>
    </w:p>
    <w:p>
      <w:pPr>
        <w:pStyle w:val="Heading2"/>
      </w:pPr>
      <w:r>
        <w:t>ComponenteInvitacion</w:t>
      </w:r>
    </w:p>
    <w:p>
      <w:r>
        <w:rPr>
          <w:sz w:val="22"/>
        </w:rPr>
        <w:t>Elemento persistente creado por el usuario. Debe evolucionar hacia un componente universal.</w:t>
      </w:r>
    </w:p>
    <w:p>
      <w:pPr>
        <w:pStyle w:val="Heading2"/>
      </w:pPr>
      <w:r>
        <w:t>AssetInvitacion</w:t>
      </w:r>
    </w:p>
    <w:p>
      <w:r>
        <w:rPr>
          <w:sz w:val="22"/>
        </w:rPr>
        <w:t>Biblioteca de recursos reutilizables (imágenes, videos y otros activos).</w:t>
      </w:r>
    </w:p>
    <w:p>
      <w:pPr>
        <w:pStyle w:val="Heading2"/>
      </w:pPr>
      <w:r>
        <w:t>VersionDiseno</w:t>
      </w:r>
    </w:p>
    <w:p>
      <w:r>
        <w:rPr>
          <w:sz w:val="22"/>
        </w:rPr>
        <w:t>Historial del documento para restauración y publicación.</w:t>
      </w:r>
    </w:p>
    <w:p>
      <w:pPr>
        <w:pStyle w:val="Heading1"/>
      </w:pPr>
      <w:r>
        <w:t>3. Relaciones conceptuales</w:t>
      </w:r>
    </w:p>
    <w:p>
      <w:r>
        <w:rPr>
          <w:sz w:val="22"/>
        </w:rPr>
        <w:t>Evento</w:t>
        <w:br/>
        <w:t>└── Diseño</w:t>
        <w:br/>
        <w:t xml:space="preserve">    ├── Secciones</w:t>
        <w:br/>
        <w:t xml:space="preserve">    │   └── Componentes</w:t>
        <w:br/>
        <w:t xml:space="preserve">    ├── Assets</w:t>
        <w:br/>
        <w:t xml:space="preserve">    └── Versiones</w:t>
        <w:br/>
        <w:br/>
        <w:t>Esta estructura evita acoplar la presentación directamente al modelo del evento y facilita la reutilización de plantillas.</w:t>
      </w:r>
    </w:p>
    <w:p>
      <w:pPr>
        <w:pStyle w:val="Heading1"/>
      </w:pPr>
      <w:r>
        <w:t>4. Evolución recomendada</w:t>
      </w:r>
    </w:p>
    <w:p>
      <w:pPr>
        <w:pStyle w:val="ListBullet"/>
      </w:pPr>
      <w:r>
        <w:t>Reducir gradualmente las propiedades visuales almacenadas en EventoBoda.</w:t>
      </w:r>
    </w:p>
    <w:p>
      <w:pPr>
        <w:pStyle w:val="ListBullet"/>
      </w:pPr>
      <w:r>
        <w:t>Migrar la configuración visual hacia SeccionInvitacion.editor_config.</w:t>
      </w:r>
    </w:p>
    <w:p>
      <w:pPr>
        <w:pStyle w:val="ListBullet"/>
      </w:pPr>
      <w:r>
        <w:t>Unificar Componentes, Capas y Native Elements mediante un modelo interno común.</w:t>
      </w:r>
    </w:p>
    <w:p>
      <w:pPr>
        <w:pStyle w:val="ListBullet"/>
      </w:pPr>
      <w:r>
        <w:t>Preparar el modelo para soportar nuevos tipos de documentos sin cambios estructurales.</w:t>
      </w:r>
    </w:p>
    <w:p>
      <w:pPr>
        <w:pStyle w:val="Heading1"/>
      </w:pPr>
      <w:r>
        <w:t>5. Reglas de diseño</w:t>
      </w:r>
    </w:p>
    <w:p>
      <w:pPr>
        <w:pStyle w:val="ListNumber"/>
      </w:pPr>
      <w:r>
        <w:t>Una entidad debe tener una responsabilidad principal.</w:t>
      </w:r>
    </w:p>
    <w:p>
      <w:pPr>
        <w:pStyle w:val="ListNumber"/>
      </w:pPr>
      <w:r>
        <w:t>Los modelos de negocio no deben contener lógica de presentación.</w:t>
      </w:r>
    </w:p>
    <w:p>
      <w:pPr>
        <w:pStyle w:val="ListNumber"/>
      </w:pPr>
      <w:r>
        <w:t>El editor consumirá configuraciones, no HTML rígido.</w:t>
      </w:r>
    </w:p>
    <w:p>
      <w:pPr>
        <w:pStyle w:val="ListNumber"/>
      </w:pPr>
      <w:r>
        <w:t>Las relaciones deben favorecer la reutilización y el versionado.</w:t>
      </w:r>
    </w:p>
    <w:p>
      <w:pPr>
        <w:pStyle w:val="ListNumber"/>
      </w:pPr>
      <w:r>
        <w:t>Todo cambio estructural deberá documentarse mediante ADR.</w:t>
      </w:r>
    </w:p>
    <w:p>
      <w:pPr>
        <w:pStyle w:val="Heading1"/>
      </w:pPr>
      <w:r>
        <w:t>6. Preparación para los siguientes capítulos</w:t>
      </w:r>
    </w:p>
    <w:p>
      <w:r>
        <w:rPr>
          <w:sz w:val="22"/>
        </w:rPr>
        <w:t>Las siguientes partes documentarán en detalle las vistas, rutas, permisos, publicación, versionado y pruebas del backend. Cada componente será acompañado por diagramas y recomendaciones de evolución.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