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DIRTEC VISUAL STUDIO</w:t>
        <w:br/>
        <w:t>TOMO I – PRODUCT VISION &amp; SOFTWARE ARCHITECTURE</w:t>
        <w:br/>
        <w:t>PARTE 3</w:t>
        <w:br/>
        <w:t>AUDITORÍA MAESTRA Y PLAN DE CONSOLIDACIÓN</w:t>
      </w:r>
    </w:p>
    <w:p>
      <w:pPr>
        <w:pStyle w:val="Heading1"/>
      </w:pPr>
      <w:r>
        <w:t>Introducción</w:t>
      </w:r>
    </w:p>
    <w:p>
      <w:r>
        <w:rPr>
          <w:sz w:val="22"/>
        </w:rPr>
        <w:t>Esta tercera parte reúne las conclusiones de la auditoría técnica realizada sobre la arquitectura actual de DIRTEC Visual Studio. El objetivo es establecer una línea base estable antes de iniciar la Fase 3.5 y posteriormente el DIRTEC Component Engine.</w:t>
      </w:r>
    </w:p>
    <w:p>
      <w:pPr>
        <w:pStyle w:val="Heading1"/>
      </w:pPr>
      <w:r>
        <w:t>1. Alcance de la auditoría</w:t>
      </w:r>
    </w:p>
    <w:p>
      <w:r>
        <w:rPr>
          <w:sz w:val="22"/>
        </w:rPr>
        <w:t>Se revisaron:</w:t>
        <w:br/>
        <w:t>• Modelos Django.</w:t>
        <w:br/>
        <w:t>• Migraciones.</w:t>
        <w:br/>
        <w:t>• Vistas y URLs.</w:t>
        <w:br/>
        <w:t>• Editor visual.</w:t>
        <w:br/>
        <w:t>• Vista pública.</w:t>
        <w:br/>
        <w:t>• CSS del editor y de la invitación.</w:t>
        <w:br/>
        <w:t>• JavaScript del editor y runtime.</w:t>
        <w:br/>
        <w:t>• Partials reutilizables.</w:t>
        <w:br/>
        <w:t>• Sistema de componentes.</w:t>
        <w:br/>
        <w:t>• Native Elements.</w:t>
        <w:br/>
        <w:t>• Capas personalizadas.</w:t>
        <w:br/>
        <w:t>• Versionado.</w:t>
        <w:br/>
        <w:t>• Publicación.</w:t>
        <w:br/>
        <w:t>• Permisos.</w:t>
        <w:br/>
        <w:t>• Pruebas automatizadas.</w:t>
      </w:r>
    </w:p>
    <w:p>
      <w:pPr>
        <w:pStyle w:val="Heading1"/>
      </w:pPr>
      <w:r>
        <w:t>2. Fortalezas</w:t>
      </w:r>
    </w:p>
    <w:p>
      <w:pPr>
        <w:pStyle w:val="ListBullet"/>
      </w:pPr>
      <w:r>
        <w:t>Arquitectura modular con separación entre datos, diseño, componentes y publicación.</w:t>
      </w:r>
    </w:p>
    <w:p>
      <w:pPr>
        <w:pStyle w:val="ListBullet"/>
      </w:pPr>
      <w:r>
        <w:t>Uso consistente de partials reutilizables.</w:t>
      </w:r>
    </w:p>
    <w:p>
      <w:pPr>
        <w:pStyle w:val="ListBullet"/>
      </w:pPr>
      <w:r>
        <w:t>Vista Real integrada mediante iframe como representación fiel del documento.</w:t>
      </w:r>
    </w:p>
    <w:p>
      <w:pPr>
        <w:pStyle w:val="ListBullet"/>
      </w:pPr>
      <w:r>
        <w:t>Sistema de versiones, assets y componentes con potencial SaaS.</w:t>
      </w:r>
    </w:p>
    <w:p>
      <w:pPr>
        <w:pStyle w:val="ListBullet"/>
      </w:pPr>
      <w:r>
        <w:t>Base multiempresa y control de permisos.</w:t>
      </w:r>
    </w:p>
    <w:p>
      <w:pPr>
        <w:pStyle w:val="ListBullet"/>
      </w:pPr>
      <w:r>
        <w:t>Proyecto documentado y versionado.</w:t>
      </w:r>
    </w:p>
    <w:p>
      <w:pPr>
        <w:pStyle w:val="Heading1"/>
      </w:pPr>
      <w:r>
        <w:t>3. Deuda técnica priorizada</w:t>
      </w:r>
    </w:p>
    <w:tbl>
      <w:tblPr>
        <w:tblW w:type="auto" w:w="0"/>
        <w:tblLook w:firstColumn="1" w:firstRow="1" w:lastColumn="0" w:lastRow="0" w:noHBand="0" w:noVBand="1" w:val="04A0"/>
      </w:tblPr>
      <w:tblGrid>
        <w:gridCol w:w="2160"/>
        <w:gridCol w:w="2160"/>
        <w:gridCol w:w="2160"/>
        <w:gridCol w:w="2160"/>
      </w:tblGrid>
      <w:tr>
        <w:tc>
          <w:tcPr>
            <w:tcW w:type="dxa" w:w="2160"/>
          </w:tcPr>
          <w:p>
            <w:r>
              <w:t>Prioridad</w:t>
            </w:r>
          </w:p>
        </w:tc>
        <w:tc>
          <w:tcPr>
            <w:tcW w:type="dxa" w:w="2160"/>
          </w:tcPr>
          <w:p>
            <w:r>
              <w:t>Área</w:t>
            </w:r>
          </w:p>
        </w:tc>
        <w:tc>
          <w:tcPr>
            <w:tcW w:type="dxa" w:w="2160"/>
          </w:tcPr>
          <w:p>
            <w:r>
              <w:t>Problema</w:t>
            </w:r>
          </w:p>
        </w:tc>
        <w:tc>
          <w:tcPr>
            <w:tcW w:type="dxa" w:w="2160"/>
          </w:tcPr>
          <w:p>
            <w:r>
              <w:t>Acción</w:t>
            </w:r>
          </w:p>
        </w:tc>
      </w:tr>
      <w:tr>
        <w:tc>
          <w:tcPr>
            <w:tcW w:type="dxa" w:w="2160"/>
          </w:tcPr>
          <w:p>
            <w:r>
              <w:t>Crítica</w:t>
            </w:r>
          </w:p>
        </w:tc>
        <w:tc>
          <w:tcPr>
            <w:tcW w:type="dxa" w:w="2160"/>
          </w:tcPr>
          <w:p>
            <w:r>
              <w:t>Render</w:t>
            </w:r>
          </w:p>
        </w:tc>
        <w:tc>
          <w:tcPr>
            <w:tcW w:type="dxa" w:w="2160"/>
          </w:tcPr>
          <w:p>
            <w:r>
              <w:t>Diseño Rápido y Vista Real duplican responsabilidades</w:t>
            </w:r>
          </w:p>
        </w:tc>
        <w:tc>
          <w:tcPr>
            <w:tcW w:type="dxa" w:w="2160"/>
          </w:tcPr>
          <w:p>
            <w:r>
              <w:t>Eliminar Diseño Rápido</w:t>
            </w:r>
          </w:p>
        </w:tc>
      </w:tr>
      <w:tr>
        <w:tc>
          <w:tcPr>
            <w:tcW w:type="dxa" w:w="2160"/>
          </w:tcPr>
          <w:p>
            <w:r>
              <w:t>Alta</w:t>
            </w:r>
          </w:p>
        </w:tc>
        <w:tc>
          <w:tcPr>
            <w:tcW w:type="dxa" w:w="2160"/>
          </w:tcPr>
          <w:p>
            <w:r>
              <w:t>Editor</w:t>
            </w:r>
          </w:p>
        </w:tc>
        <w:tc>
          <w:tcPr>
            <w:tcW w:type="dxa" w:w="2160"/>
          </w:tcPr>
          <w:p>
            <w:r>
              <w:t>editor_invitacion.js concentra demasiada lógica</w:t>
            </w:r>
          </w:p>
        </w:tc>
        <w:tc>
          <w:tcPr>
            <w:tcW w:type="dxa" w:w="2160"/>
          </w:tcPr>
          <w:p>
            <w:r>
              <w:t>Modularizar por dominios</w:t>
            </w:r>
          </w:p>
        </w:tc>
      </w:tr>
      <w:tr>
        <w:tc>
          <w:tcPr>
            <w:tcW w:type="dxa" w:w="2160"/>
          </w:tcPr>
          <w:p>
            <w:r>
              <w:t>Alta</w:t>
            </w:r>
          </w:p>
        </w:tc>
        <w:tc>
          <w:tcPr>
            <w:tcW w:type="dxa" w:w="2160"/>
          </w:tcPr>
          <w:p>
            <w:r>
              <w:t>Modelo</w:t>
            </w:r>
          </w:p>
        </w:tc>
        <w:tc>
          <w:tcPr>
            <w:tcW w:type="dxa" w:w="2160"/>
          </w:tcPr>
          <w:p>
            <w:r>
              <w:t>Native Elements, Capas y Componentes coexisten</w:t>
            </w:r>
          </w:p>
        </w:tc>
        <w:tc>
          <w:tcPr>
            <w:tcW w:type="dxa" w:w="2160"/>
          </w:tcPr>
          <w:p>
            <w:r>
              <w:t>Unificar modelo de Elemento</w:t>
            </w:r>
          </w:p>
        </w:tc>
      </w:tr>
      <w:tr>
        <w:tc>
          <w:tcPr>
            <w:tcW w:type="dxa" w:w="2160"/>
          </w:tcPr>
          <w:p>
            <w:r>
              <w:t>Media</w:t>
            </w:r>
          </w:p>
        </w:tc>
        <w:tc>
          <w:tcPr>
            <w:tcW w:type="dxa" w:w="2160"/>
          </w:tcPr>
          <w:p>
            <w:r>
              <w:t>Presentación</w:t>
            </w:r>
          </w:p>
        </w:tc>
        <w:tc>
          <w:tcPr>
            <w:tcW w:type="dxa" w:w="2160"/>
          </w:tcPr>
          <w:p>
            <w:r>
              <w:t>Algunas secciones dependen aún de EventoBoda</w:t>
            </w:r>
          </w:p>
        </w:tc>
        <w:tc>
          <w:tcPr>
            <w:tcW w:type="dxa" w:w="2160"/>
          </w:tcPr>
          <w:p>
            <w:r>
              <w:t>Migrar a SeccionInvitacion/editor_config</w:t>
            </w:r>
          </w:p>
        </w:tc>
      </w:tr>
      <w:tr>
        <w:tc>
          <w:tcPr>
            <w:tcW w:type="dxa" w:w="2160"/>
          </w:tcPr>
          <w:p>
            <w:r>
              <w:t>Media</w:t>
            </w:r>
          </w:p>
        </w:tc>
        <w:tc>
          <w:tcPr>
            <w:tcW w:type="dxa" w:w="2160"/>
          </w:tcPr>
          <w:p>
            <w:r>
              <w:t>CSS</w:t>
            </w:r>
          </w:p>
        </w:tc>
        <w:tc>
          <w:tcPr>
            <w:tcW w:type="dxa" w:w="2160"/>
          </w:tcPr>
          <w:p>
            <w:r>
              <w:t>Reglas repetidas y overrides</w:t>
            </w:r>
          </w:p>
        </w:tc>
        <w:tc>
          <w:tcPr>
            <w:tcW w:type="dxa" w:w="2160"/>
          </w:tcPr>
          <w:p>
            <w:r>
              <w:t>Consolidar estilos</w:t>
            </w:r>
          </w:p>
        </w:tc>
      </w:tr>
    </w:tbl>
    <w:p>
      <w:pPr>
        <w:pStyle w:val="Heading1"/>
      </w:pPr>
      <w:r>
        <w:t>4. Architecture Decision Records iniciales</w:t>
      </w:r>
    </w:p>
    <w:p>
      <w:pPr>
        <w:pStyle w:val="Heading2"/>
      </w:pPr>
      <w:r>
        <w:t>ADR-001 – Eliminar Diseño Rápido</w:t>
      </w:r>
    </w:p>
    <w:p>
      <w:r>
        <w:rPr>
          <w:sz w:val="22"/>
        </w:rPr>
        <w:t>Reducir duplicidad y convertir la Vista Real en la única fuente de verdad.</w:t>
      </w:r>
    </w:p>
    <w:p>
      <w:pPr>
        <w:pStyle w:val="Heading2"/>
      </w:pPr>
      <w:r>
        <w:t>ADR-002 – Vista Real editable</w:t>
      </w:r>
    </w:p>
    <w:p>
      <w:r>
        <w:rPr>
          <w:sz w:val="22"/>
        </w:rPr>
        <w:t>Todo cambio debe reflejar inmediatamente el resultado publicado.</w:t>
      </w:r>
    </w:p>
    <w:p>
      <w:pPr>
        <w:pStyle w:val="Heading2"/>
      </w:pPr>
      <w:r>
        <w:t>ADR-003 – Modelo Universal de Elemento</w:t>
      </w:r>
    </w:p>
    <w:p>
      <w:r>
        <w:rPr>
          <w:sz w:val="22"/>
        </w:rPr>
        <w:t>Unificar Native Elements, Capas y Componentes.</w:t>
      </w:r>
    </w:p>
    <w:p>
      <w:pPr>
        <w:pStyle w:val="Heading2"/>
      </w:pPr>
      <w:r>
        <w:t>ADR-004 – Inspector Contextual</w:t>
      </w:r>
    </w:p>
    <w:p>
      <w:r>
        <w:rPr>
          <w:sz w:val="22"/>
        </w:rPr>
        <w:t>Mostrar únicamente propiedades relevantes al elemento seleccionado.</w:t>
      </w:r>
    </w:p>
    <w:p>
      <w:pPr>
        <w:pStyle w:val="Heading2"/>
      </w:pPr>
      <w:r>
        <w:t>ADR-005 – Component Engine</w:t>
      </w:r>
    </w:p>
    <w:p>
      <w:r>
        <w:rPr>
          <w:sz w:val="22"/>
        </w:rPr>
        <w:t>Toda funcionalidad nueva se implementará mediante componentes reutilizables.</w:t>
      </w:r>
    </w:p>
    <w:p>
      <w:pPr>
        <w:pStyle w:val="Heading1"/>
      </w:pPr>
      <w:r>
        <w:t>5. Plan de ejecución de la Fase 3.5</w:t>
      </w:r>
    </w:p>
    <w:p>
      <w:pPr>
        <w:pStyle w:val="ListNumber"/>
      </w:pPr>
      <w:r>
        <w:t>1. Desactivar y retirar Diseño Rápido.</w:t>
      </w:r>
    </w:p>
    <w:p>
      <w:pPr>
        <w:pStyle w:val="ListNumber"/>
      </w:pPr>
      <w:r>
        <w:t>2. Validar Vista Real como único lienzo.</w:t>
      </w:r>
    </w:p>
    <w:p>
      <w:pPr>
        <w:pStyle w:val="ListNumber"/>
      </w:pPr>
      <w:r>
        <w:t>3. Modularizar editor_invitacion.js.</w:t>
      </w:r>
    </w:p>
    <w:p>
      <w:pPr>
        <w:pStyle w:val="ListNumber"/>
      </w:pPr>
      <w:r>
        <w:t>4. Unificar el árbol universal de elementos.</w:t>
      </w:r>
    </w:p>
    <w:p>
      <w:pPr>
        <w:pStyle w:val="ListNumber"/>
      </w:pPr>
      <w:r>
        <w:t>5. Convertir el inspector en contextual.</w:t>
      </w:r>
    </w:p>
    <w:p>
      <w:pPr>
        <w:pStyle w:val="ListNumber"/>
      </w:pPr>
      <w:r>
        <w:t>6. Limpiar CSS y dependencias obsoletas.</w:t>
      </w:r>
    </w:p>
    <w:p>
      <w:pPr>
        <w:pStyle w:val="ListNumber"/>
      </w:pPr>
      <w:r>
        <w:t>7. Actualizar documentación y crear checkpoint Git.</w:t>
      </w:r>
    </w:p>
    <w:p>
      <w:pPr>
        <w:pStyle w:val="Heading1"/>
      </w:pPr>
      <w:r>
        <w:t>6. Criterios para iniciar la Fase 4</w:t>
      </w:r>
    </w:p>
    <w:p>
      <w:r>
        <w:rPr>
          <w:sz w:val="22"/>
        </w:rPr>
        <w:t>La Fase 4 comenzará únicamente cuando:</w:t>
        <w:br/>
        <w:t>• Exista una sola representación visual.</w:t>
        <w:br/>
        <w:t>• El árbol universal sea estable.</w:t>
        <w:br/>
        <w:t>• El inspector contextual funcione.</w:t>
        <w:br/>
        <w:t>• Las pruebas de edición, publicación y Vista Real sean satisfactorias.</w:t>
        <w:br/>
        <w:t>• La documentación esté actualizada.</w:t>
      </w:r>
    </w:p>
    <w:p>
      <w:pPr>
        <w:pStyle w:val="Heading1"/>
      </w:pPr>
      <w:r>
        <w:t>Conclusión</w:t>
      </w:r>
    </w:p>
    <w:p>
      <w:r>
        <w:rPr>
          <w:sz w:val="22"/>
        </w:rPr>
        <w:t>La auditoría confirma que DIRTEC Visual Studio posee una base arquitectónica robusta y un alto potencial de escalabilidad. La prioridad inmediata no es añadir funciones aisladas, sino consolidar el núcleo del editor para garantizar una evolución sostenible hacia un constructor visual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