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ENGINEERING SPECIFICATION</w:t>
        <w:br/>
        <w:t>ES-010</w:t>
        <w:br/>
        <w:t>UNIVERSAL DOCUMENT FORMAT</w:t>
        <w:br/>
        <w:t>DIRTEC VISUAL STUDIO</w:t>
      </w:r>
    </w:p>
    <w:p>
      <w:pPr>
        <w:pStyle w:val="Heading1"/>
      </w:pPr>
      <w:r>
        <w:t>1. Propósito</w:t>
      </w:r>
    </w:p>
    <w:p>
      <w:r>
        <w:rPr>
          <w:sz w:val="21"/>
        </w:rPr>
        <w:t>Definir el formato oficial del Documento Universal utilizado por DIRTEC Visual Studio. Este contrato será la fuente única de verdad para el editor, el renderizado, el versionado y la publicación.</w:t>
      </w:r>
    </w:p>
    <w:p>
      <w:pPr>
        <w:pStyle w:val="Heading1"/>
      </w:pPr>
      <w:r>
        <w:t>2. Principios</w:t>
      </w:r>
    </w:p>
    <w:p>
      <w:pPr>
        <w:pStyle w:val="ListBullet"/>
      </w:pPr>
      <w:r>
        <w:t>Un solo documento para edición y publicación.</w:t>
      </w:r>
    </w:p>
    <w:p>
      <w:pPr>
        <w:pStyle w:val="ListBullet"/>
      </w:pPr>
      <w:r>
        <w:t>Independencia del HTML.</w:t>
      </w:r>
    </w:p>
    <w:p>
      <w:pPr>
        <w:pStyle w:val="ListBullet"/>
      </w:pPr>
      <w:r>
        <w:t>Serialización determinista.</w:t>
      </w:r>
    </w:p>
    <w:p>
      <w:pPr>
        <w:pStyle w:val="ListBullet"/>
      </w:pPr>
      <w:r>
        <w:t>Compatibilidad entre versiones.</w:t>
      </w:r>
    </w:p>
    <w:p>
      <w:pPr>
        <w:pStyle w:val="ListBullet"/>
      </w:pPr>
      <w:r>
        <w:t>Extensibilidad mediante componentes registrados.</w:t>
      </w:r>
    </w:p>
    <w:p>
      <w:pPr>
        <w:pStyle w:val="Heading1"/>
      </w:pPr>
      <w:r>
        <w:t>3. Jerarquía</w:t>
      </w:r>
    </w:p>
    <w:p>
      <w:r>
        <w:rPr>
          <w:sz w:val="21"/>
        </w:rPr>
        <w:t>Document</w:t>
        <w:br/>
        <w:t>├── metadata</w:t>
        <w:br/>
        <w:t>├── theme</w:t>
        <w:br/>
        <w:t>├── assets</w:t>
        <w:br/>
        <w:t>├── sections</w:t>
        <w:br/>
        <w:t>│   ├── containers</w:t>
        <w:br/>
        <w:t>│   │   └── elements</w:t>
        <w:br/>
        <w:t>├── responsive</w:t>
        <w:br/>
        <w:t>├── variables</w:t>
        <w:br/>
        <w:t>└── version</w:t>
      </w:r>
    </w:p>
    <w:p>
      <w:pPr>
        <w:pStyle w:val="Heading1"/>
      </w:pPr>
      <w:r>
        <w:t>4. Contratos</w:t>
      </w:r>
    </w:p>
    <w:p>
      <w:pPr>
        <w:pStyle w:val="Heading2"/>
      </w:pPr>
      <w:r>
        <w:t>Document</w:t>
      </w:r>
    </w:p>
    <w:p>
      <w:r>
        <w:rPr>
          <w:sz w:val="21"/>
        </w:rPr>
        <w:t>id, version, metadata, theme, assets[], sections[], historyRef</w:t>
      </w:r>
    </w:p>
    <w:p>
      <w:pPr>
        <w:pStyle w:val="Heading2"/>
      </w:pPr>
      <w:r>
        <w:t>Section</w:t>
      </w:r>
    </w:p>
    <w:p>
      <w:r>
        <w:rPr>
          <w:sz w:val="21"/>
        </w:rPr>
        <w:t>id, type, order, visible, layout, containers[]</w:t>
      </w:r>
    </w:p>
    <w:p>
      <w:pPr>
        <w:pStyle w:val="Heading2"/>
      </w:pPr>
      <w:r>
        <w:t>Container</w:t>
      </w:r>
    </w:p>
    <w:p>
      <w:r>
        <w:rPr>
          <w:sz w:val="21"/>
        </w:rPr>
        <w:t>id, layout, constraints, style, elements[]</w:t>
      </w:r>
    </w:p>
    <w:p>
      <w:pPr>
        <w:pStyle w:val="Heading2"/>
      </w:pPr>
      <w:r>
        <w:t>Element</w:t>
      </w:r>
    </w:p>
    <w:p>
      <w:r>
        <w:rPr>
          <w:sz w:val="21"/>
        </w:rPr>
        <w:t>id, type, props, style, responsive, bindings, events</w:t>
      </w:r>
    </w:p>
    <w:p>
      <w:pPr>
        <w:pStyle w:val="Heading1"/>
      </w:pPr>
      <w:r>
        <w:t>5. Serialización</w:t>
      </w:r>
    </w:p>
    <w:p>
      <w:r>
        <w:rPr>
          <w:sz w:val="21"/>
        </w:rPr>
        <w:t>Formato base: JSON</w:t>
        <w:br/>
        <w:br/>
        <w:t>Requisitos:</w:t>
        <w:br/>
        <w:t>• Orden estable de claves.</w:t>
        <w:br/>
        <w:t>• Identificadores persistentes.</w:t>
        <w:br/>
        <w:t>• Sin referencias circulares.</w:t>
        <w:br/>
        <w:t>• Compatible con importación/exportación.</w:t>
        <w:br/>
        <w:t>• Validable mediante esquema.</w:t>
      </w:r>
    </w:p>
    <w:p>
      <w:pPr>
        <w:pStyle w:val="Heading1"/>
      </w:pPr>
      <w:r>
        <w:t>6. Versionado del documento</w:t>
      </w:r>
    </w:p>
    <w:p>
      <w:r>
        <w:rPr>
          <w:sz w:val="21"/>
        </w:rPr>
        <w:t>Cada documento incluirá:</w:t>
        <w:br/>
        <w:t>• schemaVersion</w:t>
        <w:br/>
        <w:t>• documentVersion</w:t>
        <w:br/>
        <w:t>• createdAt</w:t>
        <w:br/>
        <w:t>• updatedAt</w:t>
        <w:br/>
        <w:t>• migrationHistory</w:t>
        <w:br/>
        <w:br/>
        <w:t>Las migraciones deberán ser automáticas cuando exista compatibilidad.</w:t>
      </w:r>
    </w:p>
    <w:p>
      <w:pPr>
        <w:pStyle w:val="Heading1"/>
      </w:pPr>
      <w:r>
        <w:t>7. Validaciones</w:t>
      </w:r>
    </w:p>
    <w:p>
      <w:pPr>
        <w:pStyle w:val="ListBullet"/>
      </w:pPr>
      <w:r>
        <w:t>Identificadores únicos.</w:t>
      </w:r>
    </w:p>
    <w:p>
      <w:pPr>
        <w:pStyle w:val="ListBullet"/>
      </w:pPr>
      <w:r>
        <w:t>Referencias válidas a assets.</w:t>
      </w:r>
    </w:p>
    <w:p>
      <w:pPr>
        <w:pStyle w:val="ListBullet"/>
      </w:pPr>
      <w:r>
        <w:t>Componentes registrados.</w:t>
      </w:r>
    </w:p>
    <w:p>
      <w:pPr>
        <w:pStyle w:val="ListBullet"/>
      </w:pPr>
      <w:r>
        <w:t>Jerarquía consistente.</w:t>
      </w:r>
    </w:p>
    <w:p>
      <w:pPr>
        <w:pStyle w:val="ListBullet"/>
      </w:pPr>
      <w:r>
        <w:t>Contrato compatible con schemaVersion.</w:t>
      </w:r>
    </w:p>
    <w:p>
      <w:pPr>
        <w:pStyle w:val="Heading1"/>
      </w:pPr>
      <w:r>
        <w:t>8. Integración con motores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Motor</w:t>
            </w:r>
          </w:p>
        </w:tc>
        <w:tc>
          <w:tcPr>
            <w:tcW w:type="dxa" w:w="4320"/>
          </w:tcPr>
          <w:p>
            <w:r>
              <w:t>Uso del Documento</w:t>
            </w:r>
          </w:p>
        </w:tc>
      </w:tr>
      <w:tr>
        <w:tc>
          <w:tcPr>
            <w:tcW w:type="dxa" w:w="4320"/>
          </w:tcPr>
          <w:p>
            <w:r>
              <w:t>Selection</w:t>
            </w:r>
          </w:p>
        </w:tc>
        <w:tc>
          <w:tcPr>
            <w:tcW w:type="dxa" w:w="4320"/>
          </w:tcPr>
          <w:p>
            <w:r>
              <w:t>Lee IDs y estado</w:t>
            </w:r>
          </w:p>
        </w:tc>
      </w:tr>
      <w:tr>
        <w:tc>
          <w:tcPr>
            <w:tcW w:type="dxa" w:w="4320"/>
          </w:tcPr>
          <w:p>
            <w:r>
              <w:t>Inspector</w:t>
            </w:r>
          </w:p>
        </w:tc>
        <w:tc>
          <w:tcPr>
            <w:tcW w:type="dxa" w:w="4320"/>
          </w:tcPr>
          <w:p>
            <w:r>
              <w:t>Edita propiedades</w:t>
            </w:r>
          </w:p>
        </w:tc>
      </w:tr>
      <w:tr>
        <w:tc>
          <w:tcPr>
            <w:tcW w:type="dxa" w:w="4320"/>
          </w:tcPr>
          <w:p>
            <w:r>
              <w:t>Renderer</w:t>
            </w:r>
          </w:p>
        </w:tc>
        <w:tc>
          <w:tcPr>
            <w:tcW w:type="dxa" w:w="4320"/>
          </w:tcPr>
          <w:p>
            <w:r>
              <w:t>Genera Vista Real</w:t>
            </w:r>
          </w:p>
        </w:tc>
      </w:tr>
      <w:tr>
        <w:tc>
          <w:tcPr>
            <w:tcW w:type="dxa" w:w="4320"/>
          </w:tcPr>
          <w:p>
            <w:r>
              <w:t>Layout</w:t>
            </w:r>
          </w:p>
        </w:tc>
        <w:tc>
          <w:tcPr>
            <w:tcW w:type="dxa" w:w="4320"/>
          </w:tcPr>
          <w:p>
            <w:r>
              <w:t>Calcula geometría</w:t>
            </w:r>
          </w:p>
        </w:tc>
      </w:tr>
      <w:tr>
        <w:tc>
          <w:tcPr>
            <w:tcW w:type="dxa" w:w="4320"/>
          </w:tcPr>
          <w:p>
            <w:r>
              <w:t>Responsive</w:t>
            </w:r>
          </w:p>
        </w:tc>
        <w:tc>
          <w:tcPr>
            <w:tcW w:type="dxa" w:w="4320"/>
          </w:tcPr>
          <w:p>
            <w:r>
              <w:t>Resuelve overrides</w:t>
            </w:r>
          </w:p>
        </w:tc>
      </w:tr>
      <w:tr>
        <w:tc>
          <w:tcPr>
            <w:tcW w:type="dxa" w:w="4320"/>
          </w:tcPr>
          <w:p>
            <w:r>
              <w:t>History</w:t>
            </w:r>
          </w:p>
        </w:tc>
        <w:tc>
          <w:tcPr>
            <w:tcW w:type="dxa" w:w="4320"/>
          </w:tcPr>
          <w:p>
            <w:r>
              <w:t>Registra cambios</w:t>
            </w:r>
          </w:p>
        </w:tc>
      </w:tr>
      <w:tr>
        <w:tc>
          <w:tcPr>
            <w:tcW w:type="dxa" w:w="4320"/>
          </w:tcPr>
          <w:p>
            <w:r>
              <w:t>Assets</w:t>
            </w:r>
          </w:p>
        </w:tc>
        <w:tc>
          <w:tcPr>
            <w:tcW w:type="dxa" w:w="4320"/>
          </w:tcPr>
          <w:p>
            <w:r>
              <w:t>Resuelve referencias</w:t>
            </w:r>
          </w:p>
        </w:tc>
      </w:tr>
      <w:tr>
        <w:tc>
          <w:tcPr>
            <w:tcW w:type="dxa" w:w="4320"/>
          </w:tcPr>
          <w:p>
            <w:r>
              <w:t>Publish</w:t>
            </w:r>
          </w:p>
        </w:tc>
        <w:tc>
          <w:tcPr>
            <w:tcW w:type="dxa" w:w="4320"/>
          </w:tcPr>
          <w:p>
            <w:r>
              <w:t>Genera versión pública</w:t>
            </w:r>
          </w:p>
        </w:tc>
      </w:tr>
      <w:tr>
        <w:tc>
          <w:tcPr>
            <w:tcW w:type="dxa" w:w="4320"/>
          </w:tcPr>
          <w:p>
            <w:r>
              <w:t>Registry</w:t>
            </w:r>
          </w:p>
        </w:tc>
        <w:tc>
          <w:tcPr>
            <w:tcW w:type="dxa" w:w="4320"/>
          </w:tcPr>
          <w:p>
            <w:r>
              <w:t>Valida componentes</w:t>
            </w:r>
          </w:p>
        </w:tc>
      </w:tr>
    </w:tbl>
    <w:p>
      <w:pPr>
        <w:pStyle w:val="Heading1"/>
      </w:pPr>
      <w:r>
        <w:t>9. Compatibilidad</w:t>
      </w:r>
    </w:p>
    <w:p>
      <w:r>
        <w:rPr>
          <w:sz w:val="21"/>
        </w:rPr>
        <w:t>El formato deberá soportar:</w:t>
        <w:br/>
        <w:t>• Importación de plantillas.</w:t>
        <w:br/>
        <w:t>• Exportación del documento completo.</w:t>
        <w:br/>
        <w:t>• Evolución mediante schemaVersion.</w:t>
        <w:br/>
        <w:t>• Backward compatibility cuando sea posible.</w:t>
      </w:r>
    </w:p>
    <w:p>
      <w:pPr>
        <w:pStyle w:val="Heading1"/>
      </w:pPr>
      <w:r>
        <w:t>10. Pseudocódigo</w:t>
      </w:r>
    </w:p>
    <w:p>
      <w:r>
        <w:rPr>
          <w:sz w:val="21"/>
        </w:rPr>
        <w:t>document = load()</w:t>
        <w:br/>
        <w:t>validate(document)</w:t>
        <w:br/>
        <w:t>migrate(document)</w:t>
        <w:br/>
        <w:t>renderer.render(document)</w:t>
        <w:br/>
        <w:t>publish(document)</w:t>
      </w:r>
    </w:p>
    <w:p>
      <w:pPr>
        <w:pStyle w:val="Heading1"/>
      </w:pPr>
      <w:r>
        <w:t>11. Checklist</w:t>
      </w:r>
    </w:p>
    <w:p>
      <w:pPr>
        <w:pStyle w:val="ListNumber"/>
      </w:pPr>
      <w:r>
        <w:t>Contrato válido.</w:t>
      </w:r>
    </w:p>
    <w:p>
      <w:pPr>
        <w:pStyle w:val="ListNumber"/>
      </w:pPr>
      <w:r>
        <w:t>JSON serializable.</w:t>
      </w:r>
    </w:p>
    <w:p>
      <w:pPr>
        <w:pStyle w:val="ListNumber"/>
      </w:pPr>
      <w:r>
        <w:t>Migraciones soportadas.</w:t>
      </w:r>
    </w:p>
    <w:p>
      <w:pPr>
        <w:pStyle w:val="ListNumber"/>
      </w:pPr>
      <w:r>
        <w:t>Assets resueltos.</w:t>
      </w:r>
    </w:p>
    <w:p>
      <w:pPr>
        <w:pStyle w:val="ListNumber"/>
      </w:pPr>
      <w:r>
        <w:t>Componentes registrados.</w:t>
      </w:r>
    </w:p>
    <w:p>
      <w:pPr>
        <w:pStyle w:val="ListNumber"/>
      </w:pPr>
      <w:r>
        <w:t>Publicación consistente.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