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DIRTEC VISUAL STUDIO</w:t>
        <w:br/>
        <w:t>SOFTWARE ARCHITECTURE REFERENCE (SAR)</w:t>
        <w:br/>
        <w:t>PARTE 1</w:t>
        <w:br/>
        <w:t>ARQUITECTURA DE REFERENCIA</w:t>
      </w:r>
    </w:p>
    <w:p>
      <w:pPr>
        <w:pStyle w:val="Heading1"/>
      </w:pPr>
      <w:r>
        <w:t>Propósito</w:t>
      </w:r>
    </w:p>
    <w:p>
      <w:r>
        <w:rPr>
          <w:sz w:val="22"/>
        </w:rPr>
        <w:t>El Software Architecture Reference (SAR) es el documento rector de ingeniería de DIRTEC Visual Studio. Define los principios arquitectónicos, las reglas de diseño, las capas del sistema y las convenciones que deberán respetarse durante toda la evolución del producto.</w:t>
      </w:r>
    </w:p>
    <w:p>
      <w:pPr>
        <w:pStyle w:val="Heading1"/>
      </w:pPr>
      <w:r>
        <w:t>1. Objetivos Arquitectónicos</w:t>
      </w:r>
    </w:p>
    <w:p>
      <w:pPr>
        <w:pStyle w:val="ListBullet"/>
      </w:pPr>
      <w:r>
        <w:t>Escalabilidad sin reescribir el núcleo.</w:t>
      </w:r>
    </w:p>
    <w:p>
      <w:pPr>
        <w:pStyle w:val="ListBullet"/>
      </w:pPr>
      <w:r>
        <w:t>Desacoplamiento entre negocio, presentación y edición.</w:t>
      </w:r>
    </w:p>
    <w:p>
      <w:pPr>
        <w:pStyle w:val="ListBullet"/>
      </w:pPr>
      <w:r>
        <w:t>Un único documento editable como fuente de verdad.</w:t>
      </w:r>
    </w:p>
    <w:p>
      <w:pPr>
        <w:pStyle w:val="ListBullet"/>
      </w:pPr>
      <w:r>
        <w:t>Reutilización de componentes entre proyectos.</w:t>
      </w:r>
    </w:p>
    <w:p>
      <w:pPr>
        <w:pStyle w:val="ListBullet"/>
      </w:pPr>
      <w:r>
        <w:t>Compatibilidad con nuevos tipos de eventos y documentos.</w:t>
      </w:r>
    </w:p>
    <w:p>
      <w:pPr>
        <w:pStyle w:val="Heading1"/>
      </w:pPr>
      <w:r>
        <w:t>2. Capas del Sistema</w:t>
      </w:r>
    </w:p>
    <w:p>
      <w:r>
        <w:rPr>
          <w:sz w:val="22"/>
        </w:rPr>
        <w:t>Presentación</w:t>
        <w:br/>
        <w:t>│  ├─ Editor Visual</w:t>
        <w:br/>
        <w:t>│  └─ Vista Pública</w:t>
        <w:br/>
        <w:br/>
        <w:t>Aplicación</w:t>
        <w:br/>
        <w:t>│  ├─ Views</w:t>
        <w:br/>
        <w:t>│  ├─ Services</w:t>
        <w:br/>
        <w:t>│  └─ Publish</w:t>
        <w:br/>
        <w:br/>
        <w:t>Dominio</w:t>
        <w:br/>
        <w:t>│  ├─ Evento</w:t>
        <w:br/>
        <w:t>│  ├─ Diseño</w:t>
        <w:br/>
        <w:t>│  ├─ Secciones</w:t>
        <w:br/>
        <w:t>│  ├─ Componentes</w:t>
        <w:br/>
        <w:t>│  └─ Versiones</w:t>
        <w:br/>
        <w:br/>
        <w:t>Infraestructura</w:t>
        <w:br/>
        <w:t>│  ├─ Base de datos</w:t>
        <w:br/>
        <w:t>│  ├─ Media</w:t>
        <w:br/>
        <w:t>│  ├─ Static</w:t>
        <w:br/>
        <w:t>│  └─ Despliegue</w:t>
        <w:br/>
      </w:r>
    </w:p>
    <w:p>
      <w:pPr>
        <w:pStyle w:val="Heading1"/>
      </w:pPr>
      <w:r>
        <w:t>3. Principios Oficiales</w:t>
      </w:r>
    </w:p>
    <w:p>
      <w:pPr>
        <w:pStyle w:val="ListNumber"/>
      </w:pPr>
      <w:r>
        <w:t>Una responsabilidad por módulo.</w:t>
      </w:r>
    </w:p>
    <w:p>
      <w:pPr>
        <w:pStyle w:val="ListNumber"/>
      </w:pPr>
      <w:r>
        <w:t>Una fuente de verdad para el documento.</w:t>
      </w:r>
    </w:p>
    <w:p>
      <w:pPr>
        <w:pStyle w:val="ListNumber"/>
      </w:pPr>
      <w:r>
        <w:t>Las dependencias apuntan hacia el dominio.</w:t>
      </w:r>
    </w:p>
    <w:p>
      <w:pPr>
        <w:pStyle w:val="ListNumber"/>
      </w:pPr>
      <w:r>
        <w:t>Todo componente debe ser reutilizable.</w:t>
      </w:r>
    </w:p>
    <w:p>
      <w:pPr>
        <w:pStyle w:val="ListNumber"/>
      </w:pPr>
      <w:r>
        <w:t>Todo cambio importante requiere ADR y pruebas.</w:t>
      </w:r>
    </w:p>
    <w:p>
      <w:pPr>
        <w:pStyle w:val="ListNumber"/>
      </w:pPr>
      <w:r>
        <w:t>El código nuevo debe ser documentado.</w:t>
      </w:r>
    </w:p>
    <w:p>
      <w:pPr>
        <w:pStyle w:val="Heading1"/>
      </w:pPr>
      <w:r>
        <w:t>4. Convenciones de Desarrollo</w:t>
      </w:r>
    </w:p>
    <w:p>
      <w:r>
        <w:rPr>
          <w:sz w:val="22"/>
        </w:rPr>
        <w:t>Backend:</w:t>
        <w:br/>
        <w:t>- Separar lógica de negocio en servicios cuando sea apropiado.</w:t>
        <w:br/>
        <w:t>- Mantener modelos enfocados en el dominio.</w:t>
        <w:br/>
        <w:br/>
        <w:t>Frontend:</w:t>
        <w:br/>
        <w:t>- Evitar archivos monolíticos.</w:t>
        <w:br/>
        <w:t>- Organizar el editor por motores especializados.</w:t>
        <w:br/>
        <w:t>- Centralizar variables y estilos.</w:t>
        <w:br/>
        <w:br/>
        <w:t>Documentación:</w:t>
        <w:br/>
        <w:t>- Actualizar SAR y changelog al finalizar cada fase.</w:t>
        <w:br/>
        <w:t>- Mantener ADR para decisiones relevantes.</w:t>
      </w:r>
    </w:p>
    <w:p>
      <w:pPr>
        <w:pStyle w:val="Heading1"/>
      </w:pPr>
      <w:r>
        <w:t>5. Flujo Oficial del Sistema</w:t>
      </w:r>
    </w:p>
    <w:p>
      <w:r>
        <w:rPr>
          <w:sz w:val="22"/>
        </w:rPr>
        <w:t>Usuario</w:t>
        <w:br/>
        <w:t>↓</w:t>
        <w:br/>
        <w:t>Editor Visual</w:t>
        <w:br/>
        <w:t>↓</w:t>
        <w:br/>
        <w:t>Documento Universal</w:t>
        <w:br/>
        <w:t>↓</w:t>
        <w:br/>
        <w:t>Persistencia</w:t>
        <w:br/>
        <w:t>↓</w:t>
        <w:br/>
        <w:t>Versionado</w:t>
        <w:br/>
        <w:t>↓</w:t>
        <w:br/>
        <w:t>Render Engine</w:t>
        <w:br/>
        <w:t>↓</w:t>
        <w:br/>
        <w:t>Vista Pública</w:t>
        <w:br/>
        <w:t>↓</w:t>
        <w:br/>
        <w:t>Invitado</w:t>
      </w:r>
    </w:p>
    <w:p>
      <w:pPr>
        <w:pStyle w:val="Heading1"/>
      </w:pPr>
      <w:r>
        <w:t>6. Estándares de Calidad</w:t>
      </w:r>
    </w:p>
    <w:p>
      <w:pPr>
        <w:pStyle w:val="ListBullet"/>
      </w:pPr>
      <w:r>
        <w:t>Pruebas antes de publicar.</w:t>
      </w:r>
    </w:p>
    <w:p>
      <w:pPr>
        <w:pStyle w:val="ListBullet"/>
      </w:pPr>
      <w:r>
        <w:t>Documentación sincronizada con el código.</w:t>
      </w:r>
    </w:p>
    <w:p>
      <w:pPr>
        <w:pStyle w:val="ListBullet"/>
      </w:pPr>
      <w:r>
        <w:t>Sin duplicación funcional.</w:t>
      </w:r>
    </w:p>
    <w:p>
      <w:pPr>
        <w:pStyle w:val="ListBullet"/>
      </w:pPr>
      <w:r>
        <w:t>Compatibilidad con responsive.</w:t>
      </w:r>
    </w:p>
    <w:p>
      <w:pPr>
        <w:pStyle w:val="ListBullet"/>
      </w:pPr>
      <w:r>
        <w:t>Preparación para APIs y marketplace.</w:t>
      </w:r>
    </w:p>
    <w:p>
      <w:pPr>
        <w:pStyle w:val="Heading1"/>
      </w:pPr>
      <w:r>
        <w:t>7. Roadmap Técnico</w:t>
      </w:r>
    </w:p>
    <w:p>
      <w:r>
        <w:rPr>
          <w:sz w:val="22"/>
        </w:rPr>
        <w:t>Corto plazo:</w:t>
        <w:br/>
        <w:t>• Consolidación Fase 3.5.</w:t>
        <w:br/>
        <w:br/>
        <w:t>Mediano plazo:</w:t>
        <w:br/>
        <w:t>• Component Engine.</w:t>
        <w:br/>
        <w:t>• Marketplace.</w:t>
        <w:br/>
        <w:t>• APIs públicas.</w:t>
        <w:br/>
        <w:br/>
        <w:t>Largo plazo:</w:t>
        <w:br/>
        <w:t>• Colaboración en tiempo real.</w:t>
        <w:br/>
        <w:t>• Ecosistema de documentos visuales.</w:t>
        <w:br/>
        <w:t>• Plataforma SaaS completa.</w:t>
      </w:r>
    </w:p>
    <w:p>
      <w:pPr>
        <w:pStyle w:val="Heading1"/>
      </w:pPr>
      <w:r>
        <w:t>Conclusión</w:t>
      </w:r>
    </w:p>
    <w:p>
      <w:r>
        <w:rPr>
          <w:sz w:val="22"/>
        </w:rPr>
        <w:t>Este documento será la referencia arquitectónica oficial del proyecto. Toda modificación relevante deberá evaluarse respecto a estos principios antes de ser incorporada al código.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