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II – BACKEND ARCHITECTURE</w:t>
        <w:br/>
        <w:t>PARTE 1</w:t>
      </w:r>
    </w:p>
    <w:p>
      <w:pPr>
        <w:pStyle w:val="Heading1"/>
      </w:pPr>
      <w:r>
        <w:t>Objetivo</w:t>
      </w:r>
    </w:p>
    <w:p>
      <w:r>
        <w:rPr>
          <w:sz w:val="22"/>
        </w:rPr>
        <w:t>Documentar la arquitectura del backend de DIRTEC Visual Studio como base oficial para su evolución. Este tomo se apoya en la auditoría realizada sobre los modelos, vistas, rutas, permisos, migraciones y pruebas del proyecto.</w:t>
      </w:r>
    </w:p>
    <w:p>
      <w:pPr>
        <w:pStyle w:val="Heading1"/>
      </w:pPr>
      <w:r>
        <w:t>1. Filosofía del Backend</w:t>
      </w:r>
    </w:p>
    <w:p>
      <w:r>
        <w:rPr>
          <w:sz w:val="22"/>
        </w:rPr>
        <w:t>El backend no debe limitarse a servir páginas HTML. Su función es actuar como la capa de dominio del producto, garantizando integridad, aislamiento entre empresas, versionado, publicación y persistencia del editor visual.</w:t>
      </w:r>
    </w:p>
    <w:p>
      <w:pPr>
        <w:pStyle w:val="Heading1"/>
      </w:pPr>
      <w:r>
        <w:t>2. Capas del Backend</w:t>
      </w:r>
    </w:p>
    <w:p>
      <w:pPr>
        <w:pStyle w:val="Heading2"/>
      </w:pPr>
      <w:r>
        <w:t>Dominio</w:t>
      </w:r>
    </w:p>
    <w:p>
      <w:r>
        <w:rPr>
          <w:sz w:val="22"/>
        </w:rPr>
        <w:t>Modelos que representan eventos, diseños, secciones, componentes, assets y versiones.</w:t>
      </w:r>
    </w:p>
    <w:p>
      <w:pPr>
        <w:pStyle w:val="Heading2"/>
      </w:pPr>
      <w:r>
        <w:t>Aplicación</w:t>
      </w:r>
    </w:p>
    <w:p>
      <w:r>
        <w:rPr>
          <w:sz w:val="22"/>
        </w:rPr>
        <w:t>Views, formularios, servicios y lógica de negocio.</w:t>
      </w:r>
    </w:p>
    <w:p>
      <w:pPr>
        <w:pStyle w:val="Heading2"/>
      </w:pPr>
      <w:r>
        <w:t>Infraestructura</w:t>
      </w:r>
    </w:p>
    <w:p>
      <w:r>
        <w:rPr>
          <w:sz w:val="22"/>
        </w:rPr>
        <w:t>Persistencia, archivos, autenticación, permisos y despliegue.</w:t>
      </w:r>
    </w:p>
    <w:p>
      <w:pPr>
        <w:pStyle w:val="Heading2"/>
      </w:pPr>
      <w:r>
        <w:t>Presentación</w:t>
      </w:r>
    </w:p>
    <w:p>
      <w:r>
        <w:rPr>
          <w:sz w:val="22"/>
        </w:rPr>
        <w:t>Templates y endpoints consumidos por el editor y la Vista Real.</w:t>
      </w:r>
    </w:p>
    <w:p>
      <w:pPr>
        <w:pStyle w:val="Heading1"/>
      </w:pPr>
      <w:r>
        <w:t>3. Modelo conceptual</w:t>
      </w:r>
    </w:p>
    <w:p>
      <w:r>
        <w:rPr>
          <w:sz w:val="22"/>
        </w:rPr>
        <w:t>Evento</w:t>
        <w:br/>
        <w:t xml:space="preserve"> ├── Diseño</w:t>
        <w:br/>
        <w:t xml:space="preserve"> │    ├── Secciones</w:t>
        <w:br/>
        <w:t xml:space="preserve"> │    ├── Componentes</w:t>
        <w:br/>
        <w:t xml:space="preserve"> │    ├── Assets</w:t>
        <w:br/>
        <w:t xml:space="preserve"> │    └── Versiones</w:t>
        <w:br/>
        <w:t xml:space="preserve"> ├── Invitados</w:t>
        <w:br/>
        <w:t xml:space="preserve"> ├── Confirmaciones</w:t>
        <w:br/>
        <w:t xml:space="preserve"> ├── Proveedores</w:t>
        <w:br/>
        <w:t xml:space="preserve"> └── Configuración</w:t>
      </w:r>
    </w:p>
    <w:p>
      <w:pPr>
        <w:pStyle w:val="Heading1"/>
      </w:pPr>
      <w:r>
        <w:t>4. Observaciones de la auditoría</w:t>
      </w:r>
    </w:p>
    <w:p>
      <w:pPr>
        <w:pStyle w:val="ListBullet"/>
      </w:pPr>
      <w:r>
        <w:t>Separación creciente entre datos del evento y presentación.</w:t>
      </w:r>
    </w:p>
    <w:p>
      <w:pPr>
        <w:pStyle w:val="ListBullet"/>
      </w:pPr>
      <w:r>
        <w:t>Existencia de entidades específicas para diseño y componentes.</w:t>
      </w:r>
    </w:p>
    <w:p>
      <w:pPr>
        <w:pStyle w:val="ListBullet"/>
      </w:pPr>
      <w:r>
        <w:t>Base adecuada para versionado y publicación.</w:t>
      </w:r>
    </w:p>
    <w:p>
      <w:pPr>
        <w:pStyle w:val="ListBullet"/>
      </w:pPr>
      <w:r>
        <w:t>Modelo preparado para arquitectura multiempresa.</w:t>
      </w:r>
    </w:p>
    <w:p>
      <w:pPr>
        <w:pStyle w:val="ListBullet"/>
      </w:pPr>
      <w:r>
        <w:t>Algunas propiedades visuales aún residen en EventoBoda y deberán migrarse gradualmente.</w:t>
      </w:r>
    </w:p>
    <w:p>
      <w:pPr>
        <w:pStyle w:val="Heading1"/>
      </w:pPr>
      <w:r>
        <w:t>5. Flujo del backend</w:t>
      </w:r>
    </w:p>
    <w:p>
      <w:r>
        <w:rPr>
          <w:sz w:val="22"/>
        </w:rPr>
        <w:t>Editor</w:t>
        <w:br/>
        <w:t>↓</w:t>
        <w:br/>
        <w:t>Solicitud HTTP</w:t>
        <w:br/>
        <w:t>↓</w:t>
        <w:br/>
        <w:t>Views</w:t>
        <w:br/>
        <w:t>↓</w:t>
        <w:br/>
        <w:t>Validación</w:t>
        <w:br/>
        <w:t>↓</w:t>
        <w:br/>
        <w:t>Modelos</w:t>
        <w:br/>
        <w:t>↓</w:t>
        <w:br/>
        <w:t>Persistencia</w:t>
        <w:br/>
        <w:t>↓</w:t>
        <w:br/>
        <w:t>Versionado</w:t>
        <w:br/>
        <w:t>↓</w:t>
        <w:br/>
        <w:t>Publicación</w:t>
        <w:br/>
        <w:t>↓</w:t>
        <w:br/>
        <w:t>Vista Real</w:t>
      </w:r>
    </w:p>
    <w:p>
      <w:pPr>
        <w:pStyle w:val="Heading1"/>
      </w:pPr>
      <w:r>
        <w:t>6. Permisos</w:t>
      </w:r>
    </w:p>
    <w:p>
      <w:r>
        <w:rPr>
          <w:sz w:val="22"/>
        </w:rPr>
        <w:t>La auditoría confirma la necesidad de mantener un aislamiento estricto:</w:t>
        <w:br/>
        <w:t>DIRTEC (superadministración)</w:t>
        <w:br/>
        <w:t>→ Empresa</w:t>
        <w:br/>
        <w:t>→ Wedding Planner</w:t>
        <w:br/>
        <w:t>→ Cliente/Invitado</w:t>
        <w:br/>
        <w:br/>
        <w:t>Cada nivel debe acceder únicamente a los recursos que le pertenecen.</w:t>
      </w:r>
    </w:p>
    <w:p>
      <w:pPr>
        <w:pStyle w:val="Heading1"/>
      </w:pPr>
      <w:r>
        <w:t>7. Recomendaciones</w:t>
      </w:r>
    </w:p>
    <w:p>
      <w:pPr>
        <w:pStyle w:val="ListNumber"/>
      </w:pPr>
      <w:r>
        <w:t>Extraer la lógica de negocio compleja hacia servicios.</w:t>
      </w:r>
    </w:p>
    <w:p>
      <w:pPr>
        <w:pStyle w:val="ListNumber"/>
      </w:pPr>
      <w:r>
        <w:t>Reducir dependencias directas entre presentación y EventoBoda.</w:t>
      </w:r>
    </w:p>
    <w:p>
      <w:pPr>
        <w:pStyle w:val="ListNumber"/>
      </w:pPr>
      <w:r>
        <w:t>Continuar fortaleciendo pruebas automatizadas.</w:t>
      </w:r>
    </w:p>
    <w:p>
      <w:pPr>
        <w:pStyle w:val="ListNumber"/>
      </w:pPr>
      <w:r>
        <w:t>Documentar todos los endpoints públicos y privados.</w:t>
      </w:r>
    </w:p>
    <w:p>
      <w:pPr>
        <w:pStyle w:val="ListNumber"/>
      </w:pPr>
      <w:r>
        <w:t>Preparar el backend para APIs reutilizables por futuras aplicaciones.</w:t>
      </w:r>
    </w:p>
    <w:p>
      <w:pPr>
        <w:pStyle w:val="Heading1"/>
      </w:pPr>
      <w:r>
        <w:t>8. Próximos capítulos</w:t>
      </w:r>
    </w:p>
    <w:p>
      <w:r>
        <w:rPr>
          <w:sz w:val="22"/>
        </w:rPr>
        <w:t>Las siguientes partes del Tomo II documentarán en detalle:</w:t>
        <w:br/>
        <w:t>• Modelos.</w:t>
        <w:br/>
        <w:t>• Relaciones.</w:t>
        <w:br/>
        <w:t>• Migraciones.</w:t>
        <w:br/>
        <w:t>• Views.</w:t>
        <w:br/>
        <w:t>• URLs.</w:t>
        <w:br/>
        <w:t>• Sistema de publicación.</w:t>
        <w:br/>
        <w:t>• Versionado.</w:t>
        <w:br/>
        <w:t>• Estrategia multiempresa.</w:t>
        <w:br/>
        <w:t>• Checklist técnico del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