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43E8" w14:textId="5312AF7A" w:rsidR="00EF66E9" w:rsidRPr="00083B91" w:rsidRDefault="00C15787">
      <w:pPr>
        <w:rPr>
          <w:rFonts w:ascii="Times New Roman" w:eastAsia="Times New Roman" w:hAnsi="Times New Roman" w:cs="Times New Roman"/>
          <w:b/>
          <w:bCs/>
          <w:color w:val="1F1F1F"/>
          <w:sz w:val="24"/>
          <w:szCs w:val="24"/>
          <w:lang w:eastAsia="es-CO"/>
        </w:rPr>
      </w:pPr>
      <w:r w:rsidRPr="00083B91">
        <w:rPr>
          <w:rFonts w:ascii="Times New Roman" w:eastAsia="Times New Roman" w:hAnsi="Times New Roman" w:cs="Times New Roman"/>
          <w:b/>
          <w:bCs/>
          <w:color w:val="1F1F1F"/>
          <w:sz w:val="24"/>
          <w:szCs w:val="24"/>
          <w:lang w:eastAsia="es-CO"/>
        </w:rPr>
        <w:t>Documentación Dashborad Frescura Cerve</w:t>
      </w:r>
      <w:r w:rsidR="00D42638">
        <w:rPr>
          <w:rFonts w:ascii="Times New Roman" w:eastAsia="Times New Roman" w:hAnsi="Times New Roman" w:cs="Times New Roman"/>
          <w:b/>
          <w:bCs/>
          <w:color w:val="1F1F1F"/>
          <w:sz w:val="24"/>
          <w:szCs w:val="24"/>
          <w:lang w:eastAsia="es-CO"/>
        </w:rPr>
        <w:t>cera</w:t>
      </w:r>
    </w:p>
    <w:p w14:paraId="39E0B068" w14:textId="01312C5B" w:rsidR="00C15787" w:rsidRDefault="00C15787" w:rsidP="00C15787">
      <w:pPr>
        <w:jc w:val="both"/>
        <w:rPr>
          <w:rFonts w:ascii="Times New Roman" w:eastAsia="Times New Roman" w:hAnsi="Times New Roman" w:cs="Times New Roman"/>
          <w:color w:val="1F1F1F"/>
          <w:sz w:val="24"/>
          <w:szCs w:val="24"/>
          <w:lang w:eastAsia="es-CO"/>
        </w:rPr>
      </w:pPr>
      <w:r w:rsidRPr="00665C62">
        <w:rPr>
          <w:rFonts w:ascii="Times New Roman" w:eastAsia="Times New Roman" w:hAnsi="Times New Roman" w:cs="Times New Roman"/>
          <w:color w:val="1F1F1F"/>
          <w:sz w:val="24"/>
          <w:szCs w:val="24"/>
          <w:lang w:eastAsia="es-CO"/>
        </w:rPr>
        <w:t>A continuación, encontrará la documentación para generación del dashboard de frescura de cerveza en el mercado colombiano. La medida de frescura es importante ya que indica cuanto dura un producto en el mercado y por consiguiente sirve por una parte para indicarle al consumidor cuales son los productos más frescos y por otra parte indicarles a los productores como se encuentra la saturación del mercado de acuerdo a los productos que produce. Esta segunda parte es muy relevante de cara a las empresas productoras ya que influencia directamente la decisión de producción.</w:t>
      </w:r>
      <w:r w:rsidR="00665C62" w:rsidRPr="00665C62">
        <w:rPr>
          <w:rFonts w:ascii="Times New Roman" w:eastAsia="Times New Roman" w:hAnsi="Times New Roman" w:cs="Times New Roman"/>
          <w:color w:val="1F1F1F"/>
          <w:sz w:val="24"/>
          <w:szCs w:val="24"/>
          <w:lang w:eastAsia="es-CO"/>
        </w:rPr>
        <w:t xml:space="preserve"> Productos con mayor frescura (menos días en el mercado) cuentan con una alta demanda, por lo que debe producirse más</w:t>
      </w:r>
      <w:r w:rsidR="005513D1">
        <w:rPr>
          <w:rFonts w:ascii="Times New Roman" w:eastAsia="Times New Roman" w:hAnsi="Times New Roman" w:cs="Times New Roman"/>
          <w:color w:val="1F1F1F"/>
          <w:sz w:val="24"/>
          <w:szCs w:val="24"/>
          <w:lang w:eastAsia="es-CO"/>
        </w:rPr>
        <w:t>.</w:t>
      </w:r>
    </w:p>
    <w:p w14:paraId="567F6231" w14:textId="4BE529F1" w:rsidR="005513D1" w:rsidRPr="005513D1" w:rsidRDefault="005513D1" w:rsidP="00C15787">
      <w:pPr>
        <w:jc w:val="both"/>
        <w:rPr>
          <w:rStyle w:val="nfasis"/>
          <w:rFonts w:eastAsiaTheme="minorEastAsia"/>
          <w:b/>
          <w:bCs/>
          <w:color w:val="525252" w:themeColor="accent3" w:themeShade="80"/>
        </w:rPr>
      </w:pPr>
      <w:r w:rsidRPr="005513D1">
        <w:rPr>
          <w:rStyle w:val="nfasis"/>
          <w:rFonts w:eastAsiaTheme="minorEastAsia"/>
          <w:b/>
          <w:bCs/>
          <w:color w:val="525252" w:themeColor="accent3" w:themeShade="80"/>
        </w:rPr>
        <w:t>Datos utilizados</w:t>
      </w:r>
    </w:p>
    <w:p w14:paraId="251526F2" w14:textId="77777777" w:rsidR="005513D1" w:rsidRDefault="005513D1" w:rsidP="005513D1">
      <w:pPr>
        <w:pStyle w:val="NormalWeb"/>
        <w:shd w:val="clear" w:color="auto" w:fill="FFFFFF" w:themeFill="background1"/>
        <w:spacing w:before="0" w:beforeAutospacing="0" w:after="0" w:afterAutospacing="0"/>
        <w:jc w:val="both"/>
        <w:rPr>
          <w:color w:val="1F1F1F"/>
        </w:rPr>
      </w:pPr>
      <w:r w:rsidRPr="207516F7">
        <w:rPr>
          <w:color w:val="1F1F1F"/>
        </w:rPr>
        <w:t xml:space="preserve">La base de datos tiene 9 variables, de las cuales 5 son categóricas, 2 son fechas y 2 son numéricas. </w:t>
      </w:r>
    </w:p>
    <w:p w14:paraId="3783CCCF" w14:textId="77777777" w:rsidR="005513D1" w:rsidRDefault="005513D1" w:rsidP="005513D1">
      <w:pPr>
        <w:pStyle w:val="NormalWeb"/>
        <w:shd w:val="clear" w:color="auto" w:fill="FFFFFF" w:themeFill="background1"/>
        <w:spacing w:before="0" w:beforeAutospacing="0" w:after="0" w:afterAutospacing="0"/>
        <w:jc w:val="both"/>
        <w:rPr>
          <w:color w:val="1F1F1F"/>
        </w:rPr>
      </w:pPr>
    </w:p>
    <w:p w14:paraId="5654F232" w14:textId="77777777" w:rsidR="005513D1" w:rsidRDefault="005513D1" w:rsidP="005513D1">
      <w:pPr>
        <w:pStyle w:val="NormalWeb"/>
        <w:shd w:val="clear" w:color="auto" w:fill="FFFFFF" w:themeFill="background1"/>
        <w:spacing w:before="0" w:beforeAutospacing="0" w:after="0" w:afterAutospacing="0"/>
        <w:jc w:val="both"/>
        <w:rPr>
          <w:color w:val="1F1F1F"/>
        </w:rPr>
      </w:pPr>
      <w:r w:rsidRPr="207516F7">
        <w:rPr>
          <w:color w:val="1F1F1F"/>
        </w:rPr>
        <w:t>Adicionalmente a esta información in</w:t>
      </w:r>
      <w:r>
        <w:rPr>
          <w:color w:val="1F1F1F"/>
        </w:rPr>
        <w:t>i</w:t>
      </w:r>
      <w:r w:rsidRPr="207516F7">
        <w:rPr>
          <w:color w:val="1F1F1F"/>
        </w:rPr>
        <w:t>cial se utilizará el campo ‘Referencia’ para extraer las variables:</w:t>
      </w:r>
    </w:p>
    <w:p w14:paraId="13DC4F91" w14:textId="77777777" w:rsidR="005513D1" w:rsidRDefault="005513D1" w:rsidP="005513D1">
      <w:pPr>
        <w:pStyle w:val="NormalWeb"/>
        <w:numPr>
          <w:ilvl w:val="0"/>
          <w:numId w:val="3"/>
        </w:numPr>
        <w:shd w:val="clear" w:color="auto" w:fill="FFFFFF" w:themeFill="background1"/>
        <w:spacing w:before="0" w:beforeAutospacing="0" w:after="0" w:afterAutospacing="0"/>
        <w:jc w:val="both"/>
        <w:rPr>
          <w:color w:val="1F1F1F"/>
        </w:rPr>
      </w:pPr>
      <w:r w:rsidRPr="207516F7">
        <w:rPr>
          <w:color w:val="1F1F1F"/>
        </w:rPr>
        <w:t>Marca</w:t>
      </w:r>
    </w:p>
    <w:p w14:paraId="05E53AA2" w14:textId="77777777" w:rsidR="005513D1" w:rsidRDefault="005513D1" w:rsidP="005513D1">
      <w:pPr>
        <w:pStyle w:val="NormalWeb"/>
        <w:numPr>
          <w:ilvl w:val="0"/>
          <w:numId w:val="3"/>
        </w:numPr>
        <w:shd w:val="clear" w:color="auto" w:fill="FFFFFF" w:themeFill="background1"/>
        <w:spacing w:before="0" w:beforeAutospacing="0" w:after="0" w:afterAutospacing="0"/>
        <w:jc w:val="both"/>
        <w:rPr>
          <w:color w:val="1F1F1F"/>
        </w:rPr>
      </w:pPr>
      <w:r w:rsidRPr="207516F7">
        <w:rPr>
          <w:color w:val="1F1F1F"/>
        </w:rPr>
        <w:t>Tipo de envase</w:t>
      </w:r>
    </w:p>
    <w:p w14:paraId="4606FADE" w14:textId="77777777" w:rsidR="005513D1" w:rsidRDefault="005513D1" w:rsidP="005513D1">
      <w:pPr>
        <w:pStyle w:val="NormalWeb"/>
        <w:numPr>
          <w:ilvl w:val="0"/>
          <w:numId w:val="3"/>
        </w:numPr>
        <w:shd w:val="clear" w:color="auto" w:fill="FFFFFF" w:themeFill="background1"/>
        <w:spacing w:before="0" w:beforeAutospacing="0" w:after="0" w:afterAutospacing="0"/>
        <w:jc w:val="both"/>
        <w:rPr>
          <w:color w:val="1F1F1F"/>
        </w:rPr>
      </w:pPr>
      <w:r w:rsidRPr="207516F7">
        <w:rPr>
          <w:color w:val="1F1F1F"/>
        </w:rPr>
        <w:t>Tamaño o capacidad del envase</w:t>
      </w:r>
    </w:p>
    <w:p w14:paraId="14D30253" w14:textId="77777777" w:rsidR="005513D1" w:rsidRDefault="005513D1" w:rsidP="005513D1">
      <w:pPr>
        <w:pStyle w:val="NormalWeb"/>
        <w:numPr>
          <w:ilvl w:val="0"/>
          <w:numId w:val="3"/>
        </w:numPr>
        <w:shd w:val="clear" w:color="auto" w:fill="FFFFFF" w:themeFill="background1"/>
        <w:spacing w:before="0" w:beforeAutospacing="0" w:after="0" w:afterAutospacing="0"/>
        <w:jc w:val="both"/>
        <w:rPr>
          <w:color w:val="1F1F1F"/>
        </w:rPr>
      </w:pPr>
      <w:r w:rsidRPr="207516F7">
        <w:rPr>
          <w:color w:val="1F1F1F"/>
        </w:rPr>
        <w:t>Retornabilidad</w:t>
      </w:r>
    </w:p>
    <w:p w14:paraId="7E0CDE4D" w14:textId="77777777" w:rsidR="005513D1" w:rsidRDefault="005513D1" w:rsidP="005513D1">
      <w:pPr>
        <w:pStyle w:val="NormalWeb"/>
        <w:shd w:val="clear" w:color="auto" w:fill="FFFFFF" w:themeFill="background1"/>
        <w:spacing w:before="0" w:beforeAutospacing="0" w:after="0" w:afterAutospacing="0"/>
        <w:jc w:val="both"/>
        <w:rPr>
          <w:color w:val="1F1F1F"/>
        </w:rPr>
      </w:pPr>
      <w:r w:rsidRPr="207516F7">
        <w:rPr>
          <w:color w:val="1F1F1F"/>
        </w:rPr>
        <w:t>También se calcularán las siguientes variables:</w:t>
      </w:r>
    </w:p>
    <w:p w14:paraId="4EB919FF" w14:textId="77777777" w:rsidR="005513D1" w:rsidRDefault="005513D1" w:rsidP="005513D1">
      <w:pPr>
        <w:pStyle w:val="NormalWeb"/>
        <w:numPr>
          <w:ilvl w:val="0"/>
          <w:numId w:val="2"/>
        </w:numPr>
        <w:shd w:val="clear" w:color="auto" w:fill="FFFFFF" w:themeFill="background1"/>
        <w:spacing w:before="0" w:beforeAutospacing="0" w:after="0" w:afterAutospacing="0"/>
        <w:jc w:val="both"/>
        <w:rPr>
          <w:color w:val="1F1F1F"/>
        </w:rPr>
      </w:pPr>
      <w:r w:rsidRPr="207516F7">
        <w:rPr>
          <w:color w:val="1F1F1F"/>
        </w:rPr>
        <w:t>Fecha de producción</w:t>
      </w:r>
    </w:p>
    <w:p w14:paraId="2E272660" w14:textId="77777777" w:rsidR="005513D1" w:rsidRDefault="005513D1" w:rsidP="005513D1">
      <w:pPr>
        <w:pStyle w:val="NormalWeb"/>
        <w:numPr>
          <w:ilvl w:val="0"/>
          <w:numId w:val="2"/>
        </w:numPr>
        <w:shd w:val="clear" w:color="auto" w:fill="FFFFFF" w:themeFill="background1"/>
        <w:spacing w:before="0" w:beforeAutospacing="0" w:after="0" w:afterAutospacing="0"/>
        <w:jc w:val="both"/>
        <w:rPr>
          <w:color w:val="1F1F1F"/>
        </w:rPr>
      </w:pPr>
      <w:r w:rsidRPr="207516F7">
        <w:rPr>
          <w:color w:val="1F1F1F"/>
        </w:rPr>
        <w:t>Mes de producción</w:t>
      </w:r>
    </w:p>
    <w:p w14:paraId="2EF80971" w14:textId="77777777" w:rsidR="005513D1" w:rsidRDefault="005513D1" w:rsidP="005513D1">
      <w:pPr>
        <w:pStyle w:val="NormalWeb"/>
        <w:numPr>
          <w:ilvl w:val="0"/>
          <w:numId w:val="2"/>
        </w:numPr>
        <w:shd w:val="clear" w:color="auto" w:fill="FFFFFF" w:themeFill="background1"/>
        <w:spacing w:before="0" w:beforeAutospacing="0" w:after="0" w:afterAutospacing="0"/>
        <w:jc w:val="both"/>
        <w:rPr>
          <w:color w:val="1F1F1F"/>
        </w:rPr>
      </w:pPr>
      <w:r w:rsidRPr="207516F7">
        <w:rPr>
          <w:color w:val="1F1F1F"/>
        </w:rPr>
        <w:t xml:space="preserve">Mes de medición </w:t>
      </w:r>
    </w:p>
    <w:p w14:paraId="7C8F0259" w14:textId="77777777" w:rsidR="005513D1" w:rsidRDefault="005513D1" w:rsidP="005513D1">
      <w:pPr>
        <w:pStyle w:val="NormalWeb"/>
        <w:shd w:val="clear" w:color="auto" w:fill="FFFFFF" w:themeFill="background1"/>
        <w:spacing w:before="0" w:beforeAutospacing="0" w:after="0" w:afterAutospacing="0"/>
        <w:jc w:val="both"/>
        <w:rPr>
          <w:color w:val="1F1F1F"/>
        </w:rPr>
      </w:pPr>
      <w:r w:rsidRPr="207516F7">
        <w:rPr>
          <w:color w:val="1F1F1F"/>
        </w:rPr>
        <w:t xml:space="preserve">Finalmente se crea una variable categórica de nivel de frescura a partir de las reglas: </w:t>
      </w:r>
    </w:p>
    <w:p w14:paraId="155A096B" w14:textId="77777777" w:rsidR="005513D1" w:rsidRDefault="005513D1" w:rsidP="005513D1">
      <w:pPr>
        <w:pStyle w:val="NormalWeb"/>
        <w:shd w:val="clear" w:color="auto" w:fill="FFFFFF" w:themeFill="background1"/>
        <w:spacing w:before="0" w:beforeAutospacing="0" w:after="0" w:afterAutospacing="0"/>
        <w:jc w:val="both"/>
        <w:rPr>
          <w:color w:val="1F1F1F"/>
        </w:rPr>
      </w:pPr>
    </w:p>
    <w:p w14:paraId="3A2815BA" w14:textId="77777777" w:rsidR="005513D1" w:rsidRDefault="005513D1" w:rsidP="005513D1">
      <w:pPr>
        <w:pStyle w:val="NormalWeb"/>
        <w:shd w:val="clear" w:color="auto" w:fill="FFFFFF" w:themeFill="background1"/>
        <w:spacing w:before="0" w:beforeAutospacing="0" w:after="0" w:afterAutospacing="0"/>
        <w:rPr>
          <w:rStyle w:val="nfasis"/>
          <w:rFonts w:asciiTheme="minorHAnsi" w:eastAsiaTheme="minorEastAsia" w:hAnsiTheme="minorHAnsi" w:cstheme="minorBidi"/>
          <w:b/>
          <w:bCs/>
          <w:i w:val="0"/>
          <w:iCs w:val="0"/>
          <w:color w:val="525252" w:themeColor="accent3" w:themeShade="80"/>
        </w:rPr>
      </w:pPr>
    </w:p>
    <w:p w14:paraId="2ED661D4" w14:textId="77777777" w:rsidR="005513D1" w:rsidRDefault="005513D1" w:rsidP="005513D1">
      <w:pPr>
        <w:pStyle w:val="NormalWeb"/>
        <w:shd w:val="clear" w:color="auto" w:fill="FFFFFF" w:themeFill="background1"/>
        <w:spacing w:before="0" w:beforeAutospacing="0" w:after="0" w:afterAutospacing="0"/>
        <w:ind w:left="360"/>
        <w:jc w:val="center"/>
        <w:rPr>
          <w:rStyle w:val="nfasis"/>
          <w:b/>
          <w:bCs/>
          <w:i w:val="0"/>
          <w:iCs w:val="0"/>
          <w:color w:val="525252" w:themeColor="accent3" w:themeShade="80"/>
        </w:rPr>
      </w:pPr>
      <w:r w:rsidRPr="207516F7">
        <w:rPr>
          <w:rStyle w:val="nfasis"/>
          <w:rFonts w:asciiTheme="minorHAnsi" w:eastAsiaTheme="minorEastAsia" w:hAnsiTheme="minorHAnsi" w:cstheme="minorBidi"/>
          <w:b/>
          <w:bCs/>
          <w:color w:val="525252" w:themeColor="accent3" w:themeShade="80"/>
        </w:rPr>
        <w:t xml:space="preserve">Tabla 1. Parámetros de construcción de la variable de clasificación de frescura </w:t>
      </w:r>
    </w:p>
    <w:tbl>
      <w:tblPr>
        <w:tblW w:w="0" w:type="auto"/>
        <w:jc w:val="center"/>
        <w:tblLayout w:type="fixed"/>
        <w:tblLook w:val="06A0" w:firstRow="1" w:lastRow="0" w:firstColumn="1" w:lastColumn="0" w:noHBand="1" w:noVBand="1"/>
      </w:tblPr>
      <w:tblGrid>
        <w:gridCol w:w="962"/>
        <w:gridCol w:w="2968"/>
        <w:gridCol w:w="1579"/>
      </w:tblGrid>
      <w:tr w:rsidR="005513D1" w14:paraId="0587A6F4"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73D303" w14:textId="77777777" w:rsidR="005513D1" w:rsidRDefault="005513D1" w:rsidP="00BE4FB6">
            <w:pPr>
              <w:spacing w:after="0"/>
              <w:jc w:val="center"/>
            </w:pPr>
            <w:r w:rsidRPr="207516F7">
              <w:rPr>
                <w:rFonts w:ascii="Times New Roman" w:eastAsia="Times New Roman" w:hAnsi="Times New Roman" w:cs="Times New Roman"/>
                <w:b/>
                <w:bCs/>
              </w:rPr>
              <w:t>Marca</w:t>
            </w:r>
          </w:p>
        </w:tc>
        <w:tc>
          <w:tcPr>
            <w:tcW w:w="296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73017F" w14:textId="77777777" w:rsidR="005513D1" w:rsidRDefault="005513D1" w:rsidP="00BE4FB6">
            <w:pPr>
              <w:spacing w:after="0"/>
              <w:jc w:val="center"/>
            </w:pPr>
            <w:r w:rsidRPr="207516F7">
              <w:rPr>
                <w:rFonts w:ascii="Times New Roman" w:eastAsia="Times New Roman" w:hAnsi="Times New Roman" w:cs="Times New Roman"/>
                <w:b/>
                <w:bCs/>
              </w:rPr>
              <w:t>Edad de producto</w:t>
            </w:r>
          </w:p>
        </w:tc>
        <w:tc>
          <w:tcPr>
            <w:tcW w:w="15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0D0BB9" w14:textId="77777777" w:rsidR="005513D1" w:rsidRDefault="005513D1" w:rsidP="00BE4FB6">
            <w:pPr>
              <w:spacing w:after="0"/>
              <w:jc w:val="center"/>
            </w:pPr>
            <w:r w:rsidRPr="207516F7">
              <w:rPr>
                <w:rFonts w:ascii="Times New Roman" w:eastAsia="Times New Roman" w:hAnsi="Times New Roman" w:cs="Times New Roman"/>
                <w:b/>
                <w:bCs/>
              </w:rPr>
              <w:t>Clasificación</w:t>
            </w:r>
          </w:p>
        </w:tc>
      </w:tr>
      <w:tr w:rsidR="005513D1" w14:paraId="5728B6D9"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01CA419" w14:textId="77777777" w:rsidR="005513D1" w:rsidRDefault="005513D1" w:rsidP="00BE4FB6">
            <w:pPr>
              <w:spacing w:after="0"/>
              <w:jc w:val="center"/>
            </w:pPr>
            <w:r w:rsidRPr="207516F7">
              <w:rPr>
                <w:rFonts w:ascii="Times New Roman" w:eastAsia="Times New Roman" w:hAnsi="Times New Roman" w:cs="Times New Roman"/>
              </w:rPr>
              <w:t>1</w:t>
            </w:r>
          </w:p>
        </w:tc>
        <w:tc>
          <w:tcPr>
            <w:tcW w:w="2968" w:type="dxa"/>
            <w:vMerge w:val="restart"/>
            <w:tcBorders>
              <w:top w:val="single" w:sz="4" w:space="0" w:color="auto"/>
              <w:left w:val="single" w:sz="4" w:space="0" w:color="auto"/>
              <w:bottom w:val="single" w:sz="8" w:space="0" w:color="000000" w:themeColor="text1"/>
              <w:right w:val="single" w:sz="4" w:space="0" w:color="auto"/>
            </w:tcBorders>
            <w:tcMar>
              <w:top w:w="15" w:type="dxa"/>
              <w:left w:w="15" w:type="dxa"/>
              <w:right w:w="15" w:type="dxa"/>
            </w:tcMar>
            <w:vAlign w:val="center"/>
          </w:tcPr>
          <w:p w14:paraId="25D03B89" w14:textId="77777777" w:rsidR="005513D1" w:rsidRDefault="005513D1" w:rsidP="00BE4FB6">
            <w:pPr>
              <w:spacing w:after="0"/>
              <w:jc w:val="center"/>
            </w:pPr>
            <w:r w:rsidRPr="207516F7">
              <w:rPr>
                <w:rFonts w:ascii="Times New Roman" w:eastAsia="Times New Roman" w:hAnsi="Times New Roman" w:cs="Times New Roman"/>
              </w:rPr>
              <w:t>&lt; 90</w:t>
            </w:r>
          </w:p>
        </w:tc>
        <w:tc>
          <w:tcPr>
            <w:tcW w:w="1579" w:type="dxa"/>
            <w:vMerge w:val="restart"/>
            <w:tcBorders>
              <w:top w:val="single" w:sz="4" w:space="0" w:color="auto"/>
              <w:left w:val="single" w:sz="4" w:space="0" w:color="auto"/>
              <w:bottom w:val="single" w:sz="8" w:space="0" w:color="000000" w:themeColor="text1"/>
              <w:right w:val="single" w:sz="4" w:space="0" w:color="auto"/>
            </w:tcBorders>
            <w:tcMar>
              <w:top w:w="15" w:type="dxa"/>
              <w:left w:w="15" w:type="dxa"/>
              <w:right w:w="15" w:type="dxa"/>
            </w:tcMar>
            <w:vAlign w:val="center"/>
          </w:tcPr>
          <w:p w14:paraId="4088B230" w14:textId="77777777" w:rsidR="005513D1" w:rsidRDefault="005513D1" w:rsidP="00BE4FB6">
            <w:pPr>
              <w:spacing w:after="0"/>
              <w:jc w:val="center"/>
            </w:pPr>
            <w:r w:rsidRPr="207516F7">
              <w:rPr>
                <w:rFonts w:ascii="Times New Roman" w:eastAsia="Times New Roman" w:hAnsi="Times New Roman" w:cs="Times New Roman"/>
              </w:rPr>
              <w:t>Ideal</w:t>
            </w:r>
          </w:p>
        </w:tc>
      </w:tr>
      <w:tr w:rsidR="005513D1" w14:paraId="2911896A"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FB93C0" w14:textId="77777777" w:rsidR="005513D1" w:rsidRDefault="005513D1" w:rsidP="00BE4FB6">
            <w:pPr>
              <w:spacing w:after="0"/>
              <w:jc w:val="center"/>
            </w:pPr>
            <w:r w:rsidRPr="207516F7">
              <w:rPr>
                <w:rFonts w:ascii="Times New Roman" w:eastAsia="Times New Roman" w:hAnsi="Times New Roman" w:cs="Times New Roman"/>
              </w:rPr>
              <w:t>2</w:t>
            </w:r>
          </w:p>
        </w:tc>
        <w:tc>
          <w:tcPr>
            <w:tcW w:w="2968" w:type="dxa"/>
            <w:vMerge/>
            <w:tcBorders>
              <w:left w:val="single" w:sz="0" w:space="0" w:color="auto"/>
              <w:right w:val="single" w:sz="0" w:space="0" w:color="auto"/>
            </w:tcBorders>
            <w:vAlign w:val="center"/>
          </w:tcPr>
          <w:p w14:paraId="015FFC54" w14:textId="77777777" w:rsidR="005513D1" w:rsidRDefault="005513D1" w:rsidP="00BE4FB6"/>
        </w:tc>
        <w:tc>
          <w:tcPr>
            <w:tcW w:w="1579" w:type="dxa"/>
            <w:vMerge/>
            <w:tcBorders>
              <w:left w:val="single" w:sz="0" w:space="0" w:color="auto"/>
              <w:right w:val="single" w:sz="0" w:space="0" w:color="auto"/>
            </w:tcBorders>
            <w:vAlign w:val="center"/>
          </w:tcPr>
          <w:p w14:paraId="5A5FD23E" w14:textId="77777777" w:rsidR="005513D1" w:rsidRDefault="005513D1" w:rsidP="00BE4FB6"/>
        </w:tc>
      </w:tr>
      <w:tr w:rsidR="005513D1" w14:paraId="2E8276DB"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D1743D" w14:textId="77777777" w:rsidR="005513D1" w:rsidRDefault="005513D1" w:rsidP="00BE4FB6">
            <w:pPr>
              <w:spacing w:after="0"/>
              <w:jc w:val="center"/>
            </w:pPr>
            <w:r w:rsidRPr="207516F7">
              <w:rPr>
                <w:rFonts w:ascii="Times New Roman" w:eastAsia="Times New Roman" w:hAnsi="Times New Roman" w:cs="Times New Roman"/>
              </w:rPr>
              <w:t>3</w:t>
            </w:r>
          </w:p>
        </w:tc>
        <w:tc>
          <w:tcPr>
            <w:tcW w:w="2968" w:type="dxa"/>
            <w:vMerge/>
            <w:tcBorders>
              <w:left w:val="single" w:sz="0" w:space="0" w:color="auto"/>
              <w:bottom w:val="single" w:sz="0" w:space="0" w:color="auto"/>
              <w:right w:val="single" w:sz="0" w:space="0" w:color="auto"/>
            </w:tcBorders>
            <w:vAlign w:val="center"/>
          </w:tcPr>
          <w:p w14:paraId="1E64FBA3" w14:textId="77777777" w:rsidR="005513D1" w:rsidRDefault="005513D1" w:rsidP="00BE4FB6"/>
        </w:tc>
        <w:tc>
          <w:tcPr>
            <w:tcW w:w="1579" w:type="dxa"/>
            <w:vMerge/>
            <w:tcBorders>
              <w:left w:val="single" w:sz="0" w:space="0" w:color="auto"/>
              <w:bottom w:val="single" w:sz="0" w:space="0" w:color="auto"/>
              <w:right w:val="single" w:sz="0" w:space="0" w:color="auto"/>
            </w:tcBorders>
            <w:vAlign w:val="center"/>
          </w:tcPr>
          <w:p w14:paraId="23166DE4" w14:textId="77777777" w:rsidR="005513D1" w:rsidRDefault="005513D1" w:rsidP="00BE4FB6"/>
        </w:tc>
      </w:tr>
      <w:tr w:rsidR="005513D1" w14:paraId="4FD30B2A" w14:textId="77777777" w:rsidTr="00BE4FB6">
        <w:trPr>
          <w:trHeight w:val="270"/>
          <w:jc w:val="center"/>
        </w:trPr>
        <w:tc>
          <w:tcPr>
            <w:tcW w:w="962" w:type="dxa"/>
            <w:tcBorders>
              <w:top w:val="single" w:sz="4" w:space="0" w:color="auto"/>
              <w:left w:val="single" w:sz="4" w:space="0" w:color="auto"/>
              <w:bottom w:val="single" w:sz="4" w:space="0" w:color="auto"/>
              <w:right w:val="single" w:sz="8" w:space="0" w:color="000000" w:themeColor="text1"/>
            </w:tcBorders>
            <w:tcMar>
              <w:top w:w="15" w:type="dxa"/>
              <w:left w:w="15" w:type="dxa"/>
              <w:right w:w="15" w:type="dxa"/>
            </w:tcMar>
            <w:vAlign w:val="center"/>
          </w:tcPr>
          <w:p w14:paraId="5E167DC8" w14:textId="77777777" w:rsidR="005513D1" w:rsidRDefault="005513D1" w:rsidP="00BE4FB6">
            <w:pPr>
              <w:spacing w:after="0"/>
              <w:jc w:val="center"/>
            </w:pPr>
            <w:r w:rsidRPr="207516F7">
              <w:rPr>
                <w:rFonts w:ascii="Times New Roman" w:eastAsia="Times New Roman" w:hAnsi="Times New Roman" w:cs="Times New Roman"/>
              </w:rPr>
              <w:t>1</w:t>
            </w:r>
          </w:p>
        </w:tc>
        <w:tc>
          <w:tcPr>
            <w:tcW w:w="2968"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FE453C6" w14:textId="77777777" w:rsidR="005513D1" w:rsidRDefault="005513D1" w:rsidP="00BE4FB6">
            <w:pPr>
              <w:spacing w:after="0"/>
              <w:jc w:val="center"/>
            </w:pPr>
            <w:r w:rsidRPr="207516F7">
              <w:rPr>
                <w:rFonts w:ascii="Times New Roman" w:eastAsia="Times New Roman" w:hAnsi="Times New Roman" w:cs="Times New Roman"/>
              </w:rPr>
              <w:t>90 &lt;= Edad_producto &lt;= 120</w:t>
            </w:r>
          </w:p>
        </w:tc>
        <w:tc>
          <w:tcPr>
            <w:tcW w:w="15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right w:w="15" w:type="dxa"/>
            </w:tcMar>
            <w:vAlign w:val="center"/>
          </w:tcPr>
          <w:p w14:paraId="156E9EE9" w14:textId="77777777" w:rsidR="005513D1" w:rsidRDefault="005513D1" w:rsidP="00BE4FB6">
            <w:pPr>
              <w:spacing w:after="0"/>
              <w:jc w:val="center"/>
            </w:pPr>
            <w:r w:rsidRPr="207516F7">
              <w:rPr>
                <w:rFonts w:ascii="Times New Roman" w:eastAsia="Times New Roman" w:hAnsi="Times New Roman" w:cs="Times New Roman"/>
              </w:rPr>
              <w:t>Debe mejorar</w:t>
            </w:r>
          </w:p>
        </w:tc>
      </w:tr>
      <w:tr w:rsidR="005513D1" w14:paraId="1CB519A4" w14:textId="77777777" w:rsidTr="00BE4FB6">
        <w:trPr>
          <w:trHeight w:val="270"/>
          <w:jc w:val="center"/>
        </w:trPr>
        <w:tc>
          <w:tcPr>
            <w:tcW w:w="962" w:type="dxa"/>
            <w:tcBorders>
              <w:top w:val="single" w:sz="4" w:space="0" w:color="auto"/>
              <w:left w:val="single" w:sz="4" w:space="0" w:color="auto"/>
              <w:bottom w:val="single" w:sz="4" w:space="0" w:color="auto"/>
              <w:right w:val="single" w:sz="8" w:space="0" w:color="000000" w:themeColor="text1"/>
            </w:tcBorders>
            <w:tcMar>
              <w:top w:w="15" w:type="dxa"/>
              <w:left w:w="15" w:type="dxa"/>
              <w:right w:w="15" w:type="dxa"/>
            </w:tcMar>
            <w:vAlign w:val="center"/>
          </w:tcPr>
          <w:p w14:paraId="6E601EC6" w14:textId="77777777" w:rsidR="005513D1" w:rsidRDefault="005513D1" w:rsidP="00BE4FB6">
            <w:pPr>
              <w:spacing w:after="0"/>
              <w:jc w:val="center"/>
            </w:pPr>
            <w:r w:rsidRPr="207516F7">
              <w:rPr>
                <w:rFonts w:ascii="Times New Roman" w:eastAsia="Times New Roman" w:hAnsi="Times New Roman" w:cs="Times New Roman"/>
              </w:rPr>
              <w:t>2</w:t>
            </w:r>
          </w:p>
        </w:tc>
        <w:tc>
          <w:tcPr>
            <w:tcW w:w="296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898DEF" w14:textId="77777777" w:rsidR="005513D1" w:rsidRDefault="005513D1" w:rsidP="00BE4FB6"/>
        </w:tc>
        <w:tc>
          <w:tcPr>
            <w:tcW w:w="1579"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16FB57" w14:textId="77777777" w:rsidR="005513D1" w:rsidRDefault="005513D1" w:rsidP="00BE4FB6"/>
        </w:tc>
      </w:tr>
      <w:tr w:rsidR="005513D1" w14:paraId="1E24FF32" w14:textId="77777777" w:rsidTr="00BE4FB6">
        <w:trPr>
          <w:trHeight w:val="270"/>
          <w:jc w:val="center"/>
        </w:trPr>
        <w:tc>
          <w:tcPr>
            <w:tcW w:w="962" w:type="dxa"/>
            <w:tcBorders>
              <w:top w:val="single" w:sz="4" w:space="0" w:color="auto"/>
              <w:left w:val="single" w:sz="4" w:space="0" w:color="auto"/>
              <w:bottom w:val="single" w:sz="4" w:space="0" w:color="auto"/>
              <w:right w:val="single" w:sz="8" w:space="0" w:color="000000" w:themeColor="text1"/>
            </w:tcBorders>
            <w:tcMar>
              <w:top w:w="15" w:type="dxa"/>
              <w:left w:w="15" w:type="dxa"/>
              <w:right w:w="15" w:type="dxa"/>
            </w:tcMar>
            <w:vAlign w:val="center"/>
          </w:tcPr>
          <w:p w14:paraId="6AA564AB" w14:textId="77777777" w:rsidR="005513D1" w:rsidRDefault="005513D1" w:rsidP="00BE4FB6">
            <w:pPr>
              <w:spacing w:after="0"/>
              <w:jc w:val="center"/>
            </w:pPr>
            <w:r w:rsidRPr="207516F7">
              <w:rPr>
                <w:rFonts w:ascii="Times New Roman" w:eastAsia="Times New Roman" w:hAnsi="Times New Roman" w:cs="Times New Roman"/>
              </w:rPr>
              <w:t>3</w:t>
            </w:r>
          </w:p>
        </w:tc>
        <w:tc>
          <w:tcPr>
            <w:tcW w:w="2968"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3E7E2" w14:textId="77777777" w:rsidR="005513D1" w:rsidRDefault="005513D1" w:rsidP="00BE4FB6"/>
        </w:tc>
        <w:tc>
          <w:tcPr>
            <w:tcW w:w="1579"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B3BB4B" w14:textId="77777777" w:rsidR="005513D1" w:rsidRDefault="005513D1" w:rsidP="00BE4FB6"/>
        </w:tc>
      </w:tr>
      <w:tr w:rsidR="005513D1" w14:paraId="1DF3BAB7"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5ED791" w14:textId="77777777" w:rsidR="005513D1" w:rsidRDefault="005513D1" w:rsidP="00BE4FB6">
            <w:pPr>
              <w:spacing w:after="0"/>
              <w:jc w:val="center"/>
            </w:pPr>
            <w:r w:rsidRPr="207516F7">
              <w:rPr>
                <w:rFonts w:ascii="Times New Roman" w:eastAsia="Times New Roman" w:hAnsi="Times New Roman" w:cs="Times New Roman"/>
              </w:rPr>
              <w:t>1</w:t>
            </w:r>
          </w:p>
        </w:tc>
        <w:tc>
          <w:tcPr>
            <w:tcW w:w="2968" w:type="dxa"/>
            <w:vMerge w:val="restart"/>
            <w:tcBorders>
              <w:top w:val="single" w:sz="8" w:space="0" w:color="000000" w:themeColor="text1"/>
              <w:left w:val="single" w:sz="4" w:space="0" w:color="auto"/>
              <w:bottom w:val="single" w:sz="4" w:space="0" w:color="auto"/>
              <w:right w:val="single" w:sz="4" w:space="0" w:color="auto"/>
            </w:tcBorders>
            <w:tcMar>
              <w:top w:w="15" w:type="dxa"/>
              <w:left w:w="15" w:type="dxa"/>
              <w:right w:w="15" w:type="dxa"/>
            </w:tcMar>
            <w:vAlign w:val="center"/>
          </w:tcPr>
          <w:p w14:paraId="2D808435" w14:textId="77777777" w:rsidR="005513D1" w:rsidRDefault="005513D1" w:rsidP="00BE4FB6">
            <w:pPr>
              <w:spacing w:after="0"/>
              <w:jc w:val="center"/>
            </w:pPr>
            <w:r w:rsidRPr="207516F7">
              <w:rPr>
                <w:rFonts w:ascii="Times New Roman" w:eastAsia="Times New Roman" w:hAnsi="Times New Roman" w:cs="Times New Roman"/>
              </w:rPr>
              <w:t>&gt; 120</w:t>
            </w:r>
          </w:p>
        </w:tc>
        <w:tc>
          <w:tcPr>
            <w:tcW w:w="1579" w:type="dxa"/>
            <w:vMerge w:val="restart"/>
            <w:tcBorders>
              <w:top w:val="single" w:sz="8" w:space="0" w:color="000000" w:themeColor="text1"/>
              <w:left w:val="single" w:sz="4" w:space="0" w:color="auto"/>
              <w:bottom w:val="single" w:sz="4" w:space="0" w:color="auto"/>
              <w:right w:val="single" w:sz="4" w:space="0" w:color="auto"/>
            </w:tcBorders>
            <w:tcMar>
              <w:top w:w="15" w:type="dxa"/>
              <w:left w:w="15" w:type="dxa"/>
              <w:right w:w="15" w:type="dxa"/>
            </w:tcMar>
            <w:vAlign w:val="center"/>
          </w:tcPr>
          <w:p w14:paraId="365CB760" w14:textId="77777777" w:rsidR="005513D1" w:rsidRDefault="005513D1" w:rsidP="00BE4FB6">
            <w:pPr>
              <w:spacing w:after="0"/>
              <w:jc w:val="center"/>
            </w:pPr>
            <w:r w:rsidRPr="207516F7">
              <w:rPr>
                <w:rFonts w:ascii="Times New Roman" w:eastAsia="Times New Roman" w:hAnsi="Times New Roman" w:cs="Times New Roman"/>
              </w:rPr>
              <w:t>Inaceptable</w:t>
            </w:r>
          </w:p>
        </w:tc>
      </w:tr>
      <w:tr w:rsidR="005513D1" w14:paraId="26B992DD"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4EB3FB" w14:textId="77777777" w:rsidR="005513D1" w:rsidRDefault="005513D1" w:rsidP="00BE4FB6">
            <w:pPr>
              <w:spacing w:after="0"/>
              <w:jc w:val="center"/>
            </w:pPr>
            <w:r w:rsidRPr="207516F7">
              <w:rPr>
                <w:rFonts w:ascii="Times New Roman" w:eastAsia="Times New Roman" w:hAnsi="Times New Roman" w:cs="Times New Roman"/>
              </w:rPr>
              <w:t>2</w:t>
            </w:r>
          </w:p>
        </w:tc>
        <w:tc>
          <w:tcPr>
            <w:tcW w:w="2968" w:type="dxa"/>
            <w:vMerge/>
            <w:tcBorders>
              <w:left w:val="single" w:sz="0" w:space="0" w:color="auto"/>
              <w:right w:val="single" w:sz="0" w:space="0" w:color="auto"/>
            </w:tcBorders>
            <w:vAlign w:val="center"/>
          </w:tcPr>
          <w:p w14:paraId="285B7230" w14:textId="77777777" w:rsidR="005513D1" w:rsidRDefault="005513D1" w:rsidP="00BE4FB6"/>
        </w:tc>
        <w:tc>
          <w:tcPr>
            <w:tcW w:w="1579" w:type="dxa"/>
            <w:vMerge/>
            <w:tcBorders>
              <w:left w:val="single" w:sz="0" w:space="0" w:color="auto"/>
              <w:right w:val="single" w:sz="0" w:space="0" w:color="auto"/>
            </w:tcBorders>
            <w:vAlign w:val="center"/>
          </w:tcPr>
          <w:p w14:paraId="57385249" w14:textId="77777777" w:rsidR="005513D1" w:rsidRDefault="005513D1" w:rsidP="00BE4FB6"/>
        </w:tc>
      </w:tr>
      <w:tr w:rsidR="005513D1" w14:paraId="3D769E6E"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43E1AE" w14:textId="77777777" w:rsidR="005513D1" w:rsidRDefault="005513D1" w:rsidP="00BE4FB6">
            <w:pPr>
              <w:spacing w:after="0"/>
              <w:jc w:val="center"/>
            </w:pPr>
            <w:r w:rsidRPr="207516F7">
              <w:rPr>
                <w:rFonts w:ascii="Times New Roman" w:eastAsia="Times New Roman" w:hAnsi="Times New Roman" w:cs="Times New Roman"/>
              </w:rPr>
              <w:t>3</w:t>
            </w:r>
          </w:p>
        </w:tc>
        <w:tc>
          <w:tcPr>
            <w:tcW w:w="2968" w:type="dxa"/>
            <w:vMerge/>
            <w:tcBorders>
              <w:left w:val="single" w:sz="0" w:space="0" w:color="auto"/>
              <w:bottom w:val="single" w:sz="0" w:space="0" w:color="auto"/>
              <w:right w:val="single" w:sz="0" w:space="0" w:color="auto"/>
            </w:tcBorders>
            <w:vAlign w:val="center"/>
          </w:tcPr>
          <w:p w14:paraId="1F35AF4C" w14:textId="77777777" w:rsidR="005513D1" w:rsidRDefault="005513D1" w:rsidP="00BE4FB6"/>
        </w:tc>
        <w:tc>
          <w:tcPr>
            <w:tcW w:w="1579" w:type="dxa"/>
            <w:vMerge/>
            <w:tcBorders>
              <w:left w:val="single" w:sz="0" w:space="0" w:color="auto"/>
              <w:bottom w:val="single" w:sz="0" w:space="0" w:color="auto"/>
              <w:right w:val="single" w:sz="0" w:space="0" w:color="auto"/>
            </w:tcBorders>
            <w:vAlign w:val="center"/>
          </w:tcPr>
          <w:p w14:paraId="6992BD57" w14:textId="77777777" w:rsidR="005513D1" w:rsidRDefault="005513D1" w:rsidP="00BE4FB6"/>
        </w:tc>
      </w:tr>
      <w:tr w:rsidR="005513D1" w14:paraId="2EA8BE55"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A8A40D" w14:textId="77777777" w:rsidR="005513D1" w:rsidRDefault="005513D1" w:rsidP="00BE4FB6">
            <w:pPr>
              <w:spacing w:after="0"/>
              <w:jc w:val="center"/>
            </w:pPr>
            <w:r w:rsidRPr="207516F7">
              <w:rPr>
                <w:rFonts w:ascii="Times New Roman" w:eastAsia="Times New Roman" w:hAnsi="Times New Roman" w:cs="Times New Roman"/>
              </w:rPr>
              <w:t>4</w:t>
            </w:r>
          </w:p>
        </w:tc>
        <w:tc>
          <w:tcPr>
            <w:tcW w:w="2968"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02AA4225" w14:textId="77777777" w:rsidR="005513D1" w:rsidRDefault="005513D1" w:rsidP="00BE4FB6">
            <w:pPr>
              <w:spacing w:after="0"/>
              <w:jc w:val="center"/>
            </w:pPr>
            <w:r w:rsidRPr="207516F7">
              <w:rPr>
                <w:rFonts w:ascii="Times New Roman" w:eastAsia="Times New Roman" w:hAnsi="Times New Roman" w:cs="Times New Roman"/>
              </w:rPr>
              <w:t>&lt; 60</w:t>
            </w:r>
          </w:p>
        </w:tc>
        <w:tc>
          <w:tcPr>
            <w:tcW w:w="1579"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58B83A7D" w14:textId="77777777" w:rsidR="005513D1" w:rsidRDefault="005513D1" w:rsidP="00BE4FB6">
            <w:pPr>
              <w:spacing w:after="0"/>
              <w:jc w:val="center"/>
            </w:pPr>
            <w:r w:rsidRPr="207516F7">
              <w:rPr>
                <w:rFonts w:ascii="Times New Roman" w:eastAsia="Times New Roman" w:hAnsi="Times New Roman" w:cs="Times New Roman"/>
              </w:rPr>
              <w:t>Ideal</w:t>
            </w:r>
          </w:p>
        </w:tc>
      </w:tr>
      <w:tr w:rsidR="005513D1" w14:paraId="0956E5DA"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9A8318" w14:textId="77777777" w:rsidR="005513D1" w:rsidRDefault="005513D1" w:rsidP="00BE4FB6">
            <w:pPr>
              <w:spacing w:after="0"/>
              <w:jc w:val="center"/>
            </w:pPr>
            <w:r w:rsidRPr="207516F7">
              <w:rPr>
                <w:rFonts w:ascii="Times New Roman" w:eastAsia="Times New Roman" w:hAnsi="Times New Roman" w:cs="Times New Roman"/>
              </w:rPr>
              <w:t>5</w:t>
            </w:r>
          </w:p>
        </w:tc>
        <w:tc>
          <w:tcPr>
            <w:tcW w:w="2968" w:type="dxa"/>
            <w:vMerge/>
            <w:tcBorders>
              <w:left w:val="single" w:sz="0" w:space="0" w:color="auto"/>
              <w:right w:val="single" w:sz="0" w:space="0" w:color="auto"/>
            </w:tcBorders>
            <w:vAlign w:val="center"/>
          </w:tcPr>
          <w:p w14:paraId="34A3FCBF" w14:textId="77777777" w:rsidR="005513D1" w:rsidRDefault="005513D1" w:rsidP="00BE4FB6"/>
        </w:tc>
        <w:tc>
          <w:tcPr>
            <w:tcW w:w="1579" w:type="dxa"/>
            <w:vMerge/>
            <w:tcBorders>
              <w:left w:val="single" w:sz="0" w:space="0" w:color="auto"/>
              <w:right w:val="single" w:sz="0" w:space="0" w:color="auto"/>
            </w:tcBorders>
            <w:vAlign w:val="center"/>
          </w:tcPr>
          <w:p w14:paraId="1223FABD" w14:textId="77777777" w:rsidR="005513D1" w:rsidRDefault="005513D1" w:rsidP="00BE4FB6"/>
        </w:tc>
      </w:tr>
      <w:tr w:rsidR="005513D1" w14:paraId="4C0ACCCC"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5BC90B8" w14:textId="77777777" w:rsidR="005513D1" w:rsidRDefault="005513D1" w:rsidP="00BE4FB6">
            <w:pPr>
              <w:spacing w:after="0"/>
              <w:jc w:val="center"/>
            </w:pPr>
            <w:r w:rsidRPr="207516F7">
              <w:rPr>
                <w:rFonts w:ascii="Times New Roman" w:eastAsia="Times New Roman" w:hAnsi="Times New Roman" w:cs="Times New Roman"/>
              </w:rPr>
              <w:t>6</w:t>
            </w:r>
          </w:p>
        </w:tc>
        <w:tc>
          <w:tcPr>
            <w:tcW w:w="2968" w:type="dxa"/>
            <w:vMerge/>
            <w:tcBorders>
              <w:left w:val="single" w:sz="0" w:space="0" w:color="auto"/>
              <w:bottom w:val="single" w:sz="0" w:space="0" w:color="auto"/>
              <w:right w:val="single" w:sz="0" w:space="0" w:color="auto"/>
            </w:tcBorders>
            <w:vAlign w:val="center"/>
          </w:tcPr>
          <w:p w14:paraId="0E08C959" w14:textId="77777777" w:rsidR="005513D1" w:rsidRDefault="005513D1" w:rsidP="00BE4FB6"/>
        </w:tc>
        <w:tc>
          <w:tcPr>
            <w:tcW w:w="1579" w:type="dxa"/>
            <w:vMerge/>
            <w:tcBorders>
              <w:left w:val="single" w:sz="0" w:space="0" w:color="auto"/>
              <w:bottom w:val="single" w:sz="0" w:space="0" w:color="auto"/>
              <w:right w:val="single" w:sz="0" w:space="0" w:color="auto"/>
            </w:tcBorders>
            <w:vAlign w:val="center"/>
          </w:tcPr>
          <w:p w14:paraId="02212165" w14:textId="77777777" w:rsidR="005513D1" w:rsidRDefault="005513D1" w:rsidP="00BE4FB6"/>
        </w:tc>
      </w:tr>
      <w:tr w:rsidR="005513D1" w14:paraId="1E0A7BE0"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5F9549" w14:textId="77777777" w:rsidR="005513D1" w:rsidRDefault="005513D1" w:rsidP="00BE4FB6">
            <w:pPr>
              <w:spacing w:after="0"/>
              <w:jc w:val="center"/>
            </w:pPr>
            <w:r w:rsidRPr="207516F7">
              <w:rPr>
                <w:rFonts w:ascii="Times New Roman" w:eastAsia="Times New Roman" w:hAnsi="Times New Roman" w:cs="Times New Roman"/>
              </w:rPr>
              <w:t>7</w:t>
            </w:r>
          </w:p>
        </w:tc>
        <w:tc>
          <w:tcPr>
            <w:tcW w:w="2968" w:type="dxa"/>
            <w:vMerge/>
            <w:tcBorders>
              <w:left w:val="single" w:sz="0" w:space="0" w:color="auto"/>
              <w:bottom w:val="single" w:sz="0" w:space="0" w:color="auto"/>
              <w:right w:val="single" w:sz="0" w:space="0" w:color="auto"/>
            </w:tcBorders>
            <w:vAlign w:val="center"/>
          </w:tcPr>
          <w:p w14:paraId="4EEF06EE" w14:textId="77777777" w:rsidR="005513D1" w:rsidRDefault="005513D1" w:rsidP="00BE4FB6"/>
        </w:tc>
        <w:tc>
          <w:tcPr>
            <w:tcW w:w="1579" w:type="dxa"/>
            <w:vMerge/>
            <w:tcBorders>
              <w:left w:val="single" w:sz="0" w:space="0" w:color="auto"/>
              <w:bottom w:val="single" w:sz="0" w:space="0" w:color="auto"/>
              <w:right w:val="single" w:sz="0" w:space="0" w:color="auto"/>
            </w:tcBorders>
            <w:vAlign w:val="center"/>
          </w:tcPr>
          <w:p w14:paraId="42E9CA80" w14:textId="77777777" w:rsidR="005513D1" w:rsidRDefault="005513D1" w:rsidP="00BE4FB6"/>
        </w:tc>
      </w:tr>
      <w:tr w:rsidR="005513D1" w14:paraId="0502FD39"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3EFF05" w14:textId="77777777" w:rsidR="005513D1" w:rsidRDefault="005513D1" w:rsidP="00BE4FB6">
            <w:pPr>
              <w:spacing w:after="0"/>
              <w:jc w:val="center"/>
            </w:pPr>
            <w:r w:rsidRPr="207516F7">
              <w:rPr>
                <w:rFonts w:ascii="Times New Roman" w:eastAsia="Times New Roman" w:hAnsi="Times New Roman" w:cs="Times New Roman"/>
              </w:rPr>
              <w:t>4</w:t>
            </w:r>
          </w:p>
        </w:tc>
        <w:tc>
          <w:tcPr>
            <w:tcW w:w="2968"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72CA1098" w14:textId="77777777" w:rsidR="005513D1" w:rsidRDefault="005513D1" w:rsidP="00BE4FB6">
            <w:pPr>
              <w:spacing w:after="0"/>
              <w:jc w:val="center"/>
            </w:pPr>
            <w:r w:rsidRPr="207516F7">
              <w:rPr>
                <w:rFonts w:ascii="Times New Roman" w:eastAsia="Times New Roman" w:hAnsi="Times New Roman" w:cs="Times New Roman"/>
              </w:rPr>
              <w:t>60 &lt;= Edad_producto &lt;= 100</w:t>
            </w:r>
          </w:p>
        </w:tc>
        <w:tc>
          <w:tcPr>
            <w:tcW w:w="1579"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4CEB96BF" w14:textId="77777777" w:rsidR="005513D1" w:rsidRDefault="005513D1" w:rsidP="00BE4FB6">
            <w:pPr>
              <w:spacing w:after="0"/>
              <w:jc w:val="center"/>
            </w:pPr>
            <w:r w:rsidRPr="207516F7">
              <w:rPr>
                <w:rFonts w:ascii="Times New Roman" w:eastAsia="Times New Roman" w:hAnsi="Times New Roman" w:cs="Times New Roman"/>
              </w:rPr>
              <w:t>Debe mejorar</w:t>
            </w:r>
          </w:p>
        </w:tc>
      </w:tr>
      <w:tr w:rsidR="005513D1" w14:paraId="6FBBC892"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B93365" w14:textId="77777777" w:rsidR="005513D1" w:rsidRDefault="005513D1" w:rsidP="00BE4FB6">
            <w:pPr>
              <w:spacing w:after="0"/>
              <w:jc w:val="center"/>
            </w:pPr>
            <w:r w:rsidRPr="207516F7">
              <w:rPr>
                <w:rFonts w:ascii="Times New Roman" w:eastAsia="Times New Roman" w:hAnsi="Times New Roman" w:cs="Times New Roman"/>
              </w:rPr>
              <w:lastRenderedPageBreak/>
              <w:t>5</w:t>
            </w:r>
          </w:p>
        </w:tc>
        <w:tc>
          <w:tcPr>
            <w:tcW w:w="2968" w:type="dxa"/>
            <w:vMerge/>
            <w:tcBorders>
              <w:left w:val="single" w:sz="0" w:space="0" w:color="auto"/>
              <w:right w:val="single" w:sz="0" w:space="0" w:color="auto"/>
            </w:tcBorders>
            <w:vAlign w:val="center"/>
          </w:tcPr>
          <w:p w14:paraId="01F592AC" w14:textId="77777777" w:rsidR="005513D1" w:rsidRDefault="005513D1" w:rsidP="00BE4FB6"/>
        </w:tc>
        <w:tc>
          <w:tcPr>
            <w:tcW w:w="1579" w:type="dxa"/>
            <w:vMerge/>
            <w:tcBorders>
              <w:left w:val="single" w:sz="0" w:space="0" w:color="auto"/>
              <w:right w:val="single" w:sz="0" w:space="0" w:color="auto"/>
            </w:tcBorders>
            <w:vAlign w:val="center"/>
          </w:tcPr>
          <w:p w14:paraId="45086FF4" w14:textId="77777777" w:rsidR="005513D1" w:rsidRDefault="005513D1" w:rsidP="00BE4FB6"/>
        </w:tc>
      </w:tr>
      <w:tr w:rsidR="005513D1" w14:paraId="0E7D97DF"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20A6D39" w14:textId="77777777" w:rsidR="005513D1" w:rsidRDefault="005513D1" w:rsidP="00BE4FB6">
            <w:pPr>
              <w:spacing w:after="0"/>
              <w:jc w:val="center"/>
            </w:pPr>
            <w:r w:rsidRPr="207516F7">
              <w:rPr>
                <w:rFonts w:ascii="Times New Roman" w:eastAsia="Times New Roman" w:hAnsi="Times New Roman" w:cs="Times New Roman"/>
              </w:rPr>
              <w:t>6</w:t>
            </w:r>
          </w:p>
        </w:tc>
        <w:tc>
          <w:tcPr>
            <w:tcW w:w="2968" w:type="dxa"/>
            <w:vMerge/>
            <w:tcBorders>
              <w:left w:val="single" w:sz="0" w:space="0" w:color="auto"/>
              <w:right w:val="single" w:sz="0" w:space="0" w:color="auto"/>
            </w:tcBorders>
            <w:vAlign w:val="center"/>
          </w:tcPr>
          <w:p w14:paraId="350CD1A4" w14:textId="77777777" w:rsidR="005513D1" w:rsidRDefault="005513D1" w:rsidP="00BE4FB6"/>
        </w:tc>
        <w:tc>
          <w:tcPr>
            <w:tcW w:w="1579" w:type="dxa"/>
            <w:vMerge/>
            <w:tcBorders>
              <w:left w:val="single" w:sz="0" w:space="0" w:color="auto"/>
              <w:right w:val="single" w:sz="0" w:space="0" w:color="auto"/>
            </w:tcBorders>
            <w:vAlign w:val="center"/>
          </w:tcPr>
          <w:p w14:paraId="47D34151" w14:textId="77777777" w:rsidR="005513D1" w:rsidRDefault="005513D1" w:rsidP="00BE4FB6"/>
        </w:tc>
      </w:tr>
      <w:tr w:rsidR="005513D1" w14:paraId="7455C768"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37F884" w14:textId="77777777" w:rsidR="005513D1" w:rsidRDefault="005513D1" w:rsidP="00BE4FB6">
            <w:pPr>
              <w:spacing w:after="0"/>
              <w:jc w:val="center"/>
            </w:pPr>
            <w:r w:rsidRPr="207516F7">
              <w:rPr>
                <w:rFonts w:ascii="Times New Roman" w:eastAsia="Times New Roman" w:hAnsi="Times New Roman" w:cs="Times New Roman"/>
              </w:rPr>
              <w:t>7</w:t>
            </w:r>
          </w:p>
        </w:tc>
        <w:tc>
          <w:tcPr>
            <w:tcW w:w="2968" w:type="dxa"/>
            <w:vMerge/>
            <w:tcBorders>
              <w:left w:val="single" w:sz="0" w:space="0" w:color="auto"/>
              <w:bottom w:val="single" w:sz="0" w:space="0" w:color="auto"/>
              <w:right w:val="single" w:sz="0" w:space="0" w:color="auto"/>
            </w:tcBorders>
            <w:vAlign w:val="center"/>
          </w:tcPr>
          <w:p w14:paraId="1545A3C4" w14:textId="77777777" w:rsidR="005513D1" w:rsidRDefault="005513D1" w:rsidP="00BE4FB6"/>
        </w:tc>
        <w:tc>
          <w:tcPr>
            <w:tcW w:w="1579" w:type="dxa"/>
            <w:vMerge/>
            <w:tcBorders>
              <w:left w:val="single" w:sz="0" w:space="0" w:color="auto"/>
              <w:bottom w:val="single" w:sz="0" w:space="0" w:color="auto"/>
              <w:right w:val="single" w:sz="0" w:space="0" w:color="auto"/>
            </w:tcBorders>
            <w:vAlign w:val="center"/>
          </w:tcPr>
          <w:p w14:paraId="2BA85872" w14:textId="77777777" w:rsidR="005513D1" w:rsidRDefault="005513D1" w:rsidP="00BE4FB6"/>
        </w:tc>
      </w:tr>
      <w:tr w:rsidR="005513D1" w14:paraId="38621FD5"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CFD140" w14:textId="77777777" w:rsidR="005513D1" w:rsidRDefault="005513D1" w:rsidP="00BE4FB6">
            <w:pPr>
              <w:spacing w:after="0"/>
              <w:jc w:val="center"/>
            </w:pPr>
            <w:r w:rsidRPr="207516F7">
              <w:rPr>
                <w:rFonts w:ascii="Times New Roman" w:eastAsia="Times New Roman" w:hAnsi="Times New Roman" w:cs="Times New Roman"/>
              </w:rPr>
              <w:t>4</w:t>
            </w:r>
          </w:p>
        </w:tc>
        <w:tc>
          <w:tcPr>
            <w:tcW w:w="2968"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549B5073" w14:textId="77777777" w:rsidR="005513D1" w:rsidRDefault="005513D1" w:rsidP="00BE4FB6">
            <w:pPr>
              <w:spacing w:after="0"/>
              <w:jc w:val="center"/>
            </w:pPr>
            <w:r w:rsidRPr="207516F7">
              <w:rPr>
                <w:rFonts w:ascii="Times New Roman" w:eastAsia="Times New Roman" w:hAnsi="Times New Roman" w:cs="Times New Roman"/>
              </w:rPr>
              <w:t>&gt; 100</w:t>
            </w:r>
          </w:p>
        </w:tc>
        <w:tc>
          <w:tcPr>
            <w:tcW w:w="1579" w:type="dxa"/>
            <w:vMerge w:val="restart"/>
            <w:tcBorders>
              <w:top w:val="nil"/>
              <w:left w:val="single" w:sz="4" w:space="0" w:color="auto"/>
              <w:bottom w:val="single" w:sz="4" w:space="0" w:color="auto"/>
              <w:right w:val="single" w:sz="4" w:space="0" w:color="auto"/>
            </w:tcBorders>
            <w:tcMar>
              <w:top w:w="15" w:type="dxa"/>
              <w:left w:w="15" w:type="dxa"/>
              <w:right w:w="15" w:type="dxa"/>
            </w:tcMar>
            <w:vAlign w:val="center"/>
          </w:tcPr>
          <w:p w14:paraId="656A4190" w14:textId="77777777" w:rsidR="005513D1" w:rsidRDefault="005513D1" w:rsidP="00BE4FB6">
            <w:pPr>
              <w:spacing w:after="0"/>
              <w:jc w:val="center"/>
            </w:pPr>
            <w:r w:rsidRPr="207516F7">
              <w:rPr>
                <w:rFonts w:ascii="Times New Roman" w:eastAsia="Times New Roman" w:hAnsi="Times New Roman" w:cs="Times New Roman"/>
              </w:rPr>
              <w:t>Inaceptable</w:t>
            </w:r>
          </w:p>
        </w:tc>
      </w:tr>
      <w:tr w:rsidR="005513D1" w14:paraId="60A44C61"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76C0526" w14:textId="77777777" w:rsidR="005513D1" w:rsidRDefault="005513D1" w:rsidP="00BE4FB6">
            <w:pPr>
              <w:spacing w:after="0"/>
              <w:jc w:val="center"/>
            </w:pPr>
            <w:r w:rsidRPr="207516F7">
              <w:rPr>
                <w:rFonts w:ascii="Times New Roman" w:eastAsia="Times New Roman" w:hAnsi="Times New Roman" w:cs="Times New Roman"/>
              </w:rPr>
              <w:t>5</w:t>
            </w:r>
          </w:p>
        </w:tc>
        <w:tc>
          <w:tcPr>
            <w:tcW w:w="2968" w:type="dxa"/>
            <w:vMerge/>
            <w:tcBorders>
              <w:left w:val="single" w:sz="0" w:space="0" w:color="auto"/>
              <w:right w:val="single" w:sz="0" w:space="0" w:color="auto"/>
            </w:tcBorders>
            <w:vAlign w:val="center"/>
          </w:tcPr>
          <w:p w14:paraId="760E4351" w14:textId="77777777" w:rsidR="005513D1" w:rsidRDefault="005513D1" w:rsidP="00BE4FB6"/>
        </w:tc>
        <w:tc>
          <w:tcPr>
            <w:tcW w:w="1579" w:type="dxa"/>
            <w:vMerge/>
            <w:tcBorders>
              <w:left w:val="single" w:sz="0" w:space="0" w:color="auto"/>
              <w:right w:val="single" w:sz="0" w:space="0" w:color="auto"/>
            </w:tcBorders>
            <w:vAlign w:val="center"/>
          </w:tcPr>
          <w:p w14:paraId="1C396354" w14:textId="77777777" w:rsidR="005513D1" w:rsidRDefault="005513D1" w:rsidP="00BE4FB6"/>
        </w:tc>
      </w:tr>
      <w:tr w:rsidR="005513D1" w14:paraId="7AD37026"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130E4A" w14:textId="77777777" w:rsidR="005513D1" w:rsidRDefault="005513D1" w:rsidP="00BE4FB6">
            <w:pPr>
              <w:spacing w:after="0"/>
              <w:jc w:val="center"/>
            </w:pPr>
            <w:r w:rsidRPr="207516F7">
              <w:rPr>
                <w:rFonts w:ascii="Times New Roman" w:eastAsia="Times New Roman" w:hAnsi="Times New Roman" w:cs="Times New Roman"/>
              </w:rPr>
              <w:t>6</w:t>
            </w:r>
          </w:p>
        </w:tc>
        <w:tc>
          <w:tcPr>
            <w:tcW w:w="2968" w:type="dxa"/>
            <w:vMerge/>
            <w:tcBorders>
              <w:left w:val="single" w:sz="0" w:space="0" w:color="auto"/>
              <w:right w:val="single" w:sz="0" w:space="0" w:color="auto"/>
            </w:tcBorders>
            <w:vAlign w:val="center"/>
          </w:tcPr>
          <w:p w14:paraId="6817F9AF" w14:textId="77777777" w:rsidR="005513D1" w:rsidRDefault="005513D1" w:rsidP="00BE4FB6"/>
        </w:tc>
        <w:tc>
          <w:tcPr>
            <w:tcW w:w="1579" w:type="dxa"/>
            <w:vMerge/>
            <w:tcBorders>
              <w:left w:val="single" w:sz="0" w:space="0" w:color="auto"/>
              <w:right w:val="single" w:sz="0" w:space="0" w:color="auto"/>
            </w:tcBorders>
            <w:vAlign w:val="center"/>
          </w:tcPr>
          <w:p w14:paraId="7AD28F61" w14:textId="77777777" w:rsidR="005513D1" w:rsidRDefault="005513D1" w:rsidP="00BE4FB6"/>
        </w:tc>
      </w:tr>
      <w:tr w:rsidR="005513D1" w14:paraId="0F371F88" w14:textId="77777777" w:rsidTr="00BE4FB6">
        <w:trPr>
          <w:trHeight w:val="270"/>
          <w:jc w:val="center"/>
        </w:trPr>
        <w:tc>
          <w:tcPr>
            <w:tcW w:w="9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826202" w14:textId="77777777" w:rsidR="005513D1" w:rsidRDefault="005513D1" w:rsidP="00BE4FB6">
            <w:pPr>
              <w:spacing w:after="0"/>
              <w:jc w:val="center"/>
            </w:pPr>
            <w:r w:rsidRPr="207516F7">
              <w:rPr>
                <w:rFonts w:ascii="Times New Roman" w:eastAsia="Times New Roman" w:hAnsi="Times New Roman" w:cs="Times New Roman"/>
              </w:rPr>
              <w:t>7</w:t>
            </w:r>
          </w:p>
        </w:tc>
        <w:tc>
          <w:tcPr>
            <w:tcW w:w="2968" w:type="dxa"/>
            <w:vMerge/>
            <w:tcBorders>
              <w:left w:val="single" w:sz="0" w:space="0" w:color="auto"/>
              <w:bottom w:val="single" w:sz="0" w:space="0" w:color="auto"/>
              <w:right w:val="single" w:sz="0" w:space="0" w:color="auto"/>
            </w:tcBorders>
            <w:vAlign w:val="center"/>
          </w:tcPr>
          <w:p w14:paraId="50F6B879" w14:textId="77777777" w:rsidR="005513D1" w:rsidRDefault="005513D1" w:rsidP="00BE4FB6"/>
        </w:tc>
        <w:tc>
          <w:tcPr>
            <w:tcW w:w="1579" w:type="dxa"/>
            <w:vMerge/>
            <w:tcBorders>
              <w:left w:val="single" w:sz="0" w:space="0" w:color="auto"/>
              <w:bottom w:val="single" w:sz="0" w:space="0" w:color="auto"/>
              <w:right w:val="single" w:sz="0" w:space="0" w:color="auto"/>
            </w:tcBorders>
            <w:vAlign w:val="center"/>
          </w:tcPr>
          <w:p w14:paraId="240FDA51" w14:textId="77777777" w:rsidR="005513D1" w:rsidRDefault="005513D1" w:rsidP="00BE4FB6"/>
        </w:tc>
      </w:tr>
    </w:tbl>
    <w:p w14:paraId="50C17088" w14:textId="77777777" w:rsidR="005513D1" w:rsidRDefault="005513D1" w:rsidP="005513D1">
      <w:pPr>
        <w:pStyle w:val="NormalWeb"/>
        <w:shd w:val="clear" w:color="auto" w:fill="FFFFFF" w:themeFill="background1"/>
        <w:spacing w:before="0" w:beforeAutospacing="0" w:after="0" w:afterAutospacing="0"/>
        <w:jc w:val="both"/>
        <w:rPr>
          <w:color w:val="1F1F1F"/>
        </w:rPr>
      </w:pPr>
    </w:p>
    <w:p w14:paraId="2807003A" w14:textId="77777777" w:rsidR="005513D1" w:rsidRDefault="005513D1" w:rsidP="005513D1">
      <w:pPr>
        <w:pStyle w:val="NormalWeb"/>
        <w:shd w:val="clear" w:color="auto" w:fill="FFFFFF" w:themeFill="background1"/>
        <w:spacing w:before="0" w:beforeAutospacing="0" w:after="0" w:afterAutospacing="0"/>
        <w:jc w:val="both"/>
        <w:rPr>
          <w:color w:val="1F1F1F"/>
        </w:rPr>
      </w:pPr>
      <w:r w:rsidRPr="207516F7">
        <w:rPr>
          <w:color w:val="1F1F1F"/>
        </w:rPr>
        <w:t>Que nos daría un total de 11 variables categóricas, 4 son fechas y 3 son numéricas.</w:t>
      </w:r>
    </w:p>
    <w:p w14:paraId="2FA07D59" w14:textId="77777777" w:rsidR="005513D1" w:rsidRDefault="005513D1" w:rsidP="005513D1">
      <w:pPr>
        <w:pStyle w:val="NormalWeb"/>
        <w:shd w:val="clear" w:color="auto" w:fill="FFFFFF" w:themeFill="background1"/>
        <w:spacing w:before="0" w:beforeAutospacing="0" w:after="0" w:afterAutospacing="0"/>
        <w:jc w:val="both"/>
        <w:rPr>
          <w:color w:val="1F1F1F"/>
        </w:rPr>
      </w:pPr>
      <w:r w:rsidRPr="207516F7">
        <w:rPr>
          <w:color w:val="1F1F1F"/>
        </w:rPr>
        <w:t xml:space="preserve">A continuación, se realiza una breve descripción de las variables disponibles. </w:t>
      </w:r>
    </w:p>
    <w:p w14:paraId="3AF595BA" w14:textId="77777777" w:rsidR="005513D1" w:rsidRDefault="005513D1" w:rsidP="005513D1">
      <w:pPr>
        <w:pStyle w:val="NormalWeb"/>
        <w:shd w:val="clear" w:color="auto" w:fill="FFFFFF" w:themeFill="background1"/>
        <w:spacing w:before="0" w:beforeAutospacing="0" w:after="0" w:afterAutospacing="0"/>
        <w:rPr>
          <w:rStyle w:val="nfasis"/>
          <w:b/>
          <w:bCs/>
          <w:color w:val="525252" w:themeColor="accent3" w:themeShade="80"/>
        </w:rPr>
      </w:pPr>
    </w:p>
    <w:p w14:paraId="7A7DC49A" w14:textId="77777777" w:rsidR="005513D1" w:rsidRDefault="005513D1" w:rsidP="005513D1">
      <w:pPr>
        <w:pStyle w:val="NormalWeb"/>
        <w:shd w:val="clear" w:color="auto" w:fill="FFFFFF" w:themeFill="background1"/>
        <w:spacing w:before="0" w:beforeAutospacing="0" w:after="0" w:afterAutospacing="0"/>
        <w:ind w:left="360"/>
        <w:jc w:val="center"/>
        <w:rPr>
          <w:rStyle w:val="nfasis"/>
          <w:rFonts w:asciiTheme="minorHAnsi" w:eastAsiaTheme="minorEastAsia" w:hAnsiTheme="minorHAnsi" w:cstheme="minorBidi"/>
          <w:b/>
          <w:bCs/>
          <w:i w:val="0"/>
          <w:iCs w:val="0"/>
          <w:color w:val="525252" w:themeColor="accent3" w:themeShade="80"/>
        </w:rPr>
      </w:pPr>
      <w:r w:rsidRPr="207516F7">
        <w:rPr>
          <w:rStyle w:val="nfasis"/>
          <w:rFonts w:asciiTheme="minorHAnsi" w:eastAsiaTheme="minorEastAsia" w:hAnsiTheme="minorHAnsi" w:cstheme="minorBidi"/>
          <w:b/>
          <w:bCs/>
          <w:color w:val="525252" w:themeColor="accent3" w:themeShade="80"/>
        </w:rPr>
        <w:t>Tabla 2. Descripción de l</w:t>
      </w:r>
      <w:r>
        <w:rPr>
          <w:rStyle w:val="nfasis"/>
          <w:rFonts w:asciiTheme="minorHAnsi" w:eastAsiaTheme="minorEastAsia" w:hAnsiTheme="minorHAnsi" w:cstheme="minorBidi"/>
          <w:b/>
          <w:bCs/>
          <w:color w:val="525252" w:themeColor="accent3" w:themeShade="80"/>
        </w:rPr>
        <w:t xml:space="preserve">os campo </w:t>
      </w:r>
      <w:r w:rsidRPr="207516F7">
        <w:rPr>
          <w:rStyle w:val="nfasis"/>
          <w:rFonts w:asciiTheme="minorHAnsi" w:eastAsiaTheme="minorEastAsia" w:hAnsiTheme="minorHAnsi" w:cstheme="minorBidi"/>
          <w:b/>
          <w:bCs/>
          <w:color w:val="525252" w:themeColor="accent3" w:themeShade="80"/>
        </w:rPr>
        <w:t>incluid</w:t>
      </w:r>
      <w:r>
        <w:rPr>
          <w:rStyle w:val="nfasis"/>
          <w:rFonts w:asciiTheme="minorHAnsi" w:eastAsiaTheme="minorEastAsia" w:hAnsiTheme="minorHAnsi" w:cstheme="minorBidi"/>
          <w:b/>
          <w:bCs/>
          <w:color w:val="525252" w:themeColor="accent3" w:themeShade="80"/>
        </w:rPr>
        <w:t>o</w:t>
      </w:r>
      <w:r w:rsidRPr="207516F7">
        <w:rPr>
          <w:rStyle w:val="nfasis"/>
          <w:rFonts w:asciiTheme="minorHAnsi" w:eastAsiaTheme="minorEastAsia" w:hAnsiTheme="minorHAnsi" w:cstheme="minorBidi"/>
          <w:b/>
          <w:bCs/>
          <w:color w:val="525252" w:themeColor="accent3" w:themeShade="80"/>
        </w:rPr>
        <w:t xml:space="preserve">s </w:t>
      </w:r>
      <w:r>
        <w:rPr>
          <w:rStyle w:val="nfasis"/>
          <w:rFonts w:asciiTheme="minorHAnsi" w:eastAsiaTheme="minorEastAsia" w:hAnsiTheme="minorHAnsi" w:cstheme="minorBidi"/>
          <w:b/>
          <w:bCs/>
          <w:color w:val="525252" w:themeColor="accent3" w:themeShade="80"/>
        </w:rPr>
        <w:t>en la base final</w:t>
      </w:r>
    </w:p>
    <w:tbl>
      <w:tblPr>
        <w:tblStyle w:val="Tablaconcuadrcula6concolores"/>
        <w:tblW w:w="8751" w:type="dxa"/>
        <w:tblLook w:val="06A0" w:firstRow="1" w:lastRow="0" w:firstColumn="1" w:lastColumn="0" w:noHBand="1" w:noVBand="1"/>
      </w:tblPr>
      <w:tblGrid>
        <w:gridCol w:w="2189"/>
        <w:gridCol w:w="1496"/>
        <w:gridCol w:w="1256"/>
        <w:gridCol w:w="3810"/>
      </w:tblGrid>
      <w:tr w:rsidR="005513D1" w:rsidRPr="00C46426" w14:paraId="03B086A5" w14:textId="77777777" w:rsidTr="00BE4F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45EC4573" w14:textId="77777777" w:rsidR="005513D1" w:rsidRPr="00C46426" w:rsidRDefault="005513D1" w:rsidP="00BE4FB6">
            <w:pPr>
              <w:pStyle w:val="NormalWeb"/>
              <w:shd w:val="clear" w:color="auto" w:fill="FFFFFF" w:themeFill="background1"/>
              <w:spacing w:after="0"/>
              <w:jc w:val="both"/>
              <w:rPr>
                <w:color w:val="1F1F1F"/>
              </w:rPr>
            </w:pPr>
            <w:r w:rsidRPr="207516F7">
              <w:rPr>
                <w:color w:val="1F1F1F"/>
              </w:rPr>
              <w:t>Columnas</w:t>
            </w:r>
          </w:p>
        </w:tc>
        <w:tc>
          <w:tcPr>
            <w:tcW w:w="1496" w:type="dxa"/>
          </w:tcPr>
          <w:p w14:paraId="14313036" w14:textId="77777777" w:rsidR="005513D1" w:rsidRDefault="005513D1" w:rsidP="00BE4FB6">
            <w:pPr>
              <w:pStyle w:val="NormalWeb"/>
              <w:cnfStyle w:val="100000000000" w:firstRow="1" w:lastRow="0" w:firstColumn="0" w:lastColumn="0" w:oddVBand="0" w:evenVBand="0" w:oddHBand="0" w:evenHBand="0" w:firstRowFirstColumn="0" w:firstRowLastColumn="0" w:lastRowFirstColumn="0" w:lastRowLastColumn="0"/>
              <w:rPr>
                <w:color w:val="1F1F1F"/>
              </w:rPr>
            </w:pPr>
            <w:r w:rsidRPr="207516F7">
              <w:rPr>
                <w:color w:val="1F1F1F"/>
              </w:rPr>
              <w:t>Fuente</w:t>
            </w:r>
          </w:p>
        </w:tc>
        <w:tc>
          <w:tcPr>
            <w:tcW w:w="1256" w:type="dxa"/>
          </w:tcPr>
          <w:p w14:paraId="3E133C84" w14:textId="77777777" w:rsidR="005513D1" w:rsidRDefault="005513D1" w:rsidP="00BE4FB6">
            <w:pPr>
              <w:pStyle w:val="NormalWeb"/>
              <w:cnfStyle w:val="100000000000" w:firstRow="1" w:lastRow="0" w:firstColumn="0" w:lastColumn="0" w:oddVBand="0" w:evenVBand="0" w:oddHBand="0" w:evenHBand="0" w:firstRowFirstColumn="0" w:firstRowLastColumn="0" w:lastRowFirstColumn="0" w:lastRowLastColumn="0"/>
              <w:rPr>
                <w:color w:val="1F1F1F"/>
              </w:rPr>
            </w:pPr>
            <w:r w:rsidRPr="207516F7">
              <w:rPr>
                <w:color w:val="1F1F1F"/>
              </w:rPr>
              <w:t>Tipo de dato</w:t>
            </w:r>
          </w:p>
        </w:tc>
        <w:tc>
          <w:tcPr>
            <w:tcW w:w="3810" w:type="dxa"/>
            <w:noWrap/>
            <w:hideMark/>
          </w:tcPr>
          <w:p w14:paraId="030576F0" w14:textId="77777777" w:rsidR="005513D1" w:rsidRPr="00C46426" w:rsidRDefault="005513D1" w:rsidP="00BE4FB6">
            <w:pPr>
              <w:pStyle w:val="NormalWeb"/>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color w:val="1F1F1F"/>
              </w:rPr>
            </w:pPr>
            <w:r w:rsidRPr="207516F7">
              <w:rPr>
                <w:color w:val="1F1F1F"/>
              </w:rPr>
              <w:t>Descripción</w:t>
            </w:r>
          </w:p>
        </w:tc>
      </w:tr>
      <w:tr w:rsidR="005513D1" w:rsidRPr="00C46426" w14:paraId="08CF2550"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262A16ED" w14:textId="77777777" w:rsidR="005513D1" w:rsidRPr="00C46426" w:rsidRDefault="005513D1" w:rsidP="00BE4FB6">
            <w:pPr>
              <w:pStyle w:val="NormalWeb"/>
              <w:shd w:val="clear" w:color="auto" w:fill="FFFFFF" w:themeFill="background1"/>
              <w:spacing w:after="0"/>
              <w:rPr>
                <w:color w:val="1F1F1F"/>
              </w:rPr>
            </w:pPr>
            <w:r w:rsidRPr="207516F7">
              <w:rPr>
                <w:color w:val="1F1F1F"/>
              </w:rPr>
              <w:t>Referencia</w:t>
            </w:r>
          </w:p>
        </w:tc>
        <w:tc>
          <w:tcPr>
            <w:tcW w:w="1496" w:type="dxa"/>
          </w:tcPr>
          <w:p w14:paraId="37BE484C"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19E85DC5"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 xml:space="preserve">Categórica </w:t>
            </w:r>
          </w:p>
        </w:tc>
        <w:tc>
          <w:tcPr>
            <w:tcW w:w="3810" w:type="dxa"/>
            <w:noWrap/>
            <w:hideMark/>
          </w:tcPr>
          <w:p w14:paraId="02621BBF"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Referencia de la marca, compuesta por la marca, el envase, el tamaño y el tipo</w:t>
            </w:r>
          </w:p>
        </w:tc>
      </w:tr>
      <w:tr w:rsidR="005513D1" w:rsidRPr="00C46426" w14:paraId="777611C1"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0DD72704" w14:textId="77777777" w:rsidR="005513D1" w:rsidRPr="00C46426" w:rsidRDefault="005513D1" w:rsidP="00BE4FB6">
            <w:pPr>
              <w:pStyle w:val="NormalWeb"/>
              <w:shd w:val="clear" w:color="auto" w:fill="FFFFFF" w:themeFill="background1"/>
              <w:spacing w:after="0"/>
              <w:rPr>
                <w:color w:val="1F1F1F"/>
              </w:rPr>
            </w:pPr>
            <w:r w:rsidRPr="207516F7">
              <w:rPr>
                <w:color w:val="1F1F1F"/>
              </w:rPr>
              <w:t>Establecimiento</w:t>
            </w:r>
          </w:p>
        </w:tc>
        <w:tc>
          <w:tcPr>
            <w:tcW w:w="1496" w:type="dxa"/>
          </w:tcPr>
          <w:p w14:paraId="12006A5C"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34FD1291"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6BBE1D47"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Lugar donde se realizó la encuesta</w:t>
            </w:r>
          </w:p>
        </w:tc>
      </w:tr>
      <w:tr w:rsidR="005513D1" w:rsidRPr="00C46426" w14:paraId="4C899C79"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0794235C" w14:textId="77777777" w:rsidR="005513D1" w:rsidRPr="00C46426" w:rsidRDefault="005513D1" w:rsidP="00BE4FB6">
            <w:pPr>
              <w:pStyle w:val="NormalWeb"/>
              <w:shd w:val="clear" w:color="auto" w:fill="FFFFFF" w:themeFill="background1"/>
              <w:spacing w:after="0"/>
              <w:rPr>
                <w:color w:val="1F1F1F"/>
              </w:rPr>
            </w:pPr>
            <w:r w:rsidRPr="207516F7">
              <w:rPr>
                <w:color w:val="1F1F1F"/>
              </w:rPr>
              <w:t>Ciudad</w:t>
            </w:r>
          </w:p>
        </w:tc>
        <w:tc>
          <w:tcPr>
            <w:tcW w:w="1496" w:type="dxa"/>
          </w:tcPr>
          <w:p w14:paraId="591D38D7"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511A87B1"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01D4673F"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Ciudad</w:t>
            </w:r>
          </w:p>
        </w:tc>
      </w:tr>
      <w:tr w:rsidR="005513D1" w:rsidRPr="00C46426" w14:paraId="3E9FE4FB"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644BDD4" w14:textId="77777777" w:rsidR="005513D1" w:rsidRPr="00C46426" w:rsidRDefault="005513D1" w:rsidP="00BE4FB6">
            <w:pPr>
              <w:pStyle w:val="NormalWeb"/>
              <w:shd w:val="clear" w:color="auto" w:fill="FFFFFF" w:themeFill="background1"/>
              <w:spacing w:after="0"/>
              <w:rPr>
                <w:color w:val="1F1F1F"/>
              </w:rPr>
            </w:pPr>
            <w:r w:rsidRPr="207516F7">
              <w:rPr>
                <w:color w:val="1F1F1F"/>
              </w:rPr>
              <w:t>Canal</w:t>
            </w:r>
          </w:p>
        </w:tc>
        <w:tc>
          <w:tcPr>
            <w:tcW w:w="1496" w:type="dxa"/>
          </w:tcPr>
          <w:p w14:paraId="26333FC4"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1721FC33"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0DD4FAA3"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Grupo de lugar donde se realizó la encuesta</w:t>
            </w:r>
          </w:p>
        </w:tc>
      </w:tr>
      <w:tr w:rsidR="005513D1" w:rsidRPr="00C46426" w14:paraId="71DDCAFD"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172039A4" w14:textId="77777777" w:rsidR="005513D1" w:rsidRPr="00C46426" w:rsidRDefault="005513D1" w:rsidP="00BE4FB6">
            <w:pPr>
              <w:pStyle w:val="NormalWeb"/>
              <w:shd w:val="clear" w:color="auto" w:fill="FFFFFF" w:themeFill="background1"/>
              <w:spacing w:after="0"/>
              <w:rPr>
                <w:color w:val="1F1F1F"/>
              </w:rPr>
            </w:pPr>
            <w:r w:rsidRPr="207516F7">
              <w:rPr>
                <w:color w:val="1F1F1F"/>
              </w:rPr>
              <w:t>Fecha_vencimiento</w:t>
            </w:r>
          </w:p>
        </w:tc>
        <w:tc>
          <w:tcPr>
            <w:tcW w:w="1496" w:type="dxa"/>
          </w:tcPr>
          <w:p w14:paraId="4A5014DB"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7D3CEBF3"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Fecha</w:t>
            </w:r>
          </w:p>
        </w:tc>
        <w:tc>
          <w:tcPr>
            <w:tcW w:w="3810" w:type="dxa"/>
            <w:noWrap/>
            <w:hideMark/>
          </w:tcPr>
          <w:p w14:paraId="2534B3AD"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Fecha de vencimiento de la muestra evaluada</w:t>
            </w:r>
          </w:p>
        </w:tc>
      </w:tr>
      <w:tr w:rsidR="005513D1" w:rsidRPr="00C46426" w14:paraId="0097D8B8"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64C12F43" w14:textId="77777777" w:rsidR="005513D1" w:rsidRPr="00C46426" w:rsidRDefault="005513D1" w:rsidP="00BE4FB6">
            <w:pPr>
              <w:pStyle w:val="NormalWeb"/>
              <w:shd w:val="clear" w:color="auto" w:fill="FFFFFF" w:themeFill="background1"/>
              <w:spacing w:after="0"/>
              <w:rPr>
                <w:color w:val="1F1F1F"/>
              </w:rPr>
            </w:pPr>
            <w:r w:rsidRPr="207516F7">
              <w:rPr>
                <w:color w:val="1F1F1F"/>
              </w:rPr>
              <w:t>Edad_producto</w:t>
            </w:r>
          </w:p>
        </w:tc>
        <w:tc>
          <w:tcPr>
            <w:tcW w:w="1496" w:type="dxa"/>
          </w:tcPr>
          <w:p w14:paraId="623F1825"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298E387B"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Numérica</w:t>
            </w:r>
          </w:p>
        </w:tc>
        <w:tc>
          <w:tcPr>
            <w:tcW w:w="3810" w:type="dxa"/>
            <w:noWrap/>
            <w:hideMark/>
          </w:tcPr>
          <w:p w14:paraId="501995E2"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Se obtiene a partir: Fecha_encuesta - (Fecha_vencimiento - Vida_Util)</w:t>
            </w:r>
          </w:p>
        </w:tc>
      </w:tr>
      <w:tr w:rsidR="005513D1" w:rsidRPr="00C46426" w14:paraId="20F148AC"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C61C79C" w14:textId="77777777" w:rsidR="005513D1" w:rsidRPr="00C46426" w:rsidRDefault="005513D1" w:rsidP="00BE4FB6">
            <w:pPr>
              <w:pStyle w:val="NormalWeb"/>
              <w:shd w:val="clear" w:color="auto" w:fill="FFFFFF" w:themeFill="background1"/>
              <w:spacing w:after="0"/>
              <w:rPr>
                <w:color w:val="1F1F1F"/>
              </w:rPr>
            </w:pPr>
            <w:r w:rsidRPr="207516F7">
              <w:rPr>
                <w:color w:val="1F1F1F"/>
              </w:rPr>
              <w:t>Lote</w:t>
            </w:r>
          </w:p>
        </w:tc>
        <w:tc>
          <w:tcPr>
            <w:tcW w:w="1496" w:type="dxa"/>
          </w:tcPr>
          <w:p w14:paraId="2E33916D"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0B5EDB2B"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510AA88F"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Lote del producto evaluado</w:t>
            </w:r>
          </w:p>
        </w:tc>
      </w:tr>
      <w:tr w:rsidR="005513D1" w:rsidRPr="00C46426" w14:paraId="3AB456E7"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637DB657" w14:textId="77777777" w:rsidR="005513D1" w:rsidRPr="00C46426" w:rsidRDefault="005513D1" w:rsidP="00BE4FB6">
            <w:pPr>
              <w:pStyle w:val="NormalWeb"/>
              <w:shd w:val="clear" w:color="auto" w:fill="FFFFFF" w:themeFill="background1"/>
              <w:spacing w:after="0"/>
              <w:rPr>
                <w:color w:val="1F1F1F"/>
              </w:rPr>
            </w:pPr>
            <w:r w:rsidRPr="207516F7">
              <w:rPr>
                <w:color w:val="1F1F1F"/>
              </w:rPr>
              <w:t>Vida_util</w:t>
            </w:r>
          </w:p>
        </w:tc>
        <w:tc>
          <w:tcPr>
            <w:tcW w:w="1496" w:type="dxa"/>
          </w:tcPr>
          <w:p w14:paraId="68C908DC"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0365D749"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Numérica</w:t>
            </w:r>
          </w:p>
        </w:tc>
        <w:tc>
          <w:tcPr>
            <w:tcW w:w="3810" w:type="dxa"/>
            <w:noWrap/>
            <w:hideMark/>
          </w:tcPr>
          <w:p w14:paraId="7500CC8E"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Vida útil del producto evaluado</w:t>
            </w:r>
          </w:p>
        </w:tc>
      </w:tr>
      <w:tr w:rsidR="005513D1" w:rsidRPr="00C46426" w14:paraId="2EDC927A"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3376A460" w14:textId="77777777" w:rsidR="005513D1" w:rsidRPr="00C46426" w:rsidRDefault="005513D1" w:rsidP="00BE4FB6">
            <w:pPr>
              <w:pStyle w:val="NormalWeb"/>
              <w:shd w:val="clear" w:color="auto" w:fill="FFFFFF" w:themeFill="background1"/>
              <w:spacing w:after="0"/>
              <w:rPr>
                <w:color w:val="1F1F1F"/>
              </w:rPr>
            </w:pPr>
            <w:r w:rsidRPr="207516F7">
              <w:rPr>
                <w:color w:val="1F1F1F"/>
              </w:rPr>
              <w:t>Fecha_encuesta</w:t>
            </w:r>
          </w:p>
        </w:tc>
        <w:tc>
          <w:tcPr>
            <w:tcW w:w="1496" w:type="dxa"/>
          </w:tcPr>
          <w:p w14:paraId="698CC326"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Original en la base</w:t>
            </w:r>
          </w:p>
        </w:tc>
        <w:tc>
          <w:tcPr>
            <w:tcW w:w="1256" w:type="dxa"/>
          </w:tcPr>
          <w:p w14:paraId="5827858F"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Fecha</w:t>
            </w:r>
          </w:p>
        </w:tc>
        <w:tc>
          <w:tcPr>
            <w:tcW w:w="3810" w:type="dxa"/>
            <w:noWrap/>
            <w:hideMark/>
          </w:tcPr>
          <w:p w14:paraId="7F3BA958" w14:textId="77777777" w:rsidR="005513D1" w:rsidRPr="00C46426" w:rsidRDefault="005513D1" w:rsidP="00BE4FB6">
            <w:pPr>
              <w:pStyle w:val="NormalWeb"/>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Fecha en la que se realizó la evaluación</w:t>
            </w:r>
          </w:p>
        </w:tc>
      </w:tr>
      <w:tr w:rsidR="005513D1" w14:paraId="2545CD7A"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EEC0F63" w14:textId="77777777" w:rsidR="005513D1" w:rsidRDefault="005513D1" w:rsidP="00BE4FB6">
            <w:pPr>
              <w:pStyle w:val="NormalWeb"/>
              <w:rPr>
                <w:color w:val="1F1F1F"/>
              </w:rPr>
            </w:pPr>
            <w:r w:rsidRPr="207516F7">
              <w:rPr>
                <w:color w:val="1F1F1F"/>
              </w:rPr>
              <w:t>Marca</w:t>
            </w:r>
          </w:p>
        </w:tc>
        <w:tc>
          <w:tcPr>
            <w:tcW w:w="1496" w:type="dxa"/>
          </w:tcPr>
          <w:p w14:paraId="2117243B"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tc>
        <w:tc>
          <w:tcPr>
            <w:tcW w:w="1256" w:type="dxa"/>
          </w:tcPr>
          <w:p w14:paraId="0FD5A80E"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129CD28B"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Marca del producto</w:t>
            </w:r>
          </w:p>
        </w:tc>
      </w:tr>
      <w:tr w:rsidR="005513D1" w14:paraId="722FCCBA"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01E896E4" w14:textId="77777777" w:rsidR="005513D1" w:rsidRDefault="005513D1" w:rsidP="00BE4FB6">
            <w:pPr>
              <w:pStyle w:val="NormalWeb"/>
              <w:rPr>
                <w:color w:val="1F1F1F"/>
              </w:rPr>
            </w:pPr>
            <w:r w:rsidRPr="207516F7">
              <w:rPr>
                <w:color w:val="1F1F1F"/>
              </w:rPr>
              <w:t>Envase</w:t>
            </w:r>
          </w:p>
        </w:tc>
        <w:tc>
          <w:tcPr>
            <w:tcW w:w="1496" w:type="dxa"/>
          </w:tcPr>
          <w:p w14:paraId="52F16CF0"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p w14:paraId="12ED114E"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p>
        </w:tc>
        <w:tc>
          <w:tcPr>
            <w:tcW w:w="1256" w:type="dxa"/>
          </w:tcPr>
          <w:p w14:paraId="2BBD86D9"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20EAFE70"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Tipo de envase (lata / botella)</w:t>
            </w:r>
          </w:p>
        </w:tc>
      </w:tr>
      <w:tr w:rsidR="005513D1" w14:paraId="491FCB7F"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2ECDE4B2" w14:textId="77777777" w:rsidR="005513D1" w:rsidRDefault="005513D1" w:rsidP="00BE4FB6">
            <w:pPr>
              <w:pStyle w:val="NormalWeb"/>
              <w:rPr>
                <w:color w:val="1F1F1F"/>
              </w:rPr>
            </w:pPr>
            <w:r w:rsidRPr="207516F7">
              <w:rPr>
                <w:color w:val="1F1F1F"/>
              </w:rPr>
              <w:t>Tamaño</w:t>
            </w:r>
          </w:p>
        </w:tc>
        <w:tc>
          <w:tcPr>
            <w:tcW w:w="1496" w:type="dxa"/>
          </w:tcPr>
          <w:p w14:paraId="2BCB5483"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p w14:paraId="3275E2E2"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p>
        </w:tc>
        <w:tc>
          <w:tcPr>
            <w:tcW w:w="1256" w:type="dxa"/>
          </w:tcPr>
          <w:p w14:paraId="6F8DC1E7"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Numérica</w:t>
            </w:r>
          </w:p>
        </w:tc>
        <w:tc>
          <w:tcPr>
            <w:tcW w:w="3810" w:type="dxa"/>
            <w:noWrap/>
            <w:hideMark/>
          </w:tcPr>
          <w:p w14:paraId="2C54B7E6"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Tamaño del envase en ml</w:t>
            </w:r>
          </w:p>
        </w:tc>
      </w:tr>
      <w:tr w:rsidR="005513D1" w14:paraId="0D800C42"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63CE91EA" w14:textId="77777777" w:rsidR="005513D1" w:rsidRDefault="005513D1" w:rsidP="00BE4FB6">
            <w:pPr>
              <w:pStyle w:val="NormalWeb"/>
              <w:rPr>
                <w:color w:val="1F1F1F"/>
              </w:rPr>
            </w:pPr>
            <w:r w:rsidRPr="207516F7">
              <w:rPr>
                <w:color w:val="1F1F1F"/>
              </w:rPr>
              <w:t>Retornabilidad</w:t>
            </w:r>
          </w:p>
        </w:tc>
        <w:tc>
          <w:tcPr>
            <w:tcW w:w="1496" w:type="dxa"/>
          </w:tcPr>
          <w:p w14:paraId="06C0A27E"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p w14:paraId="27265F24"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p>
        </w:tc>
        <w:tc>
          <w:tcPr>
            <w:tcW w:w="1256" w:type="dxa"/>
          </w:tcPr>
          <w:p w14:paraId="061CB7BB"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16C137A2"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Tipo de retornabilidad del envase (retornable / no retornable)</w:t>
            </w:r>
          </w:p>
        </w:tc>
      </w:tr>
      <w:tr w:rsidR="005513D1" w14:paraId="48E0EBD7"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0463019E" w14:textId="77777777" w:rsidR="005513D1" w:rsidRDefault="005513D1" w:rsidP="00BE4FB6">
            <w:pPr>
              <w:pStyle w:val="NormalWeb"/>
              <w:shd w:val="clear" w:color="auto" w:fill="FFFFFF" w:themeFill="background1"/>
              <w:spacing w:before="0" w:beforeAutospacing="0" w:after="0" w:afterAutospacing="0"/>
              <w:jc w:val="both"/>
              <w:rPr>
                <w:color w:val="1F1F1F"/>
              </w:rPr>
            </w:pPr>
            <w:r w:rsidRPr="207516F7">
              <w:rPr>
                <w:color w:val="1F1F1F"/>
              </w:rPr>
              <w:t>Fecha de producción</w:t>
            </w:r>
          </w:p>
        </w:tc>
        <w:tc>
          <w:tcPr>
            <w:tcW w:w="1496" w:type="dxa"/>
          </w:tcPr>
          <w:p w14:paraId="6541C25E"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p w14:paraId="26CA844A"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p>
        </w:tc>
        <w:tc>
          <w:tcPr>
            <w:tcW w:w="1256" w:type="dxa"/>
          </w:tcPr>
          <w:p w14:paraId="4241D330"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lastRenderedPageBreak/>
              <w:t>Fecha</w:t>
            </w:r>
          </w:p>
          <w:p w14:paraId="724FBD23"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p>
        </w:tc>
        <w:tc>
          <w:tcPr>
            <w:tcW w:w="3810" w:type="dxa"/>
            <w:noWrap/>
            <w:hideMark/>
          </w:tcPr>
          <w:p w14:paraId="7817ECB6"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lastRenderedPageBreak/>
              <w:t>Fecha vencimiento – vida útil</w:t>
            </w:r>
          </w:p>
        </w:tc>
      </w:tr>
      <w:tr w:rsidR="005513D1" w14:paraId="3AF6973B"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77C47C55" w14:textId="77777777" w:rsidR="005513D1" w:rsidRDefault="005513D1" w:rsidP="00BE4FB6">
            <w:pPr>
              <w:pStyle w:val="NormalWeb"/>
              <w:shd w:val="clear" w:color="auto" w:fill="FFFFFF" w:themeFill="background1"/>
              <w:spacing w:before="0" w:beforeAutospacing="0" w:after="0" w:afterAutospacing="0"/>
              <w:jc w:val="both"/>
              <w:rPr>
                <w:color w:val="1F1F1F"/>
              </w:rPr>
            </w:pPr>
            <w:r w:rsidRPr="207516F7">
              <w:rPr>
                <w:color w:val="1F1F1F"/>
              </w:rPr>
              <w:t>Mes de producción</w:t>
            </w:r>
          </w:p>
        </w:tc>
        <w:tc>
          <w:tcPr>
            <w:tcW w:w="1496" w:type="dxa"/>
          </w:tcPr>
          <w:p w14:paraId="47E2B1EE"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p w14:paraId="5ED0C469"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p>
        </w:tc>
        <w:tc>
          <w:tcPr>
            <w:tcW w:w="1256" w:type="dxa"/>
          </w:tcPr>
          <w:p w14:paraId="0A0BDEE4"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04729624"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Mes de la fecha de producción</w:t>
            </w:r>
          </w:p>
        </w:tc>
      </w:tr>
      <w:tr w:rsidR="005513D1" w14:paraId="7BBBDD80" w14:textId="77777777" w:rsidTr="00BE4FB6">
        <w:trPr>
          <w:trHeight w:val="30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21147619" w14:textId="77777777" w:rsidR="005513D1" w:rsidRDefault="005513D1" w:rsidP="00BE4FB6">
            <w:pPr>
              <w:pStyle w:val="NormalWeb"/>
              <w:shd w:val="clear" w:color="auto" w:fill="FFFFFF" w:themeFill="background1"/>
              <w:spacing w:before="0" w:beforeAutospacing="0" w:after="0" w:afterAutospacing="0"/>
              <w:jc w:val="both"/>
              <w:rPr>
                <w:color w:val="1F1F1F"/>
              </w:rPr>
            </w:pPr>
            <w:r w:rsidRPr="207516F7">
              <w:rPr>
                <w:color w:val="1F1F1F"/>
              </w:rPr>
              <w:t>Mes de medición</w:t>
            </w:r>
          </w:p>
        </w:tc>
        <w:tc>
          <w:tcPr>
            <w:tcW w:w="1496" w:type="dxa"/>
          </w:tcPr>
          <w:p w14:paraId="29035162"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p w14:paraId="7F55EE32"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p>
        </w:tc>
        <w:tc>
          <w:tcPr>
            <w:tcW w:w="1256" w:type="dxa"/>
          </w:tcPr>
          <w:p w14:paraId="1E9FECF3"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7851F89F"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Mes de la fecha de medición</w:t>
            </w:r>
          </w:p>
        </w:tc>
      </w:tr>
      <w:tr w:rsidR="005513D1" w14:paraId="6E3FA46E" w14:textId="77777777" w:rsidTr="00BE4FB6">
        <w:trPr>
          <w:trHeight w:val="750"/>
        </w:trPr>
        <w:tc>
          <w:tcPr>
            <w:cnfStyle w:val="001000000000" w:firstRow="0" w:lastRow="0" w:firstColumn="1" w:lastColumn="0" w:oddVBand="0" w:evenVBand="0" w:oddHBand="0" w:evenHBand="0" w:firstRowFirstColumn="0" w:firstRowLastColumn="0" w:lastRowFirstColumn="0" w:lastRowLastColumn="0"/>
            <w:tcW w:w="2189" w:type="dxa"/>
            <w:noWrap/>
            <w:hideMark/>
          </w:tcPr>
          <w:p w14:paraId="712D6D82" w14:textId="77777777" w:rsidR="005513D1" w:rsidRDefault="005513D1" w:rsidP="00BE4FB6">
            <w:pPr>
              <w:pStyle w:val="NormalWeb"/>
              <w:rPr>
                <w:color w:val="1F1F1F"/>
              </w:rPr>
            </w:pPr>
            <w:r w:rsidRPr="207516F7">
              <w:rPr>
                <w:color w:val="1F1F1F"/>
              </w:rPr>
              <w:t>Nivel_Frescura</w:t>
            </w:r>
          </w:p>
        </w:tc>
        <w:tc>
          <w:tcPr>
            <w:tcW w:w="1496" w:type="dxa"/>
          </w:tcPr>
          <w:p w14:paraId="76CF17B9"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w:t>
            </w:r>
          </w:p>
        </w:tc>
        <w:tc>
          <w:tcPr>
            <w:tcW w:w="1256" w:type="dxa"/>
          </w:tcPr>
          <w:p w14:paraId="01CE0C06"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Categórica</w:t>
            </w:r>
          </w:p>
        </w:tc>
        <w:tc>
          <w:tcPr>
            <w:tcW w:w="3810" w:type="dxa"/>
            <w:noWrap/>
            <w:hideMark/>
          </w:tcPr>
          <w:p w14:paraId="58AFE060" w14:textId="77777777" w:rsidR="005513D1" w:rsidRDefault="005513D1" w:rsidP="00BE4FB6">
            <w:pPr>
              <w:pStyle w:val="NormalWeb"/>
              <w:cnfStyle w:val="000000000000" w:firstRow="0" w:lastRow="0" w:firstColumn="0" w:lastColumn="0" w:oddVBand="0" w:evenVBand="0" w:oddHBand="0" w:evenHBand="0" w:firstRowFirstColumn="0" w:firstRowLastColumn="0" w:lastRowFirstColumn="0" w:lastRowLastColumn="0"/>
              <w:rPr>
                <w:color w:val="1F1F1F"/>
              </w:rPr>
            </w:pPr>
            <w:r w:rsidRPr="207516F7">
              <w:rPr>
                <w:color w:val="1F1F1F"/>
              </w:rPr>
              <w:t>Construcción de acuerdo con las reglas indicadas arriba (Ideal, debe mejorar, inaceptable)</w:t>
            </w:r>
          </w:p>
        </w:tc>
      </w:tr>
    </w:tbl>
    <w:p w14:paraId="1A9413D6" w14:textId="77777777" w:rsidR="005513D1" w:rsidRDefault="005513D1" w:rsidP="005513D1">
      <w:pPr>
        <w:jc w:val="both"/>
        <w:rPr>
          <w:lang w:val="es-ES"/>
        </w:rPr>
      </w:pPr>
    </w:p>
    <w:p w14:paraId="086EFE0E" w14:textId="57FD56B3" w:rsidR="005513D1" w:rsidRPr="005513D1" w:rsidRDefault="005513D1" w:rsidP="00C15787">
      <w:pPr>
        <w:jc w:val="both"/>
        <w:rPr>
          <w:rFonts w:ascii="Times New Roman" w:eastAsia="Times New Roman" w:hAnsi="Times New Roman" w:cs="Times New Roman"/>
          <w:color w:val="1F1F1F"/>
          <w:sz w:val="24"/>
          <w:szCs w:val="24"/>
          <w:lang w:val="es-ES" w:eastAsia="es-CO"/>
        </w:rPr>
      </w:pPr>
      <w:r>
        <w:rPr>
          <w:rStyle w:val="nfasis"/>
          <w:rFonts w:eastAsiaTheme="minorEastAsia"/>
          <w:b/>
          <w:bCs/>
          <w:color w:val="525252" w:themeColor="accent3" w:themeShade="80"/>
        </w:rPr>
        <w:t>Procesamiento de los</w:t>
      </w:r>
      <w:r w:rsidRPr="005513D1">
        <w:rPr>
          <w:rStyle w:val="nfasis"/>
          <w:rFonts w:eastAsiaTheme="minorEastAsia"/>
          <w:b/>
          <w:bCs/>
          <w:color w:val="525252" w:themeColor="accent3" w:themeShade="80"/>
        </w:rPr>
        <w:t xml:space="preserve"> </w:t>
      </w:r>
      <w:r>
        <w:rPr>
          <w:rStyle w:val="nfasis"/>
          <w:rFonts w:eastAsiaTheme="minorEastAsia"/>
          <w:b/>
          <w:bCs/>
          <w:color w:val="525252" w:themeColor="accent3" w:themeShade="80"/>
        </w:rPr>
        <w:t>datos</w:t>
      </w:r>
    </w:p>
    <w:p w14:paraId="0C595446" w14:textId="4FEB9BD7" w:rsidR="00C15787" w:rsidRPr="00665C62" w:rsidRDefault="00C15787" w:rsidP="00C15787">
      <w:pPr>
        <w:jc w:val="both"/>
        <w:rPr>
          <w:rFonts w:ascii="Times New Roman" w:eastAsia="Times New Roman" w:hAnsi="Times New Roman" w:cs="Times New Roman"/>
          <w:color w:val="1F1F1F"/>
          <w:sz w:val="24"/>
          <w:szCs w:val="24"/>
          <w:lang w:eastAsia="es-CO"/>
        </w:rPr>
      </w:pPr>
      <w:r w:rsidRPr="00665C62">
        <w:rPr>
          <w:rFonts w:ascii="Times New Roman" w:eastAsia="Times New Roman" w:hAnsi="Times New Roman" w:cs="Times New Roman"/>
          <w:color w:val="1F1F1F"/>
          <w:sz w:val="24"/>
          <w:szCs w:val="24"/>
          <w:lang w:eastAsia="es-CO"/>
        </w:rPr>
        <w:t>A continuación</w:t>
      </w:r>
      <w:r w:rsidR="00083B91">
        <w:rPr>
          <w:rFonts w:ascii="Times New Roman" w:eastAsia="Times New Roman" w:hAnsi="Times New Roman" w:cs="Times New Roman"/>
          <w:color w:val="1F1F1F"/>
          <w:sz w:val="24"/>
          <w:szCs w:val="24"/>
          <w:lang w:eastAsia="es-CO"/>
        </w:rPr>
        <w:t>,</w:t>
      </w:r>
      <w:r w:rsidRPr="00665C62">
        <w:rPr>
          <w:rFonts w:ascii="Times New Roman" w:eastAsia="Times New Roman" w:hAnsi="Times New Roman" w:cs="Times New Roman"/>
          <w:color w:val="1F1F1F"/>
          <w:sz w:val="24"/>
          <w:szCs w:val="24"/>
          <w:lang w:eastAsia="es-CO"/>
        </w:rPr>
        <w:t xml:space="preserve"> se indica cual es el proceso de obtención y transformación de datos para alimentar la visualización</w:t>
      </w:r>
      <w:r w:rsidR="000A58EB">
        <w:rPr>
          <w:rFonts w:ascii="Times New Roman" w:eastAsia="Times New Roman" w:hAnsi="Times New Roman" w:cs="Times New Roman"/>
          <w:color w:val="1F1F1F"/>
          <w:sz w:val="24"/>
          <w:szCs w:val="24"/>
          <w:lang w:eastAsia="es-CO"/>
        </w:rPr>
        <w:t>:</w:t>
      </w:r>
    </w:p>
    <w:p w14:paraId="413A8616" w14:textId="52CA5B8B" w:rsidR="00C15787" w:rsidRPr="00083B91" w:rsidRDefault="00C15787" w:rsidP="000A58EB">
      <w:pPr>
        <w:pStyle w:val="Prrafodelista"/>
        <w:numPr>
          <w:ilvl w:val="0"/>
          <w:numId w:val="4"/>
        </w:numPr>
        <w:jc w:val="both"/>
        <w:rPr>
          <w:lang w:val="es-ES"/>
        </w:rPr>
      </w:pPr>
      <w:r w:rsidRPr="00665C62">
        <w:rPr>
          <w:rFonts w:ascii="Times New Roman" w:eastAsia="Times New Roman" w:hAnsi="Times New Roman" w:cs="Times New Roman"/>
          <w:color w:val="1F1F1F"/>
          <w:sz w:val="24"/>
          <w:szCs w:val="24"/>
          <w:lang w:eastAsia="es-CO"/>
        </w:rPr>
        <w:t xml:space="preserve">Fuente de Información: La fuente de información se obtiene desde el departamento de calidad de la empresa productora. Cada registro de esta base constituye una </w:t>
      </w:r>
      <w:r w:rsidR="00665C62" w:rsidRPr="00665C62">
        <w:rPr>
          <w:rFonts w:ascii="Times New Roman" w:eastAsia="Times New Roman" w:hAnsi="Times New Roman" w:cs="Times New Roman"/>
          <w:color w:val="1F1F1F"/>
          <w:sz w:val="24"/>
          <w:szCs w:val="24"/>
          <w:lang w:eastAsia="es-CO"/>
        </w:rPr>
        <w:t>medida de frescura</w:t>
      </w:r>
      <w:r w:rsidR="00665C62">
        <w:rPr>
          <w:lang w:val="es-ES"/>
        </w:rPr>
        <w:t xml:space="preserve"> </w:t>
      </w:r>
      <w:r w:rsidR="00665C62" w:rsidRPr="00665C62">
        <w:rPr>
          <w:rFonts w:ascii="Times New Roman" w:eastAsia="Times New Roman" w:hAnsi="Times New Roman" w:cs="Times New Roman"/>
          <w:color w:val="1F1F1F"/>
          <w:sz w:val="24"/>
          <w:szCs w:val="24"/>
          <w:lang w:eastAsia="es-CO"/>
        </w:rPr>
        <w:t>de un producto ene específico. La información se diligencia por miembros del equipo de calidad</w:t>
      </w:r>
      <w:r w:rsidR="00083B91">
        <w:rPr>
          <w:rFonts w:ascii="Times New Roman" w:eastAsia="Times New Roman" w:hAnsi="Times New Roman" w:cs="Times New Roman"/>
          <w:color w:val="1F1F1F"/>
          <w:sz w:val="24"/>
          <w:szCs w:val="24"/>
          <w:lang w:eastAsia="es-CO"/>
        </w:rPr>
        <w:t>.</w:t>
      </w:r>
    </w:p>
    <w:p w14:paraId="3826C3EE" w14:textId="7BEB6510" w:rsidR="00083B91" w:rsidRPr="00083B91" w:rsidRDefault="00083B91" w:rsidP="000A58EB">
      <w:pPr>
        <w:pStyle w:val="Prrafodelista"/>
        <w:numPr>
          <w:ilvl w:val="0"/>
          <w:numId w:val="4"/>
        </w:numPr>
        <w:jc w:val="both"/>
        <w:rPr>
          <w:lang w:val="es-ES"/>
        </w:rPr>
      </w:pPr>
      <w:r>
        <w:rPr>
          <w:rFonts w:ascii="Times New Roman" w:eastAsia="Times New Roman" w:hAnsi="Times New Roman" w:cs="Times New Roman"/>
          <w:color w:val="1F1F1F"/>
          <w:sz w:val="24"/>
          <w:szCs w:val="24"/>
          <w:lang w:eastAsia="es-CO"/>
        </w:rPr>
        <w:t>La información se obtiene</w:t>
      </w:r>
      <w:r w:rsidR="000A58EB">
        <w:rPr>
          <w:rFonts w:ascii="Times New Roman" w:eastAsia="Times New Roman" w:hAnsi="Times New Roman" w:cs="Times New Roman"/>
          <w:color w:val="1F1F1F"/>
          <w:sz w:val="24"/>
          <w:szCs w:val="24"/>
          <w:lang w:eastAsia="es-CO"/>
        </w:rPr>
        <w:t xml:space="preserve"> semanalmente</w:t>
      </w:r>
      <w:r>
        <w:rPr>
          <w:rFonts w:ascii="Times New Roman" w:eastAsia="Times New Roman" w:hAnsi="Times New Roman" w:cs="Times New Roman"/>
          <w:color w:val="1F1F1F"/>
          <w:sz w:val="24"/>
          <w:szCs w:val="24"/>
          <w:lang w:eastAsia="es-CO"/>
        </w:rPr>
        <w:t xml:space="preserve"> de parte del grupo de calidad en un archivo llamado calidad.</w:t>
      </w:r>
    </w:p>
    <w:p w14:paraId="3DE26E13" w14:textId="4023448A" w:rsidR="00083B91" w:rsidRPr="00083B91" w:rsidRDefault="00083B91" w:rsidP="000A58EB">
      <w:pPr>
        <w:pStyle w:val="Prrafodelista"/>
        <w:numPr>
          <w:ilvl w:val="0"/>
          <w:numId w:val="4"/>
        </w:numPr>
        <w:jc w:val="both"/>
        <w:rPr>
          <w:lang w:val="es-ES"/>
        </w:rPr>
      </w:pPr>
      <w:r>
        <w:rPr>
          <w:rFonts w:ascii="Times New Roman" w:eastAsia="Times New Roman" w:hAnsi="Times New Roman" w:cs="Times New Roman"/>
          <w:color w:val="1F1F1F"/>
          <w:sz w:val="24"/>
          <w:szCs w:val="24"/>
          <w:lang w:eastAsia="es-CO"/>
        </w:rPr>
        <w:t>Se debe modificar el nombre a ‘Datos.xlsx’, asegurarse que la información se encuentra en la hoja ‘Export’ y guardar la información en la ruta del reporte.</w:t>
      </w:r>
    </w:p>
    <w:p w14:paraId="58BA9FA3" w14:textId="0742B885" w:rsidR="00083B91" w:rsidRPr="005513D1" w:rsidRDefault="005513D1" w:rsidP="000A58EB">
      <w:pPr>
        <w:pStyle w:val="Prrafodelista"/>
        <w:numPr>
          <w:ilvl w:val="0"/>
          <w:numId w:val="4"/>
        </w:numPr>
        <w:jc w:val="both"/>
        <w:rPr>
          <w:lang w:val="es-ES"/>
        </w:rPr>
      </w:pPr>
      <w:r>
        <w:rPr>
          <w:rFonts w:ascii="Times New Roman" w:eastAsia="Times New Roman" w:hAnsi="Times New Roman" w:cs="Times New Roman"/>
          <w:color w:val="1F1F1F"/>
          <w:sz w:val="24"/>
          <w:szCs w:val="24"/>
          <w:lang w:eastAsia="es-CO"/>
        </w:rPr>
        <w:t xml:space="preserve">El proceso del proyecto toma el </w:t>
      </w:r>
      <w:r w:rsidR="00083B91" w:rsidRPr="000A58EB">
        <w:rPr>
          <w:rFonts w:ascii="Times New Roman" w:eastAsia="Times New Roman" w:hAnsi="Times New Roman" w:cs="Times New Roman"/>
          <w:color w:val="1F1F1F"/>
          <w:sz w:val="24"/>
          <w:szCs w:val="24"/>
          <w:lang w:eastAsia="es-CO"/>
        </w:rPr>
        <w:t xml:space="preserve">notebook de Python “ETL” con el cual se depura la información y </w:t>
      </w:r>
      <w:r w:rsidR="00812627" w:rsidRPr="000A58EB">
        <w:rPr>
          <w:rFonts w:ascii="Times New Roman" w:eastAsia="Times New Roman" w:hAnsi="Times New Roman" w:cs="Times New Roman"/>
          <w:color w:val="1F1F1F"/>
          <w:sz w:val="24"/>
          <w:szCs w:val="24"/>
          <w:lang w:eastAsia="es-CO"/>
        </w:rPr>
        <w:t>se construye la estructura necesaria para el reporte.</w:t>
      </w:r>
    </w:p>
    <w:p w14:paraId="37E17651" w14:textId="7706232E" w:rsidR="000A58EB" w:rsidRDefault="005513D1" w:rsidP="005513D1">
      <w:pPr>
        <w:pStyle w:val="Prrafodelista"/>
        <w:numPr>
          <w:ilvl w:val="0"/>
          <w:numId w:val="4"/>
        </w:numPr>
        <w:jc w:val="both"/>
        <w:rPr>
          <w:rFonts w:ascii="Times New Roman" w:eastAsia="Times New Roman" w:hAnsi="Times New Roman" w:cs="Times New Roman"/>
          <w:color w:val="1F1F1F"/>
          <w:sz w:val="24"/>
          <w:szCs w:val="24"/>
          <w:lang w:eastAsia="es-CO"/>
        </w:rPr>
      </w:pPr>
      <w:r>
        <w:rPr>
          <w:rFonts w:ascii="Times New Roman" w:eastAsia="Times New Roman" w:hAnsi="Times New Roman" w:cs="Times New Roman"/>
          <w:color w:val="1F1F1F"/>
          <w:sz w:val="24"/>
          <w:szCs w:val="24"/>
          <w:lang w:eastAsia="es-CO"/>
        </w:rPr>
        <w:t xml:space="preserve">Como resultado de este proceso se genera el dataframe sobre el cual se va a construir la visualización del reporte en la plataforma Streamlit. </w:t>
      </w:r>
      <w:r w:rsidR="000A58EB" w:rsidRPr="005513D1">
        <w:rPr>
          <w:rFonts w:ascii="Times New Roman" w:eastAsia="Times New Roman" w:hAnsi="Times New Roman" w:cs="Times New Roman"/>
          <w:color w:val="1F1F1F"/>
          <w:sz w:val="24"/>
          <w:szCs w:val="24"/>
          <w:lang w:eastAsia="es-CO"/>
        </w:rPr>
        <w:t xml:space="preserve"> </w:t>
      </w:r>
    </w:p>
    <w:p w14:paraId="41808A15" w14:textId="47AB428C" w:rsidR="005513D1" w:rsidRPr="005513D1" w:rsidRDefault="005513D1" w:rsidP="005513D1">
      <w:pPr>
        <w:pStyle w:val="Prrafodelista"/>
        <w:numPr>
          <w:ilvl w:val="0"/>
          <w:numId w:val="4"/>
        </w:numPr>
        <w:jc w:val="both"/>
        <w:rPr>
          <w:rFonts w:ascii="Times New Roman" w:eastAsia="Times New Roman" w:hAnsi="Times New Roman" w:cs="Times New Roman"/>
          <w:color w:val="1F1F1F"/>
          <w:sz w:val="24"/>
          <w:szCs w:val="24"/>
          <w:lang w:eastAsia="es-CO"/>
        </w:rPr>
      </w:pPr>
      <w:r>
        <w:rPr>
          <w:rFonts w:ascii="Times New Roman" w:eastAsia="Times New Roman" w:hAnsi="Times New Roman" w:cs="Times New Roman"/>
          <w:color w:val="1F1F1F"/>
          <w:sz w:val="24"/>
          <w:szCs w:val="24"/>
          <w:lang w:eastAsia="es-CO"/>
        </w:rPr>
        <w:t>Una vez actualizada la base de datos y generado el reporte se debe</w:t>
      </w:r>
      <w:r w:rsidR="00D42638">
        <w:rPr>
          <w:rFonts w:ascii="Times New Roman" w:eastAsia="Times New Roman" w:hAnsi="Times New Roman" w:cs="Times New Roman"/>
          <w:color w:val="1F1F1F"/>
          <w:sz w:val="24"/>
          <w:szCs w:val="24"/>
          <w:lang w:eastAsia="es-CO"/>
        </w:rPr>
        <w:t>n</w:t>
      </w:r>
      <w:r>
        <w:rPr>
          <w:rFonts w:ascii="Times New Roman" w:eastAsia="Times New Roman" w:hAnsi="Times New Roman" w:cs="Times New Roman"/>
          <w:color w:val="1F1F1F"/>
          <w:sz w:val="24"/>
          <w:szCs w:val="24"/>
          <w:lang w:eastAsia="es-CO"/>
        </w:rPr>
        <w:t xml:space="preserve"> </w:t>
      </w:r>
      <w:r w:rsidR="00D42638">
        <w:rPr>
          <w:rFonts w:ascii="Times New Roman" w:eastAsia="Times New Roman" w:hAnsi="Times New Roman" w:cs="Times New Roman"/>
          <w:color w:val="1F1F1F"/>
          <w:sz w:val="24"/>
          <w:szCs w:val="24"/>
          <w:lang w:eastAsia="es-CO"/>
        </w:rPr>
        <w:t>verificar las visualizaciones y estar atento a cambios abruptos en los datos que ameriten una revisión profunda del proceso.</w:t>
      </w:r>
    </w:p>
    <w:sectPr w:rsidR="005513D1" w:rsidRPr="00551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A58"/>
    <w:multiLevelType w:val="hybridMultilevel"/>
    <w:tmpl w:val="468AA162"/>
    <w:lvl w:ilvl="0" w:tplc="44F8607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04756"/>
    <w:multiLevelType w:val="hybridMultilevel"/>
    <w:tmpl w:val="FA4E399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37B501"/>
    <w:multiLevelType w:val="hybridMultilevel"/>
    <w:tmpl w:val="951CBF8A"/>
    <w:lvl w:ilvl="0" w:tplc="A226FF98">
      <w:start w:val="1"/>
      <w:numFmt w:val="bullet"/>
      <w:lvlText w:val=""/>
      <w:lvlJc w:val="left"/>
      <w:pPr>
        <w:ind w:left="720" w:hanging="360"/>
      </w:pPr>
      <w:rPr>
        <w:rFonts w:ascii="Symbol" w:hAnsi="Symbol" w:hint="default"/>
      </w:rPr>
    </w:lvl>
    <w:lvl w:ilvl="1" w:tplc="0EFE7C26">
      <w:start w:val="1"/>
      <w:numFmt w:val="bullet"/>
      <w:lvlText w:val="o"/>
      <w:lvlJc w:val="left"/>
      <w:pPr>
        <w:ind w:left="1440" w:hanging="360"/>
      </w:pPr>
      <w:rPr>
        <w:rFonts w:ascii="Courier New" w:hAnsi="Courier New" w:hint="default"/>
      </w:rPr>
    </w:lvl>
    <w:lvl w:ilvl="2" w:tplc="3312C1A4">
      <w:start w:val="1"/>
      <w:numFmt w:val="bullet"/>
      <w:lvlText w:val=""/>
      <w:lvlJc w:val="left"/>
      <w:pPr>
        <w:ind w:left="2160" w:hanging="360"/>
      </w:pPr>
      <w:rPr>
        <w:rFonts w:ascii="Wingdings" w:hAnsi="Wingdings" w:hint="default"/>
      </w:rPr>
    </w:lvl>
    <w:lvl w:ilvl="3" w:tplc="445A9D2A">
      <w:start w:val="1"/>
      <w:numFmt w:val="bullet"/>
      <w:lvlText w:val=""/>
      <w:lvlJc w:val="left"/>
      <w:pPr>
        <w:ind w:left="2880" w:hanging="360"/>
      </w:pPr>
      <w:rPr>
        <w:rFonts w:ascii="Symbol" w:hAnsi="Symbol" w:hint="default"/>
      </w:rPr>
    </w:lvl>
    <w:lvl w:ilvl="4" w:tplc="03A41516">
      <w:start w:val="1"/>
      <w:numFmt w:val="bullet"/>
      <w:lvlText w:val="o"/>
      <w:lvlJc w:val="left"/>
      <w:pPr>
        <w:ind w:left="3600" w:hanging="360"/>
      </w:pPr>
      <w:rPr>
        <w:rFonts w:ascii="Courier New" w:hAnsi="Courier New" w:hint="default"/>
      </w:rPr>
    </w:lvl>
    <w:lvl w:ilvl="5" w:tplc="5960475C">
      <w:start w:val="1"/>
      <w:numFmt w:val="bullet"/>
      <w:lvlText w:val=""/>
      <w:lvlJc w:val="left"/>
      <w:pPr>
        <w:ind w:left="4320" w:hanging="360"/>
      </w:pPr>
      <w:rPr>
        <w:rFonts w:ascii="Wingdings" w:hAnsi="Wingdings" w:hint="default"/>
      </w:rPr>
    </w:lvl>
    <w:lvl w:ilvl="6" w:tplc="0BD8D0AE">
      <w:start w:val="1"/>
      <w:numFmt w:val="bullet"/>
      <w:lvlText w:val=""/>
      <w:lvlJc w:val="left"/>
      <w:pPr>
        <w:ind w:left="5040" w:hanging="360"/>
      </w:pPr>
      <w:rPr>
        <w:rFonts w:ascii="Symbol" w:hAnsi="Symbol" w:hint="default"/>
      </w:rPr>
    </w:lvl>
    <w:lvl w:ilvl="7" w:tplc="43160418">
      <w:start w:val="1"/>
      <w:numFmt w:val="bullet"/>
      <w:lvlText w:val="o"/>
      <w:lvlJc w:val="left"/>
      <w:pPr>
        <w:ind w:left="5760" w:hanging="360"/>
      </w:pPr>
      <w:rPr>
        <w:rFonts w:ascii="Courier New" w:hAnsi="Courier New" w:hint="default"/>
      </w:rPr>
    </w:lvl>
    <w:lvl w:ilvl="8" w:tplc="82AA43E0">
      <w:start w:val="1"/>
      <w:numFmt w:val="bullet"/>
      <w:lvlText w:val=""/>
      <w:lvlJc w:val="left"/>
      <w:pPr>
        <w:ind w:left="6480" w:hanging="360"/>
      </w:pPr>
      <w:rPr>
        <w:rFonts w:ascii="Wingdings" w:hAnsi="Wingdings" w:hint="default"/>
      </w:rPr>
    </w:lvl>
  </w:abstractNum>
  <w:abstractNum w:abstractNumId="3" w15:restartNumberingAfterBreak="0">
    <w:nsid w:val="6A7DA628"/>
    <w:multiLevelType w:val="hybridMultilevel"/>
    <w:tmpl w:val="258AA1D0"/>
    <w:lvl w:ilvl="0" w:tplc="22FA234E">
      <w:start w:val="1"/>
      <w:numFmt w:val="bullet"/>
      <w:lvlText w:val=""/>
      <w:lvlJc w:val="left"/>
      <w:pPr>
        <w:ind w:left="720" w:hanging="360"/>
      </w:pPr>
      <w:rPr>
        <w:rFonts w:ascii="Symbol" w:hAnsi="Symbol" w:hint="default"/>
      </w:rPr>
    </w:lvl>
    <w:lvl w:ilvl="1" w:tplc="E9DC4DF8">
      <w:start w:val="1"/>
      <w:numFmt w:val="bullet"/>
      <w:lvlText w:val="o"/>
      <w:lvlJc w:val="left"/>
      <w:pPr>
        <w:ind w:left="1440" w:hanging="360"/>
      </w:pPr>
      <w:rPr>
        <w:rFonts w:ascii="Courier New" w:hAnsi="Courier New" w:hint="default"/>
      </w:rPr>
    </w:lvl>
    <w:lvl w:ilvl="2" w:tplc="A8AAF812">
      <w:start w:val="1"/>
      <w:numFmt w:val="bullet"/>
      <w:lvlText w:val=""/>
      <w:lvlJc w:val="left"/>
      <w:pPr>
        <w:ind w:left="2160" w:hanging="360"/>
      </w:pPr>
      <w:rPr>
        <w:rFonts w:ascii="Wingdings" w:hAnsi="Wingdings" w:hint="default"/>
      </w:rPr>
    </w:lvl>
    <w:lvl w:ilvl="3" w:tplc="8E1ADF94">
      <w:start w:val="1"/>
      <w:numFmt w:val="bullet"/>
      <w:lvlText w:val=""/>
      <w:lvlJc w:val="left"/>
      <w:pPr>
        <w:ind w:left="2880" w:hanging="360"/>
      </w:pPr>
      <w:rPr>
        <w:rFonts w:ascii="Symbol" w:hAnsi="Symbol" w:hint="default"/>
      </w:rPr>
    </w:lvl>
    <w:lvl w:ilvl="4" w:tplc="C540DEDC">
      <w:start w:val="1"/>
      <w:numFmt w:val="bullet"/>
      <w:lvlText w:val="o"/>
      <w:lvlJc w:val="left"/>
      <w:pPr>
        <w:ind w:left="3600" w:hanging="360"/>
      </w:pPr>
      <w:rPr>
        <w:rFonts w:ascii="Courier New" w:hAnsi="Courier New" w:hint="default"/>
      </w:rPr>
    </w:lvl>
    <w:lvl w:ilvl="5" w:tplc="3B663276">
      <w:start w:val="1"/>
      <w:numFmt w:val="bullet"/>
      <w:lvlText w:val=""/>
      <w:lvlJc w:val="left"/>
      <w:pPr>
        <w:ind w:left="4320" w:hanging="360"/>
      </w:pPr>
      <w:rPr>
        <w:rFonts w:ascii="Wingdings" w:hAnsi="Wingdings" w:hint="default"/>
      </w:rPr>
    </w:lvl>
    <w:lvl w:ilvl="6" w:tplc="4EC8C226">
      <w:start w:val="1"/>
      <w:numFmt w:val="bullet"/>
      <w:lvlText w:val=""/>
      <w:lvlJc w:val="left"/>
      <w:pPr>
        <w:ind w:left="5040" w:hanging="360"/>
      </w:pPr>
      <w:rPr>
        <w:rFonts w:ascii="Symbol" w:hAnsi="Symbol" w:hint="default"/>
      </w:rPr>
    </w:lvl>
    <w:lvl w:ilvl="7" w:tplc="A906C5B0">
      <w:start w:val="1"/>
      <w:numFmt w:val="bullet"/>
      <w:lvlText w:val="o"/>
      <w:lvlJc w:val="left"/>
      <w:pPr>
        <w:ind w:left="5760" w:hanging="360"/>
      </w:pPr>
      <w:rPr>
        <w:rFonts w:ascii="Courier New" w:hAnsi="Courier New" w:hint="default"/>
      </w:rPr>
    </w:lvl>
    <w:lvl w:ilvl="8" w:tplc="AA7E40BA">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87"/>
    <w:rsid w:val="00083B91"/>
    <w:rsid w:val="000A58EB"/>
    <w:rsid w:val="0049177D"/>
    <w:rsid w:val="005513D1"/>
    <w:rsid w:val="00665C62"/>
    <w:rsid w:val="00812627"/>
    <w:rsid w:val="00C15787"/>
    <w:rsid w:val="00D42638"/>
    <w:rsid w:val="00EF66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6E91"/>
  <w15:chartTrackingRefBased/>
  <w15:docId w15:val="{5DD0C29F-D0A9-47BB-B5FF-AA06D340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5787"/>
    <w:pPr>
      <w:ind w:left="720"/>
      <w:contextualSpacing/>
    </w:pPr>
  </w:style>
  <w:style w:type="character" w:styleId="nfasis">
    <w:name w:val="Emphasis"/>
    <w:basedOn w:val="Fuentedeprrafopredeter"/>
    <w:uiPriority w:val="20"/>
    <w:qFormat/>
    <w:rsid w:val="00665C62"/>
    <w:rPr>
      <w:i/>
      <w:iCs/>
    </w:rPr>
  </w:style>
  <w:style w:type="paragraph" w:styleId="NormalWeb">
    <w:name w:val="Normal (Web)"/>
    <w:basedOn w:val="Normal"/>
    <w:uiPriority w:val="99"/>
    <w:semiHidden/>
    <w:unhideWhenUsed/>
    <w:rsid w:val="00665C62"/>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6concolores">
    <w:name w:val="Grid Table 6 Colorful"/>
    <w:basedOn w:val="Tablanormal"/>
    <w:uiPriority w:val="51"/>
    <w:rsid w:val="00665C62"/>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Pulido Vela</dc:creator>
  <cp:keywords/>
  <dc:description/>
  <cp:lastModifiedBy>Santiago Pulido Vela</cp:lastModifiedBy>
  <cp:revision>5</cp:revision>
  <dcterms:created xsi:type="dcterms:W3CDTF">2024-03-03T15:12:00Z</dcterms:created>
  <dcterms:modified xsi:type="dcterms:W3CDTF">2024-03-03T16:17:00Z</dcterms:modified>
</cp:coreProperties>
</file>