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or omisión"/>
        <w:bidi w:val="0"/>
        <w:spacing w:before="0" w:after="24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Se construy</w:t>
      </w:r>
      <w:r>
        <w:rPr>
          <w:rFonts w:ascii="Times Roman" w:hAnsi="Times Roman" w:hint="default"/>
          <w:rtl w:val="0"/>
        </w:rPr>
        <w:t xml:space="preserve">ó </w:t>
      </w:r>
      <w:r>
        <w:rPr>
          <w:rFonts w:ascii="Times Roman" w:hAnsi="Times Roman"/>
          <w:rtl w:val="0"/>
          <w:lang w:val="es-ES_tradnl"/>
        </w:rPr>
        <w:t>una biblioteca compuesta por 60 mol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culas distribuidas en cuatro categor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as funcionales: (i) mon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meros y productos de degradaci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polim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rica, (ii) olig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meros y unidades estructurales tipo dendr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mero, (iii) f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rmacos modelo frecuentemente encapsulados en sistemas de liberaci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controlada, y (iv) ligandos de superficie empleados en estrategias de targeting activo.</w:t>
      </w:r>
    </w:p>
    <w:p>
      <w:pPr>
        <w:pStyle w:val="Por omisión"/>
        <w:bidi w:val="0"/>
        <w:spacing w:before="0" w:after="240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Las estructuras qu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micas fueron obtenidas a partir de la base de datos PubChem mediante consulta automatizada a trav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de la API PUG REST, extray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ndose para cada compuesto el nombre sistem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tico (IUPAC) y el Canonical SMILES correspondiente.</w:t>
      </w:r>
    </w:p>
    <w:p>
      <w:pPr>
        <w:pStyle w:val="Por omisión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81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Mon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meros y productos de degradaci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(15 compuestos)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L-Lactic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D-Lactic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Glycolic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Succinic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Glutaric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Adipic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6-Hydroxyhexanoic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6-Hydroxycaproic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ε</w:t>
      </w:r>
      <w:r>
        <w:rPr>
          <w:rFonts w:ascii="Times Roman" w:hAnsi="Times Roman"/>
          <w:rtl w:val="0"/>
        </w:rPr>
        <w:t>-Caprolactone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Glucosamine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N-Acetylglucosamine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Ethylenediamine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Methyl acrylate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Fonts w:ascii="Times Roman" w:hAnsi="Times Roman"/>
          <w:rtl w:val="0"/>
          <w:lang w:val="da-DK"/>
        </w:rPr>
        <w:t>L-Lactide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Glycolide</w:t>
      </w:r>
    </w:p>
    <w:p>
      <w:pPr>
        <w:pStyle w:val="Por omisión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81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2. Olig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meros y unidades estructurales dendrim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ricas (20 compuestos)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Diethylenetriamine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Triethylenetetramine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Tetraethylenepentamine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Pentaethylenehexamine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Tris(2-aminoethyl)amine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N,N'-Bis(2-aminoethyl)ethylenediamine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Methylamine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Ammonia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2-Aminoethanol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2-(2-Aminoethoxy)ethanol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Bis(2-aminoethyl) ether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Methyl 3-aminopropionate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Ethyl acrylate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Methyl methacrylate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Acrylic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Lactic acid dimer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Lactic acid trimer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Diglycolic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Chitobiose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Chitotriose</w:t>
      </w:r>
    </w:p>
    <w:p>
      <w:pPr>
        <w:pStyle w:val="Por omisión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81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 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rmacos modelo (10 compuestos)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Doxorubicin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Paclitaxel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5-Fluorouracil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Methotrexate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Curcumin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Cisplatin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Gemcitabine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Sirolimus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Dexamethasone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Ibuprofen</w:t>
      </w:r>
    </w:p>
    <w:p>
      <w:pPr>
        <w:pStyle w:val="Por omisión"/>
        <w:bidi w:val="0"/>
        <w:spacing w:before="0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81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4. Ligandos de targeting y mol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culas de superficie (15 compuestos)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Folic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Biotin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D-Mannose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D-Galactose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N-Acetylneuraminic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Glucuronic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Glucosamine-6-sulfate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Chondroitin sulfate disaccharide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Arginylglycylaspartic acid (RGD)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Asparagine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Arginine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Aspartic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4-Aminobenzoic acid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>2,2'-Iminodiethanol</w:t>
      </w:r>
    </w:p>
    <w:p>
      <w:pPr>
        <w:pStyle w:val="Por omisión"/>
        <w:numPr>
          <w:ilvl w:val="0"/>
          <w:numId w:val="2"/>
        </w:numPr>
        <w:bidi w:val="0"/>
        <w:spacing w:before="0" w:after="240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Triethylene glycol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"/>
  </w:abstractNum>
  <w:abstractNum w:abstractNumId="1">
    <w:multiLevelType w:val="hybridMultilevel"/>
    <w:styleLink w:val="Número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">
    <w:name w:val="Número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