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1463040</wp:posOffset>
            </wp:positionH>
            <wp:positionV relativeFrom="page">
              <wp:posOffset>3794760</wp:posOffset>
            </wp:positionV>
            <wp:extent cx="4846320" cy="3144338"/>
            <wp:effectExtent l="0" t="0" r="0" b="0"/>
            <wp:wrapNone/>
            <wp:docPr id="1002" name="Marca de ag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Marca de agu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3600"/>
        <w:gridCol w:w="6768"/>
      </w:tblGrid>
      <w:tr>
        <w:trPr>
          <w:cantSplit/>
          <w:trHeight w:val="800" w:hRule="atLeast"/>
        </w:trPr>
        <w:tc>
          <w:tcPr>
            <w:tcW w:w="36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1152144" cy="766684"/>
                  <wp:effectExtent l="0" t="0" r="0" b="0"/>
                  <wp:docPr id="1003" name="Fletes Ta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Fletes Taur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766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70" w:line="630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olor w:val="111111"/>
                <w:spacing w:val="90"/>
                <w:sz w:val="50"/>
                <w:szCs w:val="50"/>
              </w:rPr>
              <w:t xml:space="preserve">COTIZACIÓN</w:t>
            </w:r>
          </w:p>
          <w:p>
            <w:pPr>
              <w:spacing w:before="0" w:after="0" w:line="201" w:lineRule="exact"/>
              <w:jc w:val="right"/>
            </w:pPr>
            <w:r>
              <w:rPr>
                <w:rFonts w:ascii="Segoe UI" w:hAnsi="Segoe UI" w:cs="Segoe UI"/>
                <w:caps/>
                <w:color w:val="6E6E6E"/>
                <w:spacing w:val="70"/>
                <w:sz w:val="16"/>
                <w:szCs w:val="16"/>
              </w:rPr>
              <w:t xml:space="preserve">Servicio de autotransporte de carga</w:t>
            </w:r>
          </w:p>
        </w:tc>
      </w:tr>
    </w:tbl>
    <w:p>
      <w:pPr>
        <w:pBdr>
          <w:bottom w:val="single" w:sz="18" w:space="0" w:color="C21112"/>
        </w:pBdr>
        <w:spacing w:before="11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pBdr>
          <w:bottom w:val="single" w:sz="6" w:space="0" w:color="111111"/>
        </w:pBdr>
        <w:spacing w:before="6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560"/>
        <w:gridCol w:w="3940"/>
        <w:gridCol w:w="380"/>
        <w:gridCol w:w="1560"/>
        <w:gridCol w:w="2928"/>
      </w:tblGrid>
      <w:tr>
        <w:trPr>
          <w:cantSplit/>
          <w:trHeight w:val="350" w:hRule="atLeast"/>
        </w:trPr>
        <w:tc>
          <w:tcPr>
            <w:tcW w:w="5500" w:type="dxa"/>
            <w:gridSpan w:val="2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del cliente</w:t>
            </w:r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4488" w:type="dxa"/>
            <w:gridSpan w:val="2"/>
            <w:shd w:val="clear" w:color="auto" w:fill="C21112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 la cotización</w:t>
            </w:r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Empresa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empresa"/>
                <w:tag w:val="cli_empresa"/>
                <w:id w:val="100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o razón social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Fecha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fecha"/>
                <w:tag w:val="doc_fecha"/>
                <w:id w:val="100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DD / MM / AAAA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Atención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atencion"/>
                <w:tag w:val="cli_atencion"/>
                <w:id w:val="100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contacto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Vigencia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vigencia"/>
                <w:tag w:val="doc_vigencia"/>
                <w:id w:val="100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15 días naturales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R.F.C.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rfc"/>
                <w:tag w:val="cli_rfc"/>
                <w:id w:val="100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XAXX010101000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Ejecutivo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ejecutivo"/>
                <w:tag w:val="doc_ejecutivo"/>
                <w:id w:val="100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asesor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Teléfono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telefono"/>
                <w:tag w:val="cli_telefono"/>
                <w:id w:val="101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 )  ____-____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Moneda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moneda"/>
                <w:tag w:val="doc_moneda"/>
                <w:id w:val="101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MXN · Pesos mexicanos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Correo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correo"/>
                <w:tag w:val="cli_correo"/>
                <w:id w:val="101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correo@empresa.com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29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  <w:tblCaption w:val="tblServicios"/>
      </w:tblPr>
      <w:tblGrid>
        <w:gridCol w:w="720"/>
        <w:gridCol w:w="7148"/>
        <w:gridCol w:w="2500"/>
      </w:tblGrid>
      <w:tr>
        <w:trPr>
          <w:cantSplit/>
          <w:trHeight w:val="470" w:hRule="atLeast"/>
          <w:tblHeader/>
        </w:trPr>
        <w:tc>
          <w:tcPr>
            <w:tcW w:w="720" w:type="dxa"/>
            <w:tcBorders>
              <w:right w:val="single" w:sz="6" w:space="0" w:color="3A3A3A"/>
            </w:tcBorders>
            <w:shd w:val="clear" w:color="auto" w:fill="111111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>
            <w:pPr>
              <w:spacing w:before="0" w:after="0" w:line="214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FFFFFF"/>
                <w:spacing w:val="60"/>
                <w:sz w:val="17"/>
                <w:szCs w:val="17"/>
              </w:rPr>
              <w:t xml:space="preserve">No.</w:t>
            </w:r>
          </w:p>
        </w:tc>
        <w:tc>
          <w:tcPr>
            <w:tcW w:w="7148" w:type="dxa"/>
            <w:tcBorders>
              <w:left w:val="single" w:sz="4" w:space="0" w:color="111111"/>
              <w:righ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Descripción del servicio</w:t>
            </w:r>
          </w:p>
        </w:tc>
        <w:tc>
          <w:tcPr>
            <w:tcW w:w="2500" w:type="dxa"/>
            <w:tcBorders>
              <w:lef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Importe</w:t>
            </w:r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100" w:type="dxa"/>
              <w:bottom w:w="19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1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1"/>
                <w:tag w:val="srv_desc_1"/>
                <w:id w:val="101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Origen  →  Destino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1"/>
                <w:tag w:val="srv_imp_1"/>
                <w:id w:val="101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$ 0.00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100" w:type="dxa"/>
              <w:bottom w:w="19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2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2"/>
                <w:tag w:val="srv_desc_2"/>
                <w:id w:val="101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2"/>
                <w:tag w:val="srv_imp_2"/>
                <w:id w:val="101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100" w:type="dxa"/>
              <w:bottom w:w="19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3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3"/>
                <w:tag w:val="srv_desc_3"/>
                <w:id w:val="101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3"/>
                <w:tag w:val="srv_imp_3"/>
                <w:id w:val="101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100" w:type="dxa"/>
              <w:bottom w:w="19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4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4"/>
                <w:tag w:val="srv_desc_4"/>
                <w:id w:val="101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4"/>
                <w:tag w:val="srv_imp_4"/>
                <w:id w:val="102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100" w:type="dxa"/>
              <w:bottom w:w="19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5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5"/>
                <w:tag w:val="srv_desc_5"/>
                <w:id w:val="102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90" w:type="dxa"/>
              <w:left w:w="200" w:type="dxa"/>
              <w:bottom w:w="19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5"/>
                <w:tag w:val="srv_imp_5"/>
                <w:id w:val="102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6000"/>
        <w:gridCol w:w="4368"/>
      </w:tblGrid>
      <w:tr>
        <w:trPr>
          <w:cantSplit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300" w:type="dxa"/>
            </w:tcMar>
            <w:vAlign w:val="top"/>
          </w:tcPr>
          <w:p>
            <w:pPr>
              <w:spacing w:before="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Importe con letra</w:t>
            </w:r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importe_letra"/>
                <w:tag w:val="importe_letra"/>
                <w:id w:val="102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Cantidad con letra 00/100 M.N. )</w:t>
                </w:r>
              </w:sdtContent>
            </w:sdt>
          </w:p>
          <w:p>
            <w:pPr>
              <w:spacing w:before="6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Observaciones</w:t>
            </w:r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1"/>
                <w:tag w:val="obs_1"/>
                <w:id w:val="102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  <w:p>
            <w:pPr>
              <w:pBdr>
                <w:bottom w:val="single" w:sz="6" w:space="4" w:color="C9C9C9"/>
              </w:pBdr>
              <w:spacing w:before="50" w:after="12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2"/>
                <w:tag w:val="obs_2"/>
                <w:id w:val="102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4368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tbl>
            <w:tblPr>
              <w:tblW w:w="4368" w:type="dxa"/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700"/>
              <w:gridCol w:w="2668"/>
            </w:tblGrid>
            <w:tr>
              <w:trPr>
                <w:cantSplit/>
                <w:trHeight w:val="680" w:hRule="atLeast"/>
              </w:trPr>
              <w:tc>
                <w:tcPr>
                  <w:tcW w:w="1700" w:type="dxa"/>
                  <w:tcBorders>
                    <w:right w:val="single" w:sz="4" w:space="0" w:color="C21112"/>
                  </w:tcBorders>
                  <w:shd w:val="clear" w:color="auto" w:fill="C21112"/>
                  <w:tcMar>
                    <w:top w:w="170" w:type="dxa"/>
                    <w:left w:w="220" w:type="dxa"/>
                    <w:bottom w:w="170" w:type="dxa"/>
                    <w:right w:w="120" w:type="dxa"/>
                  </w:tcMar>
                  <w:vAlign w:val="center"/>
                </w:tcPr>
                <w:p>
                  <w:pPr>
                    <w:spacing w:before="0" w:after="0" w:line="277" w:lineRule="exact"/>
                  </w:pPr>
                  <w:r>
                    <w:rPr>
                      <w:rFonts w:ascii="Segoe UI Semibold" w:hAnsi="Segoe UI Semibold" w:cs="Segoe UI Semibold"/>
                      <w:b/>
                      <w:bCs/>
                      <w:caps/>
                      <w:color w:val="FFFFFF"/>
                      <w:spacing w:val="100"/>
                      <w:sz w:val="22"/>
                      <w:szCs w:val="22"/>
                    </w:rPr>
                    <w:t xml:space="preserve">Total</w:t>
                  </w:r>
                </w:p>
              </w:tc>
              <w:tc>
                <w:tcPr>
                  <w:tcW w:w="2668" w:type="dxa"/>
                  <w:tcBorders>
                    <w:left w:val="single" w:sz="4" w:space="0" w:color="C21112"/>
                  </w:tcBorders>
                  <w:shd w:val="clear" w:color="auto" w:fill="C21112"/>
                  <w:tcMar>
                    <w:top w:w="170" w:type="dxa"/>
                    <w:left w:w="120" w:type="dxa"/>
                    <w:bottom w:w="170" w:type="dxa"/>
                    <w:right w:w="220" w:type="dxa"/>
                  </w:tcMar>
                  <w:vAlign w:val="center"/>
                </w:tcPr>
                <w:p>
                  <w:pPr>
                    <w:spacing w:before="0" w:after="0" w:line="327" w:lineRule="exact"/>
                    <w:jc w:val="right"/>
                  </w:pPr>
                  <w:sdt>
                    <w:sdtPr>
                      <w:rPr>
                        <w:rFonts w:ascii="Segoe UI Semibold" w:hAnsi="Segoe UI Semibold" w:cs="Segoe UI Semibold"/>
                        <w:b/>
                        <w:bCs/>
                        <w:color w:val="FFFFFF"/>
                        <w:sz w:val="26"/>
                        <w:szCs w:val="26"/>
                      </w:rPr>
                      <w:alias w:val="total"/>
                      <w:tag w:val="total"/>
                      <w:id w:val="1026"/>
                      <w:placeholder>
                        <w:docPart w:val="PHFletesTauro"/>
                      </w:placeholder>
                      <w:showingPlcHdr/>
                      <w:text/>
                    </w:sdtPr>
                    <w:sdtContent>
                      <w:r>
                        <w:rPr>
                          <w:rFonts w:ascii="Segoe UI" w:hAnsi="Segoe UI" w:cs="Segoe UI"/>
                          <w:i/>
                          <w:iCs/>
                          <w:color w:val="F3C9C9"/>
                          <w:sz w:val="26"/>
                          <w:szCs w:val="26"/>
                        </w:rPr>
                        <w:t xml:space="preserve">$ 0.00</w:t>
                      </w:r>
                    </w:sdtContent>
                  </w:sdt>
                </w:p>
              </w:tc>
            </w:tr>
          </w:tbl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0368"/>
      </w:tblGrid>
      <w:tr>
        <w:trPr>
          <w:cantSplit/>
          <w:trHeight w:val="350" w:hRule="atLeast"/>
        </w:trPr>
        <w:tc>
          <w:tcPr>
            <w:tcW w:w="10368" w:type="dxa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80"/>
                <w:sz w:val="17"/>
                <w:szCs w:val="17"/>
              </w:rPr>
              <w:t xml:space="preserve">Condiciones comerciales</w:t>
            </w:r>
          </w:p>
        </w:tc>
      </w:tr>
    </w:tbl>
    <w:p>
      <w:pPr>
        <w:spacing w:before="0" w:after="90" w:line="126" w:lineRule="exact"/>
      </w:pPr>
      <w:r>
        <w:rPr>
          <w:rFonts w:ascii="Segoe UI" w:hAnsi="Segoe UI" w:cs="Segoe UI"/>
          <w:color w:val="33383D"/>
          <w:sz w:val="10"/>
          <w:szCs w:val="10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Vigencia de la cotización: 15 días naturales a partir de la fecha de emisión.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Maniobras de carga y descarga por cuenta del cliente.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Tarifas en pesos mexicanos (MXN); no incluyen I.V.A. ni retenciones.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Seguro de mercancía sujeto a cobertura contratada; excedente cotizable.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Incluye operador, combustible y casetas en la ruta cotizada.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Falso flete: 50% de la tarifa si la cancelación es con menos de 12 horas.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Tiempo libre de carga y descarga: 6 horas por maniobra.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El cliente proporcionará los datos de la mercancía para la Carta Porte.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Estadías después del tiempo libre: se cotizan por cada 24 horas o fracción.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Servicio sujeto a disponibilidad de unidades al confirmar el embarque.</w:t>
            </w:r>
          </w:p>
        </w:tc>
      </w:tr>
    </w:tbl>
    <w:p>
      <w:pPr>
        <w:spacing w:before="170" w:after="0" w:line="163" w:lineRule="exact"/>
        <w:jc w:val="center"/>
      </w:pPr>
      <w:r>
        <w:rPr>
          <w:rFonts w:ascii="Segoe UI" w:hAnsi="Segoe UI" w:cs="Segoe UI"/>
          <w:i/>
          <w:iCs/>
          <w:color w:val="6E6E6E"/>
          <w:sz w:val="13"/>
          <w:szCs w:val="13"/>
        </w:rPr>
        <w:t xml:space="preserve">La aceptación de esta cotización implica la conformidad con las condiciones comerciales aquí descritas.</w:t>
      </w:r>
    </w:p>
    <w:sectPr>
      <w:footerReference w:type="default" r:id="rId7"/>
      <w:pgSz w:w="12240" w:h="15840"/>
      <w:pgMar w:top="540" w:right="936" w:bottom="1960" w:left="936" w:header="440" w:footer="340" w:gutter="0"/>
      <w:cols w:space="708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6768"/>
      <w:gridCol w:w="2200"/>
    </w:tblGrid>
    <w:tr>
      <w:trPr>
        <w:cantSplit/>
        <w:trHeight w:val="1" w:hRule="atLeast"/>
      </w:trPr>
      <w:tc>
        <w:tcPr>
          <w:tcW w:w="14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5" w:lineRule="exact"/>
          </w:pPr>
          <w:r>
            <w:rPr>
              <w:rFonts w:ascii="Segoe UI" w:hAnsi="Segoe UI" w:cs="Segoe UI"/>
              <w:color w:val="33383D"/>
              <w:sz w:val="2"/>
              <w:szCs w:val="2"/>
            </w:rPr>
          </w:r>
        </w:p>
      </w:tc>
      <w:tc>
        <w:tcPr>
          <w:tcW w:w="6768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77" w:lineRule="exact"/>
            <w:jc w:val="center"/>
          </w:pPr>
          <w:r>
            <w:rPr>
              <w:rFonts w:ascii="Segoe UI Semibold" w:hAnsi="Segoe UI Semibold" w:cs="Segoe UI Semibold"/>
              <w:b/>
              <w:bCs/>
              <w:color w:val="C21112"/>
              <w:sz w:val="22"/>
              <w:szCs w:val="22"/>
            </w:rPr>
            <w:t xml:space="preserve">www.fletestauro.com.mx</w:t>
          </w:r>
          <w:r>
            <w:rPr>
              <w:rFonts w:ascii="Segoe UI" w:hAnsi="Segoe UI" w:cs="Segoe UI"/>
              <w:color w:val="C9C9C9"/>
              <w:sz w:val="13"/>
              <w:szCs w:val="13"/>
            </w:rPr>
            <w:t xml:space="preserve">   ·   </w:t>
          </w:r>
          <w:r>
            <w:rPr>
              <w:rFonts w:ascii="Segoe UI" w:hAnsi="Segoe UI" w:cs="Segoe UI"/>
              <w:color w:val="6E6E6E"/>
              <w:sz w:val="12"/>
              <w:szCs w:val="12"/>
            </w:rPr>
            <w:t xml:space="preserve">Soluciones integrales en transporte de carga</w:t>
          </w:r>
        </w:p>
      </w:tc>
      <w:tc>
        <w:tcPr>
          <w:tcW w:w="220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0" w:line="163" w:lineRule="exact"/>
            <w:jc w:val="right"/>
          </w:pP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Página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PAGE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 de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NUMPAGES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</w:p>
      </w:tc>
    </w:tr>
  </w:tbl>
  <w:p>
    <w:pPr>
      <w:pBdr>
        <w:bottom w:val="single" w:sz="4" w:space="0" w:color="E4E4E4"/>
      </w:pBdr>
      <w:spacing w:before="70" w:after="0" w:line="25" w:lineRule="exact"/>
    </w:pPr>
    <w:r>
      <w:rPr>
        <w:rFonts w:ascii="Segoe UI" w:hAnsi="Segoe UI" w:cs="Segoe UI"/>
        <w:color w:val="33383D"/>
        <w:sz w:val="2"/>
        <w:szCs w:val="2"/>
      </w:rPr>
    </w:r>
  </w:p>
  <w:p>
    <w:pPr>
      <w:spacing w:before="0" w:after="70" w:line="50" w:lineRule="exact"/>
    </w:pPr>
    <w:r>
      <w:rPr>
        <w:rFonts w:ascii="Segoe UI" w:hAnsi="Segoe UI" w:cs="Segoe UI"/>
        <w:color w:val="33383D"/>
        <w:sz w:val="4"/>
        <w:szCs w:val="4"/>
      </w:rPr>
    </w:r>
  </w:p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3500"/>
      <w:gridCol w:w="3500"/>
      <w:gridCol w:w="1968"/>
    </w:tblGrid>
    <w:tr>
      <w:trPr>
        <w:cantSplit/>
      </w:trPr>
      <w:tc>
        <w:tcPr>
          <w:tcW w:w="1400" w:type="dxa"/>
          <w:tcMar>
            <w:top w:w="0" w:type="dxa"/>
            <w:left w:w="0" w:type="dxa"/>
            <w:bottom w:w="0" w:type="dxa"/>
            <w:right w:w="12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" w:hAnsi="Segoe UI" w:cs="Segoe UI"/>
              <w:caps/>
              <w:color w:val="6E6E6E"/>
              <w:sz w:val="12"/>
              <w:szCs w:val="12"/>
            </w:rPr>
            <w:t xml:space="preserve">Una empresa de</w:t>
          </w:r>
        </w:p>
        <w:p>
          <w:pPr>
            <w:spacing w:before="0" w:after="0"/>
          </w:pPr>
          <w:r>
            <w:drawing>
              <wp:inline distT="0" distB="0" distL="0" distR="0">
                <wp:extent cx="365760" cy="354841"/>
                <wp:effectExtent l="0" t="0" r="0" b="0"/>
                <wp:docPr id="1001" name="Grupo Ta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Grupo Taur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54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Matriz · Apodaca, N.L.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Carretera a Laredo Km. 16.5 No. 16501, Col. Moisés Sáenz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C.P. 66613, Apodaca, Nuevo León · Tel. (81) 1958-0740</w:t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Sucursal · Estado de México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Álamo No. 28 / Av. Ceylán Esq. Encino, Col. Tabla Honda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Tlalnepantla, Edo. de México · Tel. (55) 5308-7500</w:t>
          </w:r>
        </w:p>
      </w:tc>
      <w:tc>
        <w:tcPr>
          <w:tcW w:w="1968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Contacto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ventas@grupotauro.com.mx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Atención 24/7 en ruta</w:t>
          </w:r>
        </w:p>
      </w:tc>
    </w:tr>
  </w:tbl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420" w:hanging="420"/>
      </w:pPr>
      <w:rPr>
        <w:rFonts w:ascii="Segoe UI Semibold" w:hAnsi="Segoe UI Semibold" w:cs="Segoe UI Semibold"/>
        <w:b/>
        <w:color w:val="B4975A"/>
        <w:sz w:val="18"/>
      </w:r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Defaults>
    <w:rPrDefault>
      <w:rPr>
        <w:rFonts w:ascii="Segoe UI" w:hAnsi="Segoe UI" w:eastAsia="Segoe UI" w:cs="Segoe UI"/>
        <w:color w:val="33383D"/>
        <w:sz w:val="20"/>
        <w:szCs w:val="20"/>
        <w:lang w:val="es-MX" w:eastAsia="es-MX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glossaryDocument" Target="glossary/document.xml"/><Relationship Id="rId5" Type="http://schemas.openxmlformats.org/officeDocument/2006/relationships/image" Target="media/logo_ft.png"/><Relationship Id="rId6" Type="http://schemas.openxmlformats.org/officeDocument/2006/relationships/image" Target="media/watermark.png"/><Relationship Id="rId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logo_gt.png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PHFletesTauro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1C4A2-6F13-4E5D-9B70-2C61D8E37A45}"/>
      </w:docPartPr>
      <w:docPartBody>
        <w:p>
          <w:r>
            <w:t xml:space="preserve">Haga clic aquí para escribir.</w:t>
          </w:r>
        </w:p>
      </w:docPartBody>
    </w:docPart>
  </w:docParts>
</w:glossary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Fletes Tauro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 · Fletes Tauro</dc:title>
  <dc:creator>Fletes Tauro</dc:creator>
  <cp:lastModifiedBy>Fletes Tauro</cp:lastModifiedBy>
  <cp:category>Cotizaciones</cp:category>
</cp:coreProperties>
</file>