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31"/>
        <w:tblW w:w="509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9"/>
        <w:gridCol w:w="1210"/>
        <w:gridCol w:w="86"/>
        <w:gridCol w:w="1964"/>
        <w:gridCol w:w="655"/>
        <w:gridCol w:w="784"/>
        <w:gridCol w:w="779"/>
        <w:gridCol w:w="40"/>
        <w:gridCol w:w="2356"/>
      </w:tblGrid>
      <w:tr w:rsidR="005459E6" w:rsidTr="005459E6">
        <w:trPr>
          <w:cantSplit/>
          <w:trHeight w:val="385"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Gestión pagos y cobros</w:t>
            </w:r>
          </w:p>
        </w:tc>
      </w:tr>
      <w:tr w:rsidR="005459E6" w:rsidTr="005459E6">
        <w:trPr>
          <w:cantSplit/>
          <w:trHeight w:val="385"/>
          <w:tblCellSpacing w:w="20" w:type="dxa"/>
        </w:trPr>
        <w:tc>
          <w:tcPr>
            <w:tcW w:w="361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459E6" w:rsidRDefault="005459E6" w:rsidP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Consultar importe de aranceles</w:t>
            </w:r>
          </w:p>
        </w:tc>
        <w:tc>
          <w:tcPr>
            <w:tcW w:w="1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59</w:t>
            </w:r>
          </w:p>
        </w:tc>
      </w:tr>
      <w:tr w:rsidR="005459E6" w:rsidTr="005459E6">
        <w:trPr>
          <w:cantSplit/>
          <w:trHeight w:val="385"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5459E6" w:rsidTr="005459E6">
        <w:trPr>
          <w:cantSplit/>
          <w:trHeight w:val="385"/>
          <w:tblCellSpacing w:w="20" w:type="dxa"/>
        </w:trPr>
        <w:tc>
          <w:tcPr>
            <w:tcW w:w="23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Esencial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Soporte           </w:t>
            </w:r>
          </w:p>
        </w:tc>
        <w:tc>
          <w:tcPr>
            <w:tcW w:w="254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5459E6" w:rsidTr="005459E6">
        <w:trPr>
          <w:cantSplit/>
          <w:trHeight w:val="385"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Simple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Mediano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Complejo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Muy Complejo     </w:t>
            </w:r>
          </w:p>
        </w:tc>
      </w:tr>
      <w:tr w:rsidR="005459E6" w:rsidTr="005459E6">
        <w:trPr>
          <w:cantSplit/>
          <w:trHeight w:val="385"/>
          <w:tblCellSpacing w:w="20" w:type="dxa"/>
        </w:trPr>
        <w:tc>
          <w:tcPr>
            <w:tcW w:w="31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 Responsable de tesorería(RT)</w:t>
            </w:r>
          </w:p>
        </w:tc>
        <w:tc>
          <w:tcPr>
            <w:tcW w:w="1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 w:rsidP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Consultar el/los importes de los aranceles que se cobran al día de la fecha ya sean matriculas o cuotas respectivamente.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5459E6" w:rsidTr="005459E6">
        <w:trPr>
          <w:cantSplit/>
          <w:trHeight w:val="243"/>
          <w:tblCellSpacing w:w="20" w:type="dxa"/>
        </w:trPr>
        <w:tc>
          <w:tcPr>
            <w:tcW w:w="123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</w:p>
        </w:tc>
        <w:tc>
          <w:tcPr>
            <w:tcW w:w="37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 w:rsidP="005459E6">
            <w:pPr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Se consulto el monto de los aranceles ya sean cuotas o matriculas exitosamente</w:t>
            </w:r>
          </w:p>
        </w:tc>
      </w:tr>
      <w:tr w:rsidR="005459E6" w:rsidTr="005459E6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9E6" w:rsidRDefault="005459E6">
            <w:pPr>
              <w:rPr>
                <w:rFonts w:ascii="Arial" w:hAnsi="Arial" w:cs="Arial"/>
                <w:lang w:val="es-AR" w:eastAsia="en-US"/>
              </w:rPr>
            </w:pPr>
          </w:p>
        </w:tc>
        <w:tc>
          <w:tcPr>
            <w:tcW w:w="37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</w:p>
        </w:tc>
      </w:tr>
      <w:tr w:rsidR="005459E6" w:rsidTr="005459E6">
        <w:trPr>
          <w:trHeight w:val="215"/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3"/>
              <w:spacing w:before="0"/>
              <w:rPr>
                <w:rFonts w:ascii="Arial" w:eastAsiaTheme="majorEastAsia" w:hAnsi="Arial" w:cs="Arial"/>
                <w:b/>
                <w:bCs w:val="0"/>
                <w:i w:val="0"/>
                <w:color w:val="000000" w:themeColor="text1"/>
                <w:lang w:val="es-AR" w:eastAsia="en-US"/>
              </w:rPr>
            </w:pPr>
            <w:bookmarkStart w:id="0" w:name="_Toc330890197"/>
            <w:r>
              <w:rPr>
                <w:rFonts w:ascii="Arial" w:eastAsiaTheme="majorEastAsia" w:hAnsi="Arial" w:cs="Arial"/>
                <w:b/>
                <w:i w:val="0"/>
                <w:color w:val="000000" w:themeColor="text1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3"/>
              <w:spacing w:before="0"/>
              <w:rPr>
                <w:rFonts w:ascii="Arial" w:eastAsiaTheme="majorEastAsia" w:hAnsi="Arial" w:cs="Arial"/>
                <w:b/>
                <w:bCs w:val="0"/>
                <w:i w:val="0"/>
                <w:color w:val="000000" w:themeColor="text1"/>
                <w:lang w:val="es-AR" w:eastAsia="en-US"/>
              </w:rPr>
            </w:pPr>
            <w:bookmarkStart w:id="1" w:name="_Toc330890198"/>
            <w:r>
              <w:rPr>
                <w:rFonts w:ascii="Arial" w:eastAsiaTheme="majorEastAsia" w:hAnsi="Arial" w:cs="Arial"/>
                <w:b/>
                <w:i w:val="0"/>
                <w:color w:val="000000" w:themeColor="text1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 w:rsidP="00F60D7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C.U comienza cuando el RT ingresa en el menú Tesorería la  opción “Cuotas y Matriculas” y selecciona la solapa “Actualización de Importes”. </w:t>
            </w: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</w:p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 w:rsidP="00F60D7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 busca y muestra los diferentes conceptos que se cobran en el establecimiento educativo con los siguientes datos: Fecha de vigencia, concepto, importe actual, nuevo importe. </w:t>
            </w: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lang w:val="es-AR" w:eastAsia="en-US"/>
              </w:rPr>
              <w:t xml:space="preserve">2. A El sistema busca y no encuentra aranceles al </w:t>
            </w:r>
            <w:proofErr w:type="spellStart"/>
            <w:r>
              <w:rPr>
                <w:rFonts w:ascii="Arial" w:hAnsi="Arial" w:cs="Arial"/>
                <w:lang w:val="es-AR" w:eastAsia="en-US"/>
              </w:rPr>
              <w:t>dia</w:t>
            </w:r>
            <w:proofErr w:type="spellEnd"/>
            <w:r>
              <w:rPr>
                <w:rFonts w:ascii="Arial" w:hAnsi="Arial" w:cs="Arial"/>
                <w:lang w:val="es-AR" w:eastAsia="en-US"/>
              </w:rPr>
              <w:t xml:space="preserve"> de la fecha.</w:t>
            </w:r>
          </w:p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lang w:val="es-AR" w:eastAsia="en-US"/>
              </w:rPr>
              <w:t>2. A.1 El sistema informa la situación al RT.</w:t>
            </w:r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7. El  RT presiona el botón “Cerrar”.</w:t>
            </w: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8. Fin caso de uso.</w:t>
            </w: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</w:p>
        </w:tc>
      </w:tr>
      <w:tr w:rsidR="005459E6" w:rsidTr="005459E6">
        <w:trPr>
          <w:tblCellSpacing w:w="20" w:type="dxa"/>
        </w:trPr>
        <w:tc>
          <w:tcPr>
            <w:tcW w:w="2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218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59E6" w:rsidRDefault="005459E6">
            <w:pPr>
              <w:jc w:val="both"/>
              <w:rPr>
                <w:rFonts w:ascii="Arial" w:hAnsi="Arial" w:cs="Arial"/>
                <w:lang w:val="es-AR" w:eastAsia="en-US"/>
              </w:rPr>
            </w:pP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Asociaciones de Extensión: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 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jc w:val="both"/>
              <w:rPr>
                <w:rFonts w:ascii="Arial" w:hAnsi="Arial" w:cs="Arial"/>
                <w:b/>
                <w:bCs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199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no aplica</w:t>
            </w:r>
            <w:bookmarkEnd w:id="2"/>
          </w:p>
        </w:tc>
      </w:tr>
      <w:tr w:rsidR="005459E6" w:rsidTr="005459E6">
        <w:trPr>
          <w:cantSplit/>
          <w:tblCellSpacing w:w="20" w:type="dxa"/>
        </w:trPr>
        <w:tc>
          <w:tcPr>
            <w:tcW w:w="4955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200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3"/>
          </w:p>
        </w:tc>
      </w:tr>
      <w:tr w:rsidR="005459E6" w:rsidTr="005459E6">
        <w:trPr>
          <w:cantSplit/>
          <w:tblCellSpacing w:w="20" w:type="dxa"/>
        </w:trPr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201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4"/>
          </w:p>
        </w:tc>
        <w:tc>
          <w:tcPr>
            <w:tcW w:w="7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202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5"/>
          </w:p>
        </w:tc>
        <w:tc>
          <w:tcPr>
            <w:tcW w:w="233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203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6"/>
          </w:p>
        </w:tc>
        <w:tc>
          <w:tcPr>
            <w:tcW w:w="1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204"/>
            <w:r>
              <w:rPr>
                <w:rFonts w:ascii="Arial" w:hAnsi="Arial" w:cs="Arial"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7"/>
          </w:p>
        </w:tc>
      </w:tr>
      <w:tr w:rsidR="005459E6" w:rsidTr="005459E6">
        <w:trPr>
          <w:cantSplit/>
          <w:tblCellSpacing w:w="20" w:type="dxa"/>
        </w:trPr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205"/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1.0</w:t>
            </w:r>
            <w:bookmarkEnd w:id="8"/>
          </w:p>
        </w:tc>
        <w:tc>
          <w:tcPr>
            <w:tcW w:w="7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AA0DA7" w:rsidP="00AA0DA7">
            <w:pPr>
              <w:pStyle w:val="Ttulo1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9" w:name="_Toc330890206"/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05/12</w:t>
            </w:r>
            <w:r w:rsidR="005459E6"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/</w:t>
            </w:r>
            <w:bookmarkEnd w:id="9"/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1</w:t>
            </w:r>
            <w:r w:rsidR="005459E6"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4</w:t>
            </w:r>
          </w:p>
        </w:tc>
        <w:tc>
          <w:tcPr>
            <w:tcW w:w="233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left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10" w:name="_Toc330890207"/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Detallan los cursos normal y alternativo</w:t>
            </w:r>
            <w:bookmarkEnd w:id="10"/>
          </w:p>
        </w:tc>
        <w:tc>
          <w:tcPr>
            <w:tcW w:w="1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9E6" w:rsidRDefault="005459E6">
            <w:pPr>
              <w:pStyle w:val="Ttulo1"/>
              <w:jc w:val="left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Default="00AA0DA7"/>
    <w:sectPr w:rsidR="008013CB" w:rsidSect="00A2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9E6"/>
    <w:rsid w:val="000337A0"/>
    <w:rsid w:val="005459E6"/>
    <w:rsid w:val="00A271DB"/>
    <w:rsid w:val="00AA0DA7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459E6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9E6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59E6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59E6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5459E6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459E6"/>
    <w:rPr>
      <w:rFonts w:ascii="Tahoma" w:eastAsia="Times New Roman" w:hAnsi="Tahoma" w:cs="Tahoma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1730</Characters>
  <Application>Microsoft Office Word</Application>
  <DocSecurity>0</DocSecurity>
  <Lines>14</Lines>
  <Paragraphs>4</Paragraphs>
  <ScaleCrop>false</ScaleCrop>
  <Company>Toshiba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2014-12-05T18:49:00Z</dcterms:created>
  <dcterms:modified xsi:type="dcterms:W3CDTF">2014-12-05T18:56:00Z</dcterms:modified>
</cp:coreProperties>
</file>