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Playhoot Plan de identidad básica</w:t>
      </w:r>
    </w:p>
    <w:p>
      <w:pPr>
        <w:pStyle w:val="Subtitle"/>
      </w:pPr>
      <w:r>
        <w:t>Autenticación y autorización para invitados y cuentas</w:t>
      </w:r>
    </w:p>
    <w:p>
      <w:pPr>
        <w:spacing w:after="240"/>
      </w:pPr>
      <w:r>
        <w:rPr>
          <w:sz w:val="20"/>
        </w:rPr>
        <w:t>25 de octubre de 2026</w:t>
      </w:r>
    </w:p>
    <w:p>
      <w:r>
        <w:rPr>
          <w:b/>
        </w:rPr>
        <w:t>Recomendación.</w:t>
      </w:r>
      <w:r>
        <w:rPr>
          <w:b w:val="0"/>
        </w:rPr>
        <w:t xml:space="preserve"> Implementar Identity antes de continuar con el SDK y la creación de juegos. La primera entrega tendrá invitados persistidos, cuentas registradas mediante Google, credenciales propias de Playhoot, renovación, cierre de sesión y autorización de las operaciones actuales. El desarrollo local simulará únicamente al proveedor externo; la base de datos y el ciclo de credenciales serán reales.</w:t>
      </w:r>
    </w:p>
    <w:p>
      <w:r>
        <w:rPr>
          <w:b w:val="0"/>
        </w:rPr>
        <w:t xml:space="preserve">La identidad pública seguirá siendo </w:t>
      </w:r>
      <w:r>
        <w:rPr>
          <w:b/>
        </w:rPr>
        <w:t>Identity.User</w:t>
      </w:r>
      <w:r>
        <w:rPr>
          <w:b w:val="0"/>
        </w:rPr>
        <w:t xml:space="preserve">, referenciada mediante un </w:t>
      </w:r>
      <w:r>
        <w:rPr>
          <w:b/>
        </w:rPr>
        <w:t>UserUUID estable</w:t>
      </w:r>
      <w:r>
        <w:rPr>
          <w:b w:val="0"/>
        </w:rPr>
        <w:t>. Invitado y registrado compartirán esa entidad. El esquema permitirá una conversión futura conservando el UUID, aunque esta entrega no implementará upgrade ni fusión de identidades. La tabla que materialice User será privada del dominio; el contrato exportado será la entidad lógica y su identificador.</w:t>
      </w:r>
    </w:p>
    <w:p>
      <w:r>
        <w:rPr>
          <w:b w:val="0"/>
        </w:rPr>
        <w:t xml:space="preserve">La propuesta concreta los puntos que seguían abiertos: Google como único proveedor inicial, redirección OIDC gestionada por backend, access opaco de 15 minutos, refresh opaco rotatorio en cookie HttpOnly y recuperación breve de reintentos. Mantiene las ventanas ya aceptadas: cuenta con 30 días de inactividad y 90 días absolutos; invitado sin vencimiento temporal del refresh en servidor. </w:t>
      </w:r>
      <w:hyperlink w:anchor="ref_R01" w:history="1">
        <w:r>
          <w:rPr>
            <w:rFonts w:ascii="Arial" w:hAnsi="Arial"/>
            <w:color w:val="333333"/>
          </w:rPr>
          <w:t xml:space="preserve">R01</w:t>
        </w:r>
      </w:hyperlink>
      <w:r>
        <w:rPr>
          <w:b w:val="0"/>
        </w:rPr>
        <w:t xml:space="preserve"> </w:t>
      </w:r>
      <w:hyperlink w:anchor="ref_R02" w:history="1">
        <w:r>
          <w:rPr>
            <w:rFonts w:ascii="Arial" w:hAnsi="Arial"/>
            <w:color w:val="333333"/>
          </w:rPr>
          <w:t xml:space="preserve">R02</w:t>
        </w:r>
      </w:hyperlink>
      <w:r>
        <w:rPr>
          <w:b w:val="0"/>
        </w:rPr>
      </w:r>
    </w:p>
    <w:p>
      <w:r>
        <w:rPr>
          <w:b/>
        </w:rPr>
        <w:t>Resultado de esta fase.</w:t>
      </w:r>
      <w:r>
        <w:rPr>
          <w:b w:val="0"/>
        </w:rPr>
        <w:t xml:space="preserve"> Una cuenta podrá crear una sesión de juego; dos invitados distintos podrán entrar y conservar su identidad al recargar; una cuenta que vuelva a autenticarse resolverá el mismo usuario. Expiración, renovación y revocación funcionarán con persistencia real. El juego seguirá utilizando sus permisos de participación y administración existentes.</w:t>
      </w:r>
    </w:p>
    <w:p>
      <w:r>
        <w:rPr>
          <w:b/>
        </w:rPr>
        <w:t>Estado de las decisiones.</w:t>
      </w:r>
      <w:r>
        <w:rPr>
          <w:b w:val="0"/>
        </w:rPr>
        <w:t xml:space="preserve"> Los requisitos expresados por el propietario y los ADR aceptados constituyen la base. Las elecciones nuevas de este documento son recomendaciones de diseño para adoptar al preparar el trabajo del repositorio. La excepción de reintento idempotente precisa expresamente el ADR de rotación; no debe introducirse como una modificación silenciosa de su regla de reutilización.</w:t>
      </w:r>
    </w:p>
    <w:p>
      <w:r>
        <w:rPr>
          <w:b w:val="0"/>
        </w:rPr>
        <w:t>El perfil completo, contraseñas propias, varios proveedores, gestión visual de dispositivos, recuperación de invitados, upgrade y reconciliación de cuentas quedan para etapas posteriores. Esta fase conserva únicamente el nombre visible y los datos técnicos necesarios para autenticar y autorizar.</w:t>
      </w:r>
    </w:p>
    <w:p>
      <w:r>
        <w:br w:type="page"/>
      </w:r>
    </w:p>
    <w:p>
      <w:pPr>
        <w:pStyle w:val="Heading1"/>
        <w:pageBreakBefore w:val="0"/>
      </w:pPr>
      <w:r>
        <w:t>Contenido</w:t>
      </w:r>
    </w:p>
    <w:p>
      <w:pPr>
        <w:spacing w:after="360"/>
      </w:pPr>
      <w:r>
        <w:t>La propuesta define el proveedor inicial, la identidad estable y el ciclo de credenciales. Después concreta los contratos web, el desarrollo local, la secuencia de implementación y los criterios de aceptación.</w:t>
      </w:r>
    </w:p>
    <w:p>
      <w:pPr>
        <w:tabs>
          <w:tab w:pos="9720" w:val="right"/>
        </w:tabs>
        <w:spacing w:after="160" w:line="252" w:lineRule="auto"/>
      </w:pPr>
      <w:hyperlink w:anchor="chapter_1" w:history="1">
        <w:r>
          <w:rPr>
            <w:rFonts w:ascii="Arial" w:hAnsi="Arial"/>
            <w:color w:val="000000"/>
            <w:sz w:val="22"/>
          </w:rPr>
          <w:t xml:space="preserve">1 Alcance y punto de partida</w:t>
        </w:r>
      </w:hyperlink>
      <w:r>
        <w:tab/>
        <w:t>3</w:t>
      </w:r>
    </w:p>
    <w:p>
      <w:pPr>
        <w:tabs>
          <w:tab w:pos="9720" w:val="right"/>
        </w:tabs>
        <w:spacing w:after="160" w:line="252" w:lineRule="auto"/>
      </w:pPr>
      <w:hyperlink w:anchor="chapter_2" w:history="1">
        <w:r>
          <w:rPr>
            <w:rFonts w:ascii="Arial" w:hAnsi="Arial"/>
            <w:color w:val="000000"/>
            <w:sz w:val="22"/>
          </w:rPr>
          <w:t xml:space="preserve">2 Proveedor inicial y costos</w:t>
        </w:r>
      </w:hyperlink>
      <w:r>
        <w:tab/>
        <w:t>4</w:t>
      </w:r>
    </w:p>
    <w:p>
      <w:pPr>
        <w:tabs>
          <w:tab w:pos="9720" w:val="right"/>
        </w:tabs>
        <w:spacing w:after="160" w:line="252" w:lineRule="auto"/>
      </w:pPr>
      <w:hyperlink w:anchor="chapter_3" w:history="1">
        <w:r>
          <w:rPr>
            <w:rFonts w:ascii="Arial" w:hAnsi="Arial"/>
            <w:color w:val="000000"/>
            <w:sz w:val="22"/>
          </w:rPr>
          <w:t xml:space="preserve">3 Identidad estable y esquema inicial</w:t>
        </w:r>
      </w:hyperlink>
      <w:r>
        <w:tab/>
        <w:t>5</w:t>
      </w:r>
    </w:p>
    <w:p>
      <w:pPr>
        <w:tabs>
          <w:tab w:pos="9720" w:val="right"/>
        </w:tabs>
        <w:spacing w:after="160" w:line="252" w:lineRule="auto"/>
      </w:pPr>
      <w:hyperlink w:anchor="chapter_4" w:history="1">
        <w:r>
          <w:rPr>
            <w:rFonts w:ascii="Arial" w:hAnsi="Arial"/>
            <w:color w:val="000000"/>
            <w:sz w:val="22"/>
          </w:rPr>
          <w:t xml:space="preserve">4 Alta e inicio de sesión</w:t>
        </w:r>
      </w:hyperlink>
      <w:r>
        <w:tab/>
        <w:t>7</w:t>
      </w:r>
    </w:p>
    <w:p>
      <w:pPr>
        <w:tabs>
          <w:tab w:pos="9720" w:val="right"/>
        </w:tabs>
        <w:spacing w:after="160" w:line="252" w:lineRule="auto"/>
      </w:pPr>
      <w:hyperlink w:anchor="chapter_5" w:history="1">
        <w:r>
          <w:rPr>
            <w:rFonts w:ascii="Arial" w:hAnsi="Arial"/>
            <w:color w:val="000000"/>
            <w:sz w:val="22"/>
          </w:rPr>
          <w:t xml:space="preserve">5 Credenciales y política de sesiones</w:t>
        </w:r>
      </w:hyperlink>
      <w:r>
        <w:tab/>
        <w:t>8</w:t>
      </w:r>
    </w:p>
    <w:p>
      <w:pPr>
        <w:tabs>
          <w:tab w:pos="9720" w:val="right"/>
        </w:tabs>
        <w:spacing w:after="160" w:line="252" w:lineRule="auto"/>
      </w:pPr>
      <w:hyperlink w:anchor="chapter_6" w:history="1">
        <w:r>
          <w:rPr>
            <w:rFonts w:ascii="Arial" w:hAnsi="Arial"/>
            <w:color w:val="000000"/>
            <w:sz w:val="22"/>
          </w:rPr>
          <w:t xml:space="preserve">6 Rotación y reintentos</w:t>
        </w:r>
      </w:hyperlink>
      <w:r>
        <w:tab/>
        <w:t>9</w:t>
      </w:r>
    </w:p>
    <w:p>
      <w:pPr>
        <w:tabs>
          <w:tab w:pos="9720" w:val="right"/>
        </w:tabs>
        <w:spacing w:after="160" w:line="252" w:lineRule="auto"/>
      </w:pPr>
      <w:hyperlink w:anchor="chapter_7" w:history="1">
        <w:r>
          <w:rPr>
            <w:rFonts w:ascii="Arial" w:hAnsi="Arial"/>
            <w:color w:val="000000"/>
            <w:sz w:val="22"/>
          </w:rPr>
          <w:t xml:space="preserve">7 Integración web y superficie mínima</w:t>
        </w:r>
      </w:hyperlink>
      <w:r>
        <w:tab/>
        <w:t>11</w:t>
      </w:r>
    </w:p>
    <w:p>
      <w:pPr>
        <w:tabs>
          <w:tab w:pos="9720" w:val="right"/>
        </w:tabs>
        <w:spacing w:after="160" w:line="252" w:lineRule="auto"/>
      </w:pPr>
      <w:hyperlink w:anchor="chapter_8" w:history="1">
        <w:r>
          <w:rPr>
            <w:rFonts w:ascii="Arial" w:hAnsi="Arial"/>
            <w:color w:val="000000"/>
            <w:sz w:val="22"/>
          </w:rPr>
          <w:t xml:space="preserve">8 Autorización y responsabilidad de dominio</w:t>
        </w:r>
      </w:hyperlink>
      <w:r>
        <w:tab/>
        <w:t>13</w:t>
      </w:r>
    </w:p>
    <w:p>
      <w:pPr>
        <w:tabs>
          <w:tab w:pos="9720" w:val="right"/>
        </w:tabs>
        <w:spacing w:after="160" w:line="252" w:lineRule="auto"/>
      </w:pPr>
      <w:hyperlink w:anchor="chapter_9" w:history="1">
        <w:r>
          <w:rPr>
            <w:rFonts w:ascii="Arial" w:hAnsi="Arial"/>
            <w:color w:val="000000"/>
            <w:sz w:val="22"/>
          </w:rPr>
          <w:t xml:space="preserve">9 Desarrollo local y operación mínima</w:t>
        </w:r>
      </w:hyperlink>
      <w:r>
        <w:tab/>
        <w:t>13</w:t>
      </w:r>
    </w:p>
    <w:p>
      <w:pPr>
        <w:tabs>
          <w:tab w:pos="9720" w:val="right"/>
        </w:tabs>
        <w:spacing w:after="160" w:line="252" w:lineRule="auto"/>
      </w:pPr>
      <w:hyperlink w:anchor="chapter_10" w:history="1">
        <w:r>
          <w:rPr>
            <w:rFonts w:ascii="Arial" w:hAnsi="Arial"/>
            <w:color w:val="000000"/>
            <w:sz w:val="22"/>
          </w:rPr>
          <w:t xml:space="preserve">10 Orden de implementación</w:t>
        </w:r>
      </w:hyperlink>
      <w:r>
        <w:tab/>
        <w:t>15</w:t>
      </w:r>
    </w:p>
    <w:p>
      <w:pPr>
        <w:tabs>
          <w:tab w:pos="9720" w:val="right"/>
        </w:tabs>
        <w:spacing w:after="160" w:line="252" w:lineRule="auto"/>
      </w:pPr>
      <w:hyperlink w:anchor="chapter_11" w:history="1">
        <w:r>
          <w:rPr>
            <w:rFonts w:ascii="Arial" w:hAnsi="Arial"/>
            <w:color w:val="000000"/>
            <w:sz w:val="22"/>
          </w:rPr>
          <w:t xml:space="preserve">11 Criterios de aceptación y handoff</w:t>
        </w:r>
      </w:hyperlink>
      <w:r>
        <w:tab/>
        <w:t>16</w:t>
      </w:r>
    </w:p>
    <w:p>
      <w:pPr>
        <w:tabs>
          <w:tab w:pos="9720" w:val="right"/>
        </w:tabs>
        <w:spacing w:after="160" w:line="252" w:lineRule="auto"/>
      </w:pPr>
      <w:hyperlink w:anchor="chapter_12" w:history="1">
        <w:r>
          <w:rPr>
            <w:rFonts w:ascii="Arial" w:hAnsi="Arial"/>
            <w:color w:val="000000"/>
            <w:sz w:val="22"/>
          </w:rPr>
          <w:t xml:space="preserve">12 Fuentes y trazabilidad</w:t>
        </w:r>
      </w:hyperlink>
      <w:r>
        <w:tab/>
        <w:t>18</w:t>
      </w:r>
    </w:p>
    <w:p>
      <w:pPr>
        <w:pStyle w:val="Heading1"/>
        <w:pageBreakBefore/>
        <w:spacing w:before="0"/>
      </w:pPr>
      <w:bookmarkStart w:id="1" w:name="chapter_1"/>
      <w:r>
        <w:t>1 Alcance y punto de partida</w:t>
      </w:r>
      <w:bookmarkEnd w:id="1"/>
    </w:p>
    <w:p>
      <w:pPr>
        <w:pStyle w:val="Heading2"/>
      </w:pPr>
      <w:r>
        <w:t>Estado verificado</w:t>
      </w:r>
    </w:p>
    <w:p>
      <w:r>
        <w:rPr>
          <w:b w:val="0"/>
        </w:rPr>
        <w:t>La revisión utiliza el backend en el commit 3608c45b508c0f402bbb82abcbd39ee2a9499da8 y el frontend en e3e76d62da8bc2dcec51bf4523d670fd99859787. Son las versiones disponibles de los repositorios proporcionados. Las referencias finales permiten localizar los contratos y decisiones que condicionan esta propuesta.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984"/>
      </w:tblGrid>
      <w:tr>
        <w:trPr>
          <w:cantSplit/>
          <w:tblHeader w:val="true"/>
        </w:trPr>
        <w:tc>
          <w:tcPr>
            <w:tcW w:type="dxa" w:w="2952"/>
            <w:tcMar>
              <w:top w:w="90" w:type="dxa"/>
              <w:start w:w="105" w:type="dxa"/>
              <w:bottom w:w="90" w:type="dxa"/>
              <w:end w:w="105" w:type="dxa"/>
            </w:tcMar>
            <w:vAlign w:val="center"/>
            <w:shd w:fill="203C50"/>
          </w:tcPr>
          <w:p>
            <w:pPr>
              <w:keepNext/>
              <w:widowControl/>
              <w:spacing w:after="0" w:before="0" w:line="252" w:lineRule="auto"/>
            </w:pPr>
            <w:r>
              <w:rPr>
                <w:b/>
                <w:color w:val="FFFFFF"/>
                <w:sz w:val="19"/>
              </w:rPr>
              <w:t>Área</w:t>
            </w:r>
          </w:p>
        </w:tc>
        <w:tc>
          <w:tcPr>
            <w:tcW w:type="dxa" w:w="6984"/>
            <w:tcMar>
              <w:top w:w="90" w:type="dxa"/>
              <w:start w:w="105" w:type="dxa"/>
              <w:bottom w:w="90" w:type="dxa"/>
              <w:end w:w="105" w:type="dxa"/>
            </w:tcMar>
            <w:vAlign w:val="center"/>
            <w:shd w:fill="203C50"/>
          </w:tcPr>
          <w:p>
            <w:pPr>
              <w:keepNext/>
              <w:widowControl/>
              <w:spacing w:after="0" w:before="0" w:line="252" w:lineRule="auto"/>
            </w:pPr>
            <w:r>
              <w:rPr>
                <w:b/>
                <w:color w:val="FFFFFF"/>
                <w:sz w:val="19"/>
              </w:rPr>
              <w:t>Implementación actual y consecuencia</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Creación de invitado</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POST /v1/guests devuelve siempre el mismo UUID y test-guest. Todavía no crea usuarios reales. Dos altas no representan a dos personas distintas.</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Autorización</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Reconoce tres tokens fijos. Existe la separación entre operación general y permisos de una partida concreta.</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Registro y login</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No existen endpoints reales para el proveedor, refresh o logout.</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Persistencia</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Identity no tiene tablas ni migraciones conectadas al arranque.</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Frontend</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Guarda la credencial completa en localStorage. Tiene un puerto de refresh y reintento HTTP, pero el adaptador de renovación aún devuelve que no pudo renovar.</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WebSocket</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Autentica durante el handshake con el bearer existente. No hay join ticket separado.</w:t>
            </w:r>
          </w:p>
        </w:tc>
      </w:tr>
    </w:tbl>
    <w:p>
      <w:pPr>
        <w:spacing w:after="40" w:before="0" w:line="240" w:lineRule="auto"/>
      </w:pPr>
      <w:r>
        <w:rPr>
          <w:sz w:val="4"/>
        </w:rPr>
      </w:r>
    </w:p>
    <w:p>
      <w:r>
        <w:rPr>
          <w:b w:val="0"/>
        </w:rPr>
        <w:t xml:space="preserve">Estos son placeholders identificados en los documentos de estado y confirmados en el código. Implementarlos permitirá comprobar propiedad, participación e identidad con personas distintas. </w:t>
      </w:r>
      <w:hyperlink w:anchor="ref_R03" w:history="1">
        <w:r>
          <w:rPr>
            <w:rFonts w:ascii="Arial" w:hAnsi="Arial"/>
            <w:color w:val="333333"/>
          </w:rPr>
          <w:t xml:space="preserve">R03</w:t>
        </w:r>
      </w:hyperlink>
      <w:r>
        <w:rPr>
          <w:b w:val="0"/>
        </w:rPr>
        <w:t xml:space="preserve"> </w:t>
      </w:r>
      <w:hyperlink w:anchor="ref_R04" w:history="1">
        <w:r>
          <w:rPr>
            <w:rFonts w:ascii="Arial" w:hAnsi="Arial"/>
            <w:color w:val="333333"/>
          </w:rPr>
          <w:t xml:space="preserve">R04</w:t>
        </w:r>
      </w:hyperlink>
      <w:r>
        <w:rPr>
          <w:b w:val="0"/>
        </w:rPr>
      </w:r>
    </w:p>
    <w:p>
      <w:pPr>
        <w:pStyle w:val="Heading2"/>
      </w:pPr>
      <w:r>
        <w:t>Tres situaciones de acceso</w:t>
      </w:r>
    </w:p>
    <w:p>
      <w:r>
        <w:rPr>
          <w:b/>
        </w:rPr>
        <w:t>Anónimo</w:t>
      </w:r>
      <w:r>
        <w:rPr>
          <w:b w:val="0"/>
        </w:rPr>
        <w:t xml:space="preserve"> significa que la petición no presenta una identidad válida. No requiere una fila común de usuario. </w:t>
      </w:r>
      <w:r>
        <w:rPr>
          <w:b/>
        </w:rPr>
        <w:t>Invitado</w:t>
      </w:r>
      <w:r>
        <w:rPr>
          <w:b w:val="0"/>
        </w:rPr>
        <w:t xml:space="preserve"> es un User real cuya prueba de acceso es una credencial conservada por el navegador. </w:t>
      </w:r>
      <w:r>
        <w:rPr>
          <w:b/>
        </w:rPr>
        <w:t>Registrado</w:t>
      </w:r>
      <w:r>
        <w:rPr>
          <w:b w:val="0"/>
        </w:rPr>
        <w:t xml:space="preserve"> es un User con una cuenta recuperable a través del proveedor aceptado.</w:t>
      </w:r>
    </w:p>
    <w:p>
      <w:r>
        <w:rPr>
          <w:b w:val="0"/>
        </w:rPr>
        <w:t>El invitado sí está autenticado cuando presenta una credencial válida, aunque no haya verificado un correo ni tenga contraseña. Esta distinción evita confundir ausencia de registro con ausencia de autenticación. Las rutas públicas declaran que aceptan acceso anónimo; las protegidas exigen una identidad válida.</w:t>
      </w:r>
    </w:p>
    <w:p>
      <w:r>
        <w:rPr>
          <w:b w:val="0"/>
        </w:rPr>
        <w:t xml:space="preserve">El término iniciar sesión se reservará para autenticar a la persona. Entrar a una partida como jugador permite invitados. Arrancar una partida mediante start_session corresponde al administrador autorizado y exige la condición de creador que comprueba Play. </w:t>
      </w:r>
      <w:hyperlink w:anchor="ref_R03" w:history="1">
        <w:r>
          <w:rPr>
            <w:rFonts w:ascii="Arial" w:hAnsi="Arial"/>
            <w:color w:val="333333"/>
          </w:rPr>
          <w:t xml:space="preserve">R03</w:t>
        </w:r>
      </w:hyperlink>
      <w:r>
        <w:rPr>
          <w:b w:val="0"/>
        </w:rPr>
      </w:r>
    </w:p>
    <w:p>
      <w:pPr>
        <w:pStyle w:val="Heading2"/>
      </w:pPr>
      <w:r>
        <w:t>Límites de la entrega</w:t>
      </w:r>
    </w:p>
    <w:p>
      <w:r>
        <w:rPr>
          <w:b w:val="0"/>
        </w:rPr>
        <w:t>Incluye alta de invitado, alta inicial y login recurrente con Google, sesiones de autenticación, access y refresh, expiración, revocación de la sesión actual, resumen mínimo del usuario y la matriz de permisos existente. Incluye la UI y el transporte necesarios para que ese flujo sea utilizable en local y pueda conectarse a Google real.</w:t>
      </w:r>
    </w:p>
    <w:p>
      <w:r>
        <w:rPr>
          <w:b w:val="0"/>
        </w:rPr>
        <w:t>No introduce un sistema configurable de roles, permisos por organización, MFA propio, contraseñas, restablecimiento por correo, perfiles completos, avatar editable, facturación, autorizaciones delegadas a agentes ni permisos del futuro editor de juegos. Los enlaces delegados del plan de creación serán una capacidad distinta; no utilizarán un refresh token personal como autorización del agente.</w:t>
      </w:r>
    </w:p>
    <w:p>
      <w:pPr>
        <w:pStyle w:val="Heading1"/>
      </w:pPr>
      <w:bookmarkStart w:id="2" w:name="chapter_2"/>
      <w:r>
        <w:t>2 Proveedor inicial y costos</w:t>
      </w:r>
      <w:bookmarkEnd w:id="2"/>
    </w:p>
    <w:p>
      <w:pPr>
        <w:pStyle w:val="Heading2"/>
      </w:pPr>
      <w:r>
        <w:t>Recomendación de producto</w:t>
      </w:r>
    </w:p>
    <w:p>
      <w:r>
        <w:rPr>
          <w:b w:val="0"/>
        </w:rPr>
        <w:t>Google será el único proveedor de cuentas registradas de esta fase. Participar como invitado seguirá disponible sin una cuenta Google. La elección reduce integraciones iniciales y permite recuperar una cuenta en otro dispositivo mediante el mismo vínculo externo.</w:t>
      </w:r>
    </w:p>
    <w:p>
      <w:r>
        <w:rPr>
          <w:b w:val="0"/>
        </w:rPr>
        <w:t>Las contraseñas propias siguen siendo una opción válida. Posponerlas evita desarrollar ahora verificación de correo, cambio y recuperación de contraseña y operación de mensajes. Su incorporación futura se justificaría por usuarios que necesiten registrarse sin el proveedor inicial. Los enlaces mágicos también requieren entrega de correo y un flujo de recuperación; no son necesarios para desbloquear las pruebas actuales.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773"/>
        <w:gridCol w:w="3787"/>
      </w:tblGrid>
      <w:tr>
        <w:trPr>
          <w:cantSplit/>
          <w:tblHeader w:val="true"/>
        </w:trPr>
        <w:tc>
          <w:tcPr>
            <w:tcW w:type="dxa" w:w="2376"/>
            <w:tcMar>
              <w:top w:w="90" w:type="dxa"/>
              <w:start w:w="105" w:type="dxa"/>
              <w:bottom w:w="90" w:type="dxa"/>
              <w:end w:w="105" w:type="dxa"/>
            </w:tcMar>
            <w:vAlign w:val="center"/>
            <w:shd w:fill="203C50"/>
          </w:tcPr>
          <w:p>
            <w:pPr>
              <w:keepNext/>
              <w:widowControl/>
              <w:spacing w:after="0" w:before="0" w:line="252" w:lineRule="auto"/>
            </w:pPr>
            <w:r>
              <w:rPr>
                <w:b/>
                <w:color w:val="FFFFFF"/>
                <w:sz w:val="19"/>
              </w:rPr>
              <w:t>Alternativa</w:t>
            </w:r>
          </w:p>
        </w:tc>
        <w:tc>
          <w:tcPr>
            <w:tcW w:type="dxa" w:w="3773"/>
            <w:tcMar>
              <w:top w:w="90" w:type="dxa"/>
              <w:start w:w="105" w:type="dxa"/>
              <w:bottom w:w="90" w:type="dxa"/>
              <w:end w:w="105" w:type="dxa"/>
            </w:tcMar>
            <w:vAlign w:val="center"/>
            <w:shd w:fill="203C50"/>
          </w:tcPr>
          <w:p>
            <w:pPr>
              <w:keepNext/>
              <w:widowControl/>
              <w:spacing w:after="0" w:before="0" w:line="252" w:lineRule="auto"/>
            </w:pPr>
            <w:r>
              <w:rPr>
                <w:b/>
                <w:color w:val="FFFFFF"/>
                <w:sz w:val="19"/>
              </w:rPr>
              <w:t>Condiciones y costo relevante</w:t>
            </w:r>
          </w:p>
        </w:tc>
        <w:tc>
          <w:tcPr>
            <w:tcW w:type="dxa" w:w="3787"/>
            <w:tcMar>
              <w:top w:w="90" w:type="dxa"/>
              <w:start w:w="105" w:type="dxa"/>
              <w:bottom w:w="90" w:type="dxa"/>
              <w:end w:w="105" w:type="dxa"/>
            </w:tcMar>
            <w:vAlign w:val="center"/>
            <w:shd w:fill="203C50"/>
          </w:tcPr>
          <w:p>
            <w:pPr>
              <w:keepNext/>
              <w:widowControl/>
              <w:spacing w:after="0" w:before="0" w:line="252" w:lineRule="auto"/>
            </w:pPr>
            <w:r>
              <w:rPr>
                <w:b/>
                <w:color w:val="FFFFFF"/>
                <w:sz w:val="19"/>
              </w:rPr>
              <w:t>Decisión propuesta</w:t>
            </w:r>
          </w:p>
        </w:tc>
      </w:tr>
      <w:tr>
        <w:trPr>
          <w:cantSplit/>
        </w:trPr>
        <w:tc>
          <w:tcPr>
            <w:tcW w:type="dxa" w:w="2376"/>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Google directo</w:t>
            </w:r>
          </w:p>
        </w:tc>
        <w:tc>
          <w:tcPr>
            <w:tcW w:type="dxa" w:w="3773"/>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 xml:space="preserve">Proyecto y cliente OAuth; Google documenta que crear la cuenta y el proyecto del codelab es gratuito. El flujo directo revisado no publica una tarifa por login ni exige Identity Platform. La infraestructura de Playhoot sigue teniendo costo. </w:t>
            </w:r>
            <w:hyperlink w:anchor="ref_E01" w:history="1">
              <w:r>
                <w:rPr>
                  <w:rFonts w:ascii="Arial" w:hAnsi="Arial"/>
                  <w:color w:val="000000"/>
                  <w:sz w:val="19"/>
                </w:rPr>
                <w:t xml:space="preserve">E01</w:t>
              </w:r>
            </w:hyperlink>
            <w:r>
              <w:rPr>
                <w:b w:val="0"/>
                <w:color w:val="000000"/>
                <w:sz w:val="19"/>
              </w:rPr>
              <w:t xml:space="preserve"> </w:t>
            </w:r>
            <w:hyperlink w:anchor="ref_E04" w:history="1">
              <w:r>
                <w:rPr>
                  <w:rFonts w:ascii="Arial" w:hAnsi="Arial"/>
                  <w:color w:val="000000"/>
                  <w:sz w:val="19"/>
                </w:rPr>
                <w:t xml:space="preserve">E04</w:t>
              </w:r>
            </w:hyperlink>
            <w:r>
              <w:rPr>
                <w:b w:val="0"/>
                <w:color w:val="000000"/>
                <w:sz w:val="19"/>
              </w:rPr>
            </w:r>
          </w:p>
        </w:tc>
        <w:tc>
          <w:tcPr>
            <w:tcW w:type="dxa" w:w="3787"/>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Implementar primero.</w:t>
            </w:r>
          </w:p>
        </w:tc>
      </w:tr>
      <w:tr>
        <w:trPr>
          <w:cantSplit/>
        </w:trPr>
        <w:tc>
          <w:tcPr>
            <w:tcW w:type="dxa" w:w="2376"/>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Identity Platform</w:t>
            </w:r>
          </w:p>
        </w:tc>
        <w:tc>
          <w:tcPr>
            <w:tcW w:type="dxa" w:w="3773"/>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 xml:space="preserve">Servicio gestionado distinto. La tabla publicada para proveedores sociales incluye los primeros 50 000 MAU a USD 0 y el siguiente tramo a USD 0,0055 por MAU. Otros métodos tienen condiciones distintas. </w:t>
            </w:r>
            <w:hyperlink w:anchor="ref_E06" w:history="1">
              <w:r>
                <w:rPr>
                  <w:rFonts w:ascii="Arial" w:hAnsi="Arial"/>
                  <w:color w:val="000000"/>
                  <w:sz w:val="19"/>
                </w:rPr>
                <w:t xml:space="preserve">E06</w:t>
              </w:r>
            </w:hyperlink>
            <w:r>
              <w:rPr>
                <w:b w:val="0"/>
                <w:color w:val="000000"/>
                <w:sz w:val="19"/>
              </w:rPr>
            </w:r>
          </w:p>
        </w:tc>
        <w:tc>
          <w:tcPr>
            <w:tcW w:type="dxa" w:w="3787"/>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No es una dependencia de esta propuesta.</w:t>
            </w:r>
          </w:p>
        </w:tc>
      </w:tr>
      <w:tr>
        <w:trPr>
          <w:cantSplit/>
        </w:trPr>
        <w:tc>
          <w:tcPr>
            <w:tcW w:type="dxa" w:w="2376"/>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Apple</w:t>
            </w:r>
          </w:p>
        </w:tc>
        <w:tc>
          <w:tcPr>
            <w:tcW w:type="dxa" w:w="3773"/>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 xml:space="preserve">Membresía Apple Developer de USD 99 al año, con variación regional. Web requiere un Services ID asociado a un App ID primario con Sign in with Apple. Esto no equivale a exigir publicar ahora una app en App Store. </w:t>
            </w:r>
            <w:hyperlink w:anchor="ref_E07" w:history="1">
              <w:r>
                <w:rPr>
                  <w:rFonts w:ascii="Arial" w:hAnsi="Arial"/>
                  <w:color w:val="000000"/>
                  <w:sz w:val="19"/>
                </w:rPr>
                <w:t xml:space="preserve">E07</w:t>
              </w:r>
            </w:hyperlink>
            <w:r>
              <w:rPr>
                <w:b w:val="0"/>
                <w:color w:val="000000"/>
                <w:sz w:val="19"/>
              </w:rPr>
              <w:t xml:space="preserve"> </w:t>
            </w:r>
            <w:hyperlink w:anchor="ref_E08" w:history="1">
              <w:r>
                <w:rPr>
                  <w:rFonts w:ascii="Arial" w:hAnsi="Arial"/>
                  <w:color w:val="000000"/>
                  <w:sz w:val="19"/>
                </w:rPr>
                <w:t xml:space="preserve">E08</w:t>
              </w:r>
            </w:hyperlink>
            <w:r>
              <w:rPr>
                <w:b w:val="0"/>
                <w:color w:val="000000"/>
                <w:sz w:val="19"/>
              </w:rPr>
            </w:r>
          </w:p>
        </w:tc>
        <w:tc>
          <w:tcPr>
            <w:tcW w:type="dxa" w:w="3787"/>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Posponer.</w:t>
            </w:r>
          </w:p>
        </w:tc>
      </w:tr>
      <w:tr>
        <w:trPr>
          <w:cantSplit/>
        </w:trPr>
        <w:tc>
          <w:tcPr>
            <w:tcW w:type="dxa" w:w="2376"/>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GitHub</w:t>
            </w:r>
          </w:p>
        </w:tc>
        <w:tc>
          <w:tcPr>
            <w:tcW w:type="dxa" w:w="3773"/>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 xml:space="preserve">Permite registrar una OAuth app desde una cuenta personal u organización y configurar su callback. La documentación revisada no publica precio por login. </w:t>
            </w:r>
            <w:hyperlink w:anchor="ref_E09" w:history="1">
              <w:r>
                <w:rPr>
                  <w:rFonts w:ascii="Arial" w:hAnsi="Arial"/>
                  <w:color w:val="000000"/>
                  <w:sz w:val="19"/>
                </w:rPr>
                <w:t xml:space="preserve">E09</w:t>
              </w:r>
            </w:hyperlink>
            <w:r>
              <w:rPr>
                <w:b w:val="0"/>
                <w:color w:val="000000"/>
                <w:sz w:val="19"/>
              </w:rPr>
            </w:r>
          </w:p>
        </w:tc>
        <w:tc>
          <w:tcPr>
            <w:tcW w:type="dxa" w:w="3787"/>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Posponer; reconsiderar si crece el público desarrollador.</w:t>
            </w:r>
          </w:p>
        </w:tc>
      </w:tr>
      <w:tr>
        <w:trPr>
          <w:cantSplit/>
        </w:trPr>
        <w:tc>
          <w:tcPr>
            <w:tcW w:type="dxa" w:w="2376"/>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Facebook</w:t>
            </w:r>
          </w:p>
        </w:tc>
        <w:tc>
          <w:tcPr>
            <w:tcW w:type="dxa" w:w="3773"/>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Condiciones de revisión y costos pendientes de una verificación oficial específica antes de adoptarlo.</w:t>
            </w:r>
          </w:p>
        </w:tc>
        <w:tc>
          <w:tcPr>
            <w:tcW w:type="dxa" w:w="3787"/>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Posponer; no aporta una dependencia necesaria al primer flujo.</w:t>
            </w:r>
          </w:p>
        </w:tc>
      </w:tr>
      <w:tr>
        <w:trPr>
          <w:cantSplit/>
        </w:trPr>
        <w:tc>
          <w:tcPr>
            <w:tcW w:type="dxa" w:w="2376"/>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Correo y contraseña</w:t>
            </w:r>
          </w:p>
        </w:tc>
        <w:tc>
          <w:tcPr>
            <w:tcW w:type="dxa" w:w="3773"/>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Requiere operar almacenamiento de contraseñas, verificación, recuperación y controles del flujo.</w:t>
            </w:r>
          </w:p>
        </w:tc>
        <w:tc>
          <w:tcPr>
            <w:tcW w:type="dxa" w:w="3787"/>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Posponer.</w:t>
            </w:r>
          </w:p>
        </w:tc>
      </w:tr>
    </w:tbl>
    <w:p>
      <w:pPr>
        <w:spacing w:after="40" w:before="0" w:line="240" w:lineRule="auto"/>
      </w:pPr>
      <w:r>
        <w:rPr>
          <w:sz w:val="4"/>
        </w:rPr>
      </w:r>
    </w:p>
    <w:p>
      <w:r>
        <w:rPr>
          <w:b w:val="0"/>
        </w:rPr>
        <w:t>La integración directa de Google y un servicio gestionado de autenticación son decisiones distintas. Aquí Google acredita una identidad y Playhoot mantiene usuarios, permisos y credenciales. El presupuesto no debe tomar la tarifa de Identity Platform como un cargo obligatorio del botón de Google. Tampoco debe convertir la ausencia de una tarifa en la documentación revisada en una garantía contractual de gratuidad perpetua.</w:t>
      </w:r>
    </w:p>
    <w:p>
      <w:pPr>
        <w:pStyle w:val="Heading2"/>
      </w:pPr>
      <w:r>
        <w:t>Preparación para Google real</w:t>
      </w:r>
    </w:p>
    <w:p>
      <w:r>
        <w:rPr>
          <w:b w:val="0"/>
        </w:rPr>
        <w:t>Se configurarán cliente OAuth de tipo Web, URI de callback exacta, información de soporte y marca, dominios y páginas de inicio y privacidad requeridos por la configuración. Se solicitarán únicamente openid, profile y email. El correo será un dato opcional observado; no será la clave para acceder, recuperar o fusionar cuentas. No se solicitará acceso a Drive, Gmail o Classroom.</w:t>
      </w:r>
    </w:p>
    <w:p>
      <w:r>
        <w:rPr>
          <w:b w:val="0"/>
        </w:rPr>
        <w:t xml:space="preserve">La documentación de Google distingue la verificación de marca para mostrar nombre y logo de las revisiones de permisos sensibles. La preparación de producción debe incluir el proceso aplicable a esa configuración. No se necesita una membresía Apple ni contratar un producto de autenticación gestionado para este diseño. </w:t>
      </w:r>
      <w:hyperlink w:anchor="ref_E05" w:history="1">
        <w:r>
          <w:rPr>
            <w:rFonts w:ascii="Arial" w:hAnsi="Arial"/>
            <w:color w:val="333333"/>
          </w:rPr>
          <w:t xml:space="preserve">E05</w:t>
        </w:r>
      </w:hyperlink>
      <w:r>
        <w:rPr>
          <w:b w:val="0"/>
        </w:rPr>
      </w:r>
    </w:p>
    <w:p>
      <w:r>
        <w:rPr>
          <w:b w:val="0"/>
        </w:rPr>
        <w:t xml:space="preserve">Google único tiene un límite de cobertura: una institución puede restringir aplicaciones externas desde Google Workspace. Los estudiantes podrán jugar como invitados, pero un creador cuya cuenta institucional esté bloqueada necesitará una cuenta permitida o una alternativa futura. La presencia de ese caso debe medirse antes de ampliar proveedores. </w:t>
      </w:r>
      <w:hyperlink w:anchor="ref_E10" w:history="1">
        <w:r>
          <w:rPr>
            <w:rFonts w:ascii="Arial" w:hAnsi="Arial"/>
            <w:color w:val="333333"/>
          </w:rPr>
          <w:t xml:space="preserve">E10</w:t>
        </w:r>
      </w:hyperlink>
      <w:r>
        <w:rPr>
          <w:b w:val="0"/>
        </w:rPr>
      </w:r>
    </w:p>
    <w:p>
      <w:pPr>
        <w:pStyle w:val="Heading1"/>
      </w:pPr>
      <w:bookmarkStart w:id="3" w:name="chapter_3"/>
      <w:r>
        <w:t>3 Identidad estable y esquema inicial</w:t>
      </w:r>
      <w:bookmarkEnd w:id="3"/>
    </w:p>
    <w:p>
      <w:pPr>
        <w:pStyle w:val="Heading2"/>
      </w:pPr>
      <w:r>
        <w:t>Entidad pública</w:t>
      </w:r>
    </w:p>
    <w:p>
      <w:r>
        <w:rPr>
          <w:b w:val="0"/>
        </w:rPr>
        <w:t xml:space="preserve">El contrato público permanece </w:t>
      </w:r>
      <w:r>
        <w:rPr>
          <w:b/>
        </w:rPr>
        <w:t>Identity.User y UserUUID</w:t>
      </w:r>
      <w:r>
        <w:rPr>
          <w:b w:val="0"/>
        </w:rPr>
        <w:t>. El UUID se genera en Playhoot, es estable y no se reutiliza. Ningún consumidor necesitará conocer el identificador Google, el ID interno de una tabla, el token ni la clase de cuenta para referirse a la persona.</w:t>
      </w:r>
    </w:p>
    <w:p>
      <w:r>
        <w:rPr>
          <w:b w:val="0"/>
        </w:rPr>
        <w:t xml:space="preserve">La tabla central puede llamarse identity_users. Su nombre y distribución física podrán evolucionar dentro del dominio. Las referencias desde Game y Play continuarán siendo UUID lógicos; esos dominios no leerán las tablas de Identity ni crearán dependencias sobre sus columnas. </w:t>
      </w:r>
      <w:hyperlink w:anchor="ref_R01" w:history="1">
        <w:r>
          <w:rPr>
            <w:rFonts w:ascii="Arial" w:hAnsi="Arial"/>
            <w:color w:val="333333"/>
          </w:rPr>
          <w:t xml:space="preserve">R01</w:t>
        </w:r>
      </w:hyperlink>
      <w:r>
        <w:rPr>
          <w:b w:val="0"/>
        </w:rPr>
      </w:r>
    </w:p>
    <w:p>
      <w:pPr>
        <w:pStyle w:val="Heading2"/>
      </w:pPr>
      <w:r>
        <w:t>Modelo de partida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984"/>
      </w:tblGrid>
      <w:tr>
        <w:trPr>
          <w:cantSplit/>
          <w:tblHeader w:val="true"/>
        </w:trPr>
        <w:tc>
          <w:tcPr>
            <w:tcW w:type="dxa" w:w="2952"/>
            <w:tcMar>
              <w:top w:w="90" w:type="dxa"/>
              <w:start w:w="105" w:type="dxa"/>
              <w:bottom w:w="90" w:type="dxa"/>
              <w:end w:w="105" w:type="dxa"/>
            </w:tcMar>
            <w:vAlign w:val="center"/>
            <w:shd w:fill="203C50"/>
          </w:tcPr>
          <w:p>
            <w:pPr>
              <w:keepNext/>
              <w:widowControl/>
              <w:spacing w:after="0" w:before="0" w:line="252" w:lineRule="auto"/>
            </w:pPr>
            <w:r>
              <w:rPr>
                <w:b/>
                <w:color w:val="FFFFFF"/>
                <w:sz w:val="19"/>
              </w:rPr>
              <w:t>Registro interno</w:t>
            </w:r>
          </w:p>
        </w:tc>
        <w:tc>
          <w:tcPr>
            <w:tcW w:type="dxa" w:w="6984"/>
            <w:tcMar>
              <w:top w:w="90" w:type="dxa"/>
              <w:start w:w="105" w:type="dxa"/>
              <w:bottom w:w="90" w:type="dxa"/>
              <w:end w:w="105" w:type="dxa"/>
            </w:tcMar>
            <w:vAlign w:val="center"/>
            <w:shd w:fill="203C50"/>
          </w:tcPr>
          <w:p>
            <w:pPr>
              <w:keepNext/>
              <w:widowControl/>
              <w:spacing w:after="0" w:before="0" w:line="252" w:lineRule="auto"/>
            </w:pPr>
            <w:r>
              <w:rPr>
                <w:b/>
                <w:color w:val="FFFFFF"/>
                <w:sz w:val="19"/>
              </w:rPr>
              <w:t>Responsabilidad y campos conceptuales mínimos</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identity_users</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ID interno, user_uuid único, display_name mínimo, estado operativo y fechas. Contiene invitados y registrados.</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identity_accounts</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Relación única con User y fecha de registro. Representa la cuenta registrada. Su ausencia identifica a un invitado activo en este modelo inicial.</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identity_external_identities</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Cuenta, proveedor, issuer normalizado y subject. Unicidad del vínculo externo autenticado. Puede conservar email observado como dato opcional.</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identity_auth_sessions</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Familia de credenciales de un navegador o dispositivo: User, política guest/account, creación, último refresh, límites temporales aplicables y revocación.</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Access tokens</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Hash de credencial, familia y vencimiento. Se consultan al autorizar REST o un handshake.</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Refresh tokens</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Hash, familia, generación y estado de consumo. Permiten rotación y reconocimiento de tokens ya utilizados.</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Intentos y contexto del navegador</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Intentos OIDC y generación de autenticación del navegador, sin crear un User anónimo. Permiten rechazar callbacks o cierres de una transición ya superada.</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Resultados temporales</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Idempotencia de alta de invitado y recuperación breve de rotaciones. Sus secretos recuperables tienen retención acotada.</w:t>
            </w:r>
          </w:p>
        </w:tc>
      </w:tr>
    </w:tbl>
    <w:p>
      <w:pPr>
        <w:spacing w:after="40" w:before="0" w:line="240" w:lineRule="auto"/>
      </w:pPr>
      <w:r>
        <w:rPr>
          <w:sz w:val="4"/>
        </w:rPr>
      </w:r>
    </w:p>
    <w:p>
      <w:r>
        <w:rPr>
          <w:b w:val="0"/>
        </w:rPr>
        <w:t>La tabla de cuenta proporciona la separación solicitada sin necesitar otra tabla que únicamente repita el nombre del invitado. Tampoco hace falta una tabla genérica de tipos de cuenta o asignaciones de rol para este alcance. Un estado deshabilitado no se transforma en invitado por eliminar registros: la autorización debe rechazarlo explícitamente.</w:t>
      </w:r>
    </w:p>
    <w:p>
      <w:r>
        <w:rPr>
          <w:b w:val="0"/>
        </w:rPr>
        <w:t xml:space="preserve">Los nombres anteriores describen responsabilidades; los agentes podrán ajustar tablas auxiliares manteniendo unicidades, atomicidad y contratos. La norma vigente del repositorio permite PK, unicidad, índices, tipos y nulabilidad; las referencias y demás invariantes se validan en aplicación y transacciones, sin foreign keys ni CHECK. </w:t>
      </w:r>
      <w:hyperlink w:anchor="ref_R05" w:history="1">
        <w:r>
          <w:rPr>
            <w:rFonts w:ascii="Arial" w:hAnsi="Arial"/>
            <w:color w:val="333333"/>
          </w:rPr>
          <w:t xml:space="preserve">R05</w:t>
        </w:r>
      </w:hyperlink>
      <w:r>
        <w:rPr>
          <w:b w:val="0"/>
        </w:rPr>
      </w:r>
    </w:p>
    <w:p>
      <w:pPr>
        <w:pStyle w:val="Heading2"/>
      </w:pPr>
      <w:r>
        <w:t>Vínculo con el proveedor</w:t>
      </w:r>
    </w:p>
    <w:p>
      <w:r>
        <w:rPr>
          <w:b w:val="0"/>
        </w:rPr>
        <w:t xml:space="preserve">Google se identifica por su issuer normalizado y sub verificados. Las variantes admitidas de issuer se normalizan a un valor canónico del adaptador. El email y el nombre visible pueden cambiar y no causarán otra identidad ni vinculación automática. </w:t>
      </w:r>
      <w:hyperlink w:anchor="ref_E03" w:history="1">
        <w:r>
          <w:rPr>
            <w:rFonts w:ascii="Arial" w:hAnsi="Arial"/>
            <w:color w:val="333333"/>
          </w:rPr>
          <w:t xml:space="preserve">E03</w:t>
        </w:r>
      </w:hyperlink>
      <w:r>
        <w:rPr>
          <w:b w:val="0"/>
        </w:rPr>
      </w:r>
    </w:p>
    <w:p>
      <w:r>
        <w:rPr>
          <w:b w:val="0"/>
        </w:rPr>
        <w:t>Dos altas concurrentes para el mismo vínculo externo deben producir un solo User y una sola cuenta. La creación del usuario, cuenta y vínculo será atómica; si otra transacción ganó, se descartan las filas provisionales y se resuelve el vínculo existente. Los reintentos de login no dejarán usuarios huérfanos ni crearán familias sin límite por repetir un callback.</w:t>
      </w:r>
    </w:p>
    <w:p>
      <w:r>
        <w:rPr>
          <w:b w:val="0"/>
        </w:rPr>
        <w:t>El nombre visible tendrá validación de longitud y contenido. En la cuenta puede inicializarse con un nombre recibido y validado del proveedor, con un valor neutro si falta. No se usará el correo como nombre visible automático. El perfil completo no es requisito del alta. La propiedad futura del perfil podrá decidirse sin cambiar UserUUID.</w:t>
      </w:r>
    </w:p>
    <w:p>
      <w:pPr>
        <w:pStyle w:val="Heading2"/>
      </w:pPr>
      <w:r>
        <w:t>Conversión futura</w:t>
      </w:r>
    </w:p>
    <w:p>
      <w:r>
        <w:rPr>
          <w:b w:val="0"/>
        </w:rPr>
        <w:t>Cuando se implemente convertir un invitado, se añadirá una cuenta y su vínculo al User existente, conservando su UUID. Si el vínculo ya pertenece a otra cuenta, habrá dos identidades existentes y se necesitará una decisión de reconciliación distinta. Esta entrega no implementa ninguno de esos flujos.</w:t>
      </w:r>
    </w:p>
    <w:p>
      <w:r>
        <w:rPr>
          <w:b w:val="0"/>
        </w:rPr>
        <w:t xml:space="preserve">Ahora, entrar con Google mientras hay un invitado será un </w:t>
      </w:r>
      <w:r>
        <w:rPr>
          <w:b/>
        </w:rPr>
        <w:t>cambio explícito de identidad</w:t>
      </w:r>
      <w:r>
        <w:rPr>
          <w:b w:val="0"/>
        </w:rPr>
        <w:t>. Al confirmarse con éxito, se revoca la familia guest sustituida y se utiliza la cuenta resuelta por Google; sus participaciones no se transfieren. La UI advertirá esa consecuencia antes de comenzar. Cancelar o fallar en Google conserva la identidad invitada. No se presentará esta acción como convertir o guardar al invitado.</w:t>
      </w:r>
    </w:p>
    <w:p>
      <w:pPr>
        <w:pStyle w:val="Heading1"/>
      </w:pPr>
      <w:bookmarkStart w:id="4" w:name="chapter_4"/>
      <w:r>
        <w:t>4 Alta e inicio de sesión</w:t>
      </w:r>
      <w:bookmarkEnd w:id="4"/>
    </w:p>
    <w:p>
      <w:pPr>
        <w:pStyle w:val="Heading2"/>
      </w:pPr>
      <w:r>
        <w:t>Invitado</w:t>
      </w:r>
    </w:p>
    <w:p>
      <w:r>
        <w:rPr>
          <w:b w:val="0"/>
        </w:rPr>
        <w:t>El frontend esperará a terminar la restauración de credenciales antes de ofrecer crear otro invitado. Cuando no exista una identidad utilizable, pedirá el nombre visible y generará un intento de creación con clave aleatoria. El backend validará el nombre y creará User, familia y credenciales en una transacción.</w:t>
      </w:r>
    </w:p>
    <w:p>
      <w:r>
        <w:rPr>
          <w:b w:val="0"/>
        </w:rPr>
        <w:t>POST /v1/guests conservará su función. La respuesta real devolverá access token, vencimiento y resumen de identidad; el refresh llegará en cookie HttpOnly. El nombre no es único ni un método de login. Volver a escribir el mismo nombre desde otro navegador creará otra identidad.</w:t>
      </w:r>
    </w:p>
    <w:p>
      <w:r>
        <w:rPr>
          <w:b w:val="0"/>
        </w:rPr>
        <w:t>Una clave repetida con el mismo nombre normalizado produce un solo invitado. Reutilizarla con otro nombre devuelve conflicto. La respuesta sensible inicial podrá recuperarse durante cinco minutos, únicamente mientras la familia siga activa y su refresh inicial no haya sido sustituido. El resultado se conservará cifrado, nunca con tokens en claro.</w:t>
      </w:r>
    </w:p>
    <w:p>
      <w:r>
        <w:rPr>
          <w:b w:val="0"/>
        </w:rPr>
        <w:t xml:space="preserve">La clave de alta funciona durante esa ventana como un secreto de bootstrap. Se mantendrá en memoria durante el intento y se excluirá de logs, trazas y telemetría. El código actual la registra en logs; esa conducta debe cambiar antes de emitir credenciales reales. Si se decide persistirla temporalmente para soportar recargas, deberá reconocerse y protegerse como ese secreto adicional. </w:t>
      </w:r>
      <w:hyperlink w:anchor="ref_R03" w:history="1">
        <w:r>
          <w:rPr>
            <w:rFonts w:ascii="Arial" w:hAnsi="Arial"/>
            <w:color w:val="333333"/>
          </w:rPr>
          <w:t xml:space="preserve">R03</w:t>
        </w:r>
      </w:hyperlink>
      <w:r>
        <w:rPr>
          <w:b w:val="0"/>
        </w:rPr>
      </w:r>
    </w:p>
    <w:p>
      <w:r>
        <w:rPr>
          <w:b w:val="0"/>
        </w:rPr>
        <w:t>Un replay después de la ventana o después de avanzar la familia no vuelve a entregar el refresh inicial ni crea otra familia para el mismo usuario. El cliente intentará restaurar la cookie que ya tenga; si no conserva una credencial, explicará que debe iniciar otro intento. La idempotencia no será un mecanismo permanente para recuperar un invitado. Los registros o tombstones necesarios impedirán que un intento agotado se interprete silenciosamente como un alta nueva.</w:t>
      </w:r>
    </w:p>
    <w:p>
      <w:pPr>
        <w:pStyle w:val="Heading2"/>
      </w:pPr>
      <w:r>
        <w:t>Google mediante redirección de página completa</w:t>
      </w:r>
    </w:p>
    <w:p>
      <w:r>
        <w:rPr>
          <w:b w:val="0"/>
        </w:rPr>
        <w:t xml:space="preserve">Se propone OIDC Authorization Code gestionado por backend, con client secret únicamente en servidor, state y nonce por intento, y PKCE S256. Google documenta el flujo de servidor y su discovery anuncia S256. El estándar recomienda PKCE también para clientes confidenciales. </w:t>
      </w:r>
      <w:hyperlink w:anchor="ref_E01" w:history="1">
        <w:r>
          <w:rPr>
            <w:rFonts w:ascii="Arial" w:hAnsi="Arial"/>
            <w:color w:val="333333"/>
          </w:rPr>
          <w:t xml:space="preserve">E01</w:t>
        </w:r>
      </w:hyperlink>
      <w:r>
        <w:rPr>
          <w:b w:val="0"/>
        </w:rPr>
        <w:t xml:space="preserve"> </w:t>
      </w:r>
      <w:hyperlink w:anchor="ref_E02" w:history="1">
        <w:r>
          <w:rPr>
            <w:rFonts w:ascii="Arial" w:hAnsi="Arial"/>
            <w:color w:val="333333"/>
          </w:rPr>
          <w:t xml:space="preserve">E02</w:t>
        </w:r>
      </w:hyperlink>
      <w:r>
        <w:rPr>
          <w:b w:val="0"/>
        </w:rPr>
        <w:t xml:space="preserve"> </w:t>
      </w:r>
      <w:hyperlink w:anchor="ref_E11" w:history="1">
        <w:r>
          <w:rPr>
            <w:rFonts w:ascii="Arial" w:hAnsi="Arial"/>
            <w:color w:val="333333"/>
          </w:rPr>
          <w:t xml:space="preserve">E11</w:t>
        </w:r>
      </w:hyperlink>
      <w:r>
        <w:rPr>
          <w:b w:val="0"/>
        </w:rPr>
      </w:r>
    </w:p>
    <w:p>
      <w:r>
        <w:rPr>
          <w:b w:val="0"/>
        </w:rPr>
        <w:t>Este recorrido evita cargar un widget y un iframe de login en el shell actual. Se conservarán las reglas de marca aplicables al control que inicie el acceso. Google Identity Services ofrece otra integración válida; no es necesario implementar ambas en esta fase.</w:t>
      </w:r>
    </w:p>
    <w:p>
      <w:pPr>
        <w:spacing w:after="100"/>
        <w:ind w:left="331" w:hanging="331"/>
      </w:pPr>
      <w:r>
        <w:rPr>
          <w:b w:val="0"/>
        </w:rPr>
        <w:t>1. El usuario pulsa Continuar con Google. Playhoot crea un intento breve, ligado al navegador mediante una cookie HttpOnly, y guarda state, nonce, verifier PKCE y destino interno permitido.</w:t>
      </w:r>
    </w:p>
    <w:p>
      <w:pPr>
        <w:spacing w:after="100"/>
        <w:ind w:left="331" w:hanging="331"/>
      </w:pPr>
      <w:r>
        <w:rPr>
          <w:b w:val="0"/>
        </w:rPr>
        <w:t>2. El navegador se redirige a Google con response_type=code y el challenge S256. El secreto del cliente y el verifier permanecen en backend.</w:t>
      </w:r>
    </w:p>
    <w:p>
      <w:pPr>
        <w:spacing w:after="100"/>
        <w:ind w:left="331" w:hanging="331"/>
      </w:pPr>
      <w:r>
        <w:rPr>
          <w:b w:val="0"/>
        </w:rPr>
        <w:t>3. El callback comprueba el intento, su vencimiento, state y la vinculación al navegador. El backend intercambia el código con Google.</w:t>
      </w:r>
    </w:p>
    <w:p>
      <w:pPr>
        <w:spacing w:after="100"/>
        <w:ind w:left="331" w:hanging="331"/>
      </w:pPr>
      <w:r>
        <w:rPr>
          <w:b w:val="0"/>
        </w:rPr>
        <w:t>4. Se valida el ID token recibido: firma y algoritmo permitido, issuer, audiencia configurada, expiración, sujeto y nonce. Las reglas de audiencias múltiples y azp se aplicarán cuando correspondan. La biblioteca utilizada no sustituye la política del adaptador.</w:t>
      </w:r>
    </w:p>
    <w:p>
      <w:pPr>
        <w:spacing w:after="100"/>
        <w:ind w:left="331" w:hanging="331"/>
      </w:pPr>
      <w:r>
        <w:rPr>
          <w:b w:val="0"/>
        </w:rPr>
        <w:t>5. Identity resuelve o crea la cuenta por el vínculo externo verificado y abre una familia de Playhoot. El intento se consume una sola vez.</w:t>
      </w:r>
    </w:p>
    <w:p>
      <w:pPr>
        <w:spacing w:after="100"/>
        <w:ind w:left="331" w:hanging="331"/>
      </w:pPr>
      <w:r>
        <w:rPr>
          <w:b w:val="0"/>
        </w:rPr>
        <w:t>6. El backend establece el refresh de Playhoot y vuelve a una ruta interna sin tokens en la URL. El frontend restaura la sesión y obtiene su access token.</w:t>
      </w:r>
    </w:p>
    <w:p>
      <w:r>
        <w:rPr>
          <w:b w:val="0"/>
        </w:rPr>
        <w:t>El intento OIDC tendrá inicialmente cinco minutos de vigencia y capturará la generación de autenticación del navegador. La instalación de una nueva familia comprobará y avanzará esa generación en servidor; un callback de una transición superada no cambiará la identidad. Un callback duplicado no volverá a intercambiar indefinidamente el código ni creará otra familia. Cancelación, fallo de verificación y caída transitoria se distinguirán. Si el intercambio de un código de un solo uso queda ambiguo por un fallo de red, se reinicia el login; ese caso no habilita aceptar una prueba sin verificar.</w:t>
      </w:r>
    </w:p>
    <w:p>
      <w:r>
        <w:rPr>
          <w:b w:val="0"/>
        </w:rPr>
        <w:t>No se solicitará offline access ni se dependerá de un refresh token de Google. La sesión de Playhoot se renueva con credenciales propias. Cerrar Playhoot revoca su familia de autenticación; no es cerrar la cuenta Google del navegador.</w:t>
      </w:r>
    </w:p>
    <w:p>
      <w:pPr>
        <w:pStyle w:val="Heading1"/>
      </w:pPr>
      <w:bookmarkStart w:id="5" w:name="chapter_5"/>
      <w:r>
        <w:t>5 Credenciales y política de sesiones</w:t>
      </w:r>
      <w:bookmarkEnd w:id="5"/>
    </w:p>
    <w:p>
      <w:pPr>
        <w:pStyle w:val="Heading2"/>
      </w:pPr>
      <w:r>
        <w:t>Access opaco para esta primera implementación</w:t>
      </w:r>
    </w:p>
    <w:p>
      <w:r>
        <w:rPr>
          <w:b w:val="0"/>
        </w:rPr>
        <w:t>Se recomienda un access aleatorio de 256 bits y formato identificable, guardado como hash SHA 256. Su validación hará una consulta indexada que resuelva token, familia y User, y comprobará tipo, vencimiento, revocación y elegibilidad actual. El resultado seguirá alimentando el contrato de autorización existente.</w:t>
      </w:r>
    </w:p>
    <w:p>
      <w:r>
        <w:rPr>
          <w:b w:val="0"/>
        </w:rPr>
        <w:t>El costo es una lectura de base de datos por petición protegida o handshake. No habrá una consulta de Identity por frame, sample o tick. Esta elección simplifica la revocación y evita gestionar ahora firma y distribución de claves de access JWT. Su costo debe medirse; una alternativa autocontenida podrá evaluarse después si esa lectura se vuelve un problema demostrado.</w:t>
      </w:r>
    </w:p>
    <w:p>
      <w:r>
        <w:rPr>
          <w:b w:val="0"/>
        </w:rPr>
        <w:t xml:space="preserve">El ADR de renovación no exige JWT. CURRENT_STATE menciona validar JWT como expectativa del placeholder; al adoptar esta propuesta habrá que sincronizar esa frase y registrar la elección. El ID token de Google sí sigue siendo una prueba JWT externa, validada en el login. </w:t>
      </w:r>
      <w:hyperlink w:anchor="ref_R02" w:history="1">
        <w:r>
          <w:rPr>
            <w:rFonts w:ascii="Arial" w:hAnsi="Arial"/>
            <w:color w:val="333333"/>
          </w:rPr>
          <w:t xml:space="preserve">R02</w:t>
        </w:r>
      </w:hyperlink>
      <w:r>
        <w:rPr>
          <w:b w:val="0"/>
        </w:rPr>
        <w:t xml:space="preserve"> </w:t>
      </w:r>
      <w:hyperlink w:anchor="ref_R03" w:history="1">
        <w:r>
          <w:rPr>
            <w:rFonts w:ascii="Arial" w:hAnsi="Arial"/>
            <w:color w:val="333333"/>
          </w:rPr>
          <w:t xml:space="preserve">R03</w:t>
        </w:r>
      </w:hyperlink>
      <w:r>
        <w:rPr>
          <w:b w:val="0"/>
        </w:rPr>
      </w:r>
    </w:p>
    <w:p>
      <w:r>
        <w:rPr>
          <w:b w:val="0"/>
        </w:rPr>
        <w:t>Access y refresh serán secretos independientes. El servidor no aceptará un refresh como bearer de API ni un access como credencial de renovación. Las comprobaciones usarán el registro y propósito del token, no solamente su prefijo. Almacenar hashes es apropiado para secretos aleatorios de alta entropía; aquí no se están almacenando contraseñas humanas.</w:t>
      </w:r>
    </w:p>
    <w:p>
      <w:pPr>
        <w:pStyle w:val="Heading2"/>
      </w:pPr>
      <w:r>
        <w:t>Duraciones iniciales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773"/>
        <w:gridCol w:w="3787"/>
      </w:tblGrid>
      <w:tr>
        <w:trPr>
          <w:cantSplit/>
          <w:tblHeader w:val="true"/>
        </w:trPr>
        <w:tc>
          <w:tcPr>
            <w:tcW w:type="dxa" w:w="2376"/>
            <w:tcMar>
              <w:top w:w="90" w:type="dxa"/>
              <w:start w:w="105" w:type="dxa"/>
              <w:bottom w:w="90" w:type="dxa"/>
              <w:end w:w="105" w:type="dxa"/>
            </w:tcMar>
            <w:vAlign w:val="center"/>
            <w:shd w:fill="203C50"/>
          </w:tcPr>
          <w:p>
            <w:pPr>
              <w:keepNext/>
              <w:widowControl/>
              <w:spacing w:after="0" w:before="0" w:line="252" w:lineRule="auto"/>
            </w:pPr>
            <w:r>
              <w:rPr>
                <w:b/>
                <w:color w:val="FFFFFF"/>
                <w:sz w:val="19"/>
              </w:rPr>
              <w:t>Credencial o estado</w:t>
            </w:r>
          </w:p>
        </w:tc>
        <w:tc>
          <w:tcPr>
            <w:tcW w:type="dxa" w:w="3773"/>
            <w:tcMar>
              <w:top w:w="90" w:type="dxa"/>
              <w:start w:w="105" w:type="dxa"/>
              <w:bottom w:w="90" w:type="dxa"/>
              <w:end w:w="105" w:type="dxa"/>
            </w:tcMar>
            <w:vAlign w:val="center"/>
            <w:shd w:fill="203C50"/>
          </w:tcPr>
          <w:p>
            <w:pPr>
              <w:keepNext/>
              <w:widowControl/>
              <w:spacing w:after="0" w:before="0" w:line="252" w:lineRule="auto"/>
            </w:pPr>
            <w:r>
              <w:rPr>
                <w:b/>
                <w:color w:val="FFFFFF"/>
                <w:sz w:val="19"/>
              </w:rPr>
              <w:t>Invitado</w:t>
            </w:r>
          </w:p>
        </w:tc>
        <w:tc>
          <w:tcPr>
            <w:tcW w:type="dxa" w:w="3787"/>
            <w:tcMar>
              <w:top w:w="90" w:type="dxa"/>
              <w:start w:w="105" w:type="dxa"/>
              <w:bottom w:w="90" w:type="dxa"/>
              <w:end w:w="105" w:type="dxa"/>
            </w:tcMar>
            <w:vAlign w:val="center"/>
            <w:shd w:fill="203C50"/>
          </w:tcPr>
          <w:p>
            <w:pPr>
              <w:keepNext/>
              <w:widowControl/>
              <w:spacing w:after="0" w:before="0" w:line="252" w:lineRule="auto"/>
            </w:pPr>
            <w:r>
              <w:rPr>
                <w:b/>
                <w:color w:val="FFFFFF"/>
                <w:sz w:val="19"/>
              </w:rPr>
              <w:t>Cuenta registrada</w:t>
            </w:r>
          </w:p>
        </w:tc>
      </w:tr>
      <w:tr>
        <w:trPr>
          <w:cantSplit/>
        </w:trPr>
        <w:tc>
          <w:tcPr>
            <w:tcW w:type="dxa" w:w="2376"/>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Access</w:t>
            </w:r>
          </w:p>
        </w:tc>
        <w:tc>
          <w:tcPr>
            <w:tcW w:type="dxa" w:w="3773"/>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15 minutos como máximo.</w:t>
            </w:r>
          </w:p>
        </w:tc>
        <w:tc>
          <w:tcPr>
            <w:tcW w:type="dxa" w:w="3787"/>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15 minutos como máximo, sin superar límites vigentes de la familia.</w:t>
            </w:r>
          </w:p>
        </w:tc>
      </w:tr>
      <w:tr>
        <w:trPr>
          <w:cantSplit/>
        </w:trPr>
        <w:tc>
          <w:tcPr>
            <w:tcW w:type="dxa" w:w="2376"/>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Refresh actual</w:t>
            </w:r>
          </w:p>
        </w:tc>
        <w:tc>
          <w:tcPr>
            <w:tcW w:type="dxa" w:w="3773"/>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Sin vencimiento por tiempo en servidor; deja de servir al rotar o revocar.</w:t>
            </w:r>
          </w:p>
        </w:tc>
        <w:tc>
          <w:tcPr>
            <w:tcW w:type="dxa" w:w="3787"/>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Válido dentro de la ventana de actividad y del máximo absoluto.</w:t>
            </w:r>
          </w:p>
        </w:tc>
      </w:tr>
      <w:tr>
        <w:trPr>
          <w:cantSplit/>
        </w:trPr>
        <w:tc>
          <w:tcPr>
            <w:tcW w:type="dxa" w:w="2376"/>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Inactividad de familia</w:t>
            </w:r>
          </w:p>
        </w:tc>
        <w:tc>
          <w:tcPr>
            <w:tcW w:type="dxa" w:w="3773"/>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Sin límite temporal.</w:t>
            </w:r>
          </w:p>
        </w:tc>
        <w:tc>
          <w:tcPr>
            <w:tcW w:type="dxa" w:w="3787"/>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30 días desde el último refresh exitoso.</w:t>
            </w:r>
          </w:p>
        </w:tc>
      </w:tr>
      <w:tr>
        <w:trPr>
          <w:cantSplit/>
        </w:trPr>
        <w:tc>
          <w:tcPr>
            <w:tcW w:type="dxa" w:w="2376"/>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Máximo absoluto</w:t>
            </w:r>
          </w:p>
        </w:tc>
        <w:tc>
          <w:tcPr>
            <w:tcW w:type="dxa" w:w="3773"/>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Sin límite temporal.</w:t>
            </w:r>
          </w:p>
        </w:tc>
        <w:tc>
          <w:tcPr>
            <w:tcW w:type="dxa" w:w="3787"/>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90 días desde el login que abrió la familia.</w:t>
            </w:r>
          </w:p>
        </w:tc>
      </w:tr>
      <w:tr>
        <w:trPr>
          <w:cantSplit/>
        </w:trPr>
        <w:tc>
          <w:tcPr>
            <w:tcW w:type="dxa" w:w="2376"/>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Recuperación tras perder credencial</w:t>
            </w:r>
          </w:p>
        </w:tc>
        <w:tc>
          <w:tcPr>
            <w:tcW w:type="dxa" w:w="3773"/>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No existe en esta fase.</w:t>
            </w:r>
          </w:p>
        </w:tc>
        <w:tc>
          <w:tcPr>
            <w:tcW w:type="dxa" w:w="3787"/>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Nuevo login con Google recupera la misma cuenta y abre otra familia.</w:t>
            </w:r>
          </w:p>
        </w:tc>
      </w:tr>
    </w:tbl>
    <w:p>
      <w:pPr>
        <w:spacing w:after="40" w:before="0" w:line="240" w:lineRule="auto"/>
      </w:pPr>
      <w:r>
        <w:rPr>
          <w:sz w:val="4"/>
        </w:rPr>
      </w:r>
    </w:p>
    <w:p>
      <w:r>
        <w:rPr>
          <w:b w:val="0"/>
        </w:rPr>
        <w:t>Los valores concretan los iniciales del ADR. La renovación desplaza el límite de inactividad de la cuenta, pero no el máximo absoluto. Una familia puede corresponder a un navegador o dispositivo; varios dispositivos de una cuenta resuelven el mismo User con familias distintas. Esta fase no añade una pantalla de administración de esas familias.</w:t>
      </w:r>
    </w:p>
    <w:p>
      <w:r>
        <w:rPr>
          <w:b w:val="0"/>
        </w:rPr>
        <w:t>Sin vencimiento del invitado significa que Identity no le impone un límite temporal de refresh. No significa que el mismo token pueda reutilizarse después de rotar ni que sea irrevocable. Tampoco garantiza que el navegador conserve una cookie indefinidamente: cerrar sesión, borrar datos o perder el dispositivo puede hacer irrecuperable ese acceso. La cookie tendrá persistencia larga renovada con el uso y respetará los límites del navegador.</w:t>
      </w:r>
    </w:p>
    <w:p>
      <w:r>
        <w:rPr>
          <w:b w:val="0"/>
        </w:rPr>
        <w:t xml:space="preserve">La política guest sin caducidad es una decisión de producto consciente. La recomendación general de OAuth favorece vencimiento por inactividad; aquí se mantiene la excepción solicitada porque el invitado no dispone de otro mecanismo de recuperación. Rotación, revocación y límites de abuso continúan aplicándose. </w:t>
      </w:r>
      <w:hyperlink w:anchor="ref_E11" w:history="1">
        <w:r>
          <w:rPr>
            <w:rFonts w:ascii="Arial" w:hAnsi="Arial"/>
            <w:color w:val="333333"/>
          </w:rPr>
          <w:t xml:space="preserve">E11</w:t>
        </w:r>
      </w:hyperlink>
      <w:r>
        <w:rPr>
          <w:b w:val="0"/>
        </w:rPr>
      </w:r>
    </w:p>
    <w:p>
      <w:pPr>
        <w:pStyle w:val="Heading2"/>
      </w:pPr>
      <w:r>
        <w:t>Revocación</w:t>
      </w:r>
    </w:p>
    <w:p>
      <w:r>
        <w:rPr>
          <w:b w:val="0"/>
        </w:rPr>
        <w:t>Logout revoca la familia actual y elimina la cookie. La detección de reutilización también revoca la familia. La autorización de nuevos REST y handshakes observa esa revocación en base de datos desde su confirmación, incluso para access todavía no vencidos.</w:t>
      </w:r>
    </w:p>
    <w:p>
      <w:r>
        <w:rPr>
          <w:b w:val="0"/>
        </w:rPr>
        <w:t>La rotación ordinaria del refresh no invalida necesariamente los access anteriores que sigan vigentes dentro de la misma familia. Así, una renovación en otra pestaña no rompe una petición normal. La revocación de familia sí afecta a todos ellos.</w:t>
      </w:r>
    </w:p>
    <w:p>
      <w:r>
        <w:rPr>
          <w:b w:val="0"/>
        </w:rPr>
        <w:t xml:space="preserve">Una revocación no cancela una operación que ya fue autorizada ni un WebSocket ya admitido. El frontend cerrará sus sockets y dispondrá el GameHost al cerrar sesión o cambiar realmente de usuario. La expulsión remota inmediata de conexiones ya abiertas queda fuera de esta primera entrega; expirar access tampoco termina una partida abierta. </w:t>
      </w:r>
      <w:hyperlink w:anchor="ref_R02" w:history="1">
        <w:r>
          <w:rPr>
            <w:rFonts w:ascii="Arial" w:hAnsi="Arial"/>
            <w:color w:val="333333"/>
          </w:rPr>
          <w:t xml:space="preserve">R02</w:t>
        </w:r>
      </w:hyperlink>
      <w:r>
        <w:rPr>
          <w:b w:val="0"/>
        </w:rPr>
        <w:t xml:space="preserve"> </w:t>
      </w:r>
      <w:hyperlink w:anchor="ref_R04" w:history="1">
        <w:r>
          <w:rPr>
            <w:rFonts w:ascii="Arial" w:hAnsi="Arial"/>
            <w:color w:val="333333"/>
          </w:rPr>
          <w:t xml:space="preserve">R04</w:t>
        </w:r>
      </w:hyperlink>
      <w:r>
        <w:rPr>
          <w:b w:val="0"/>
        </w:rPr>
      </w:r>
    </w:p>
    <w:p>
      <w:pPr>
        <w:pStyle w:val="Heading1"/>
      </w:pPr>
      <w:bookmarkStart w:id="6" w:name="chapter_6"/>
      <w:r>
        <w:t>6 Rotación y reintentos</w:t>
      </w:r>
      <w:bookmarkEnd w:id="6"/>
    </w:p>
    <w:p>
      <w:pPr>
        <w:pStyle w:val="Heading2"/>
      </w:pPr>
      <w:r>
        <w:t>Consumo atómico</w:t>
      </w:r>
    </w:p>
    <w:p>
      <w:r>
        <w:rPr>
          <w:b w:val="0"/>
        </w:rPr>
        <w:t>Cada renovación tendrá un request_id aleatorio. En una transacción, Identity comprueba la familia, consume su refresh actual, emite un sucesor y un access y registra el resultado. Un lock de la familia o un mecanismo atómico equivalente garantiza un solo consumo. El tipo de usuario y las reglas temporales provienen del servidor.</w:t>
      </w:r>
    </w:p>
    <w:p>
      <w:r>
        <w:rPr>
          <w:b w:val="0"/>
        </w:rPr>
        <w:t>Los hashes de refresh consumidos se conservarán mientras sean necesarios para detectar reutilización. Una familia guest puede seguir activa indefinidamente; purgar sus antecedentes simplemente por cumplir 30 o 90 días rompería esa detección. Los access vencidos y los resultados recuperables sí tendrán limpieza acotada conforme a sus funciones.</w:t>
      </w:r>
    </w:p>
    <w:p>
      <w:pPr>
        <w:pStyle w:val="Heading2"/>
      </w:pPr>
      <w:r>
        <w:t>Recuperación breve de la misma operación</w:t>
      </w:r>
    </w:p>
    <w:p>
      <w:r>
        <w:rPr>
          <w:b w:val="0"/>
        </w:rPr>
        <w:t xml:space="preserve">Se propone una ventana inicial de </w:t>
      </w:r>
      <w:r>
        <w:rPr>
          <w:b/>
        </w:rPr>
        <w:t>30 segundos</w:t>
      </w:r>
      <w:r>
        <w:rPr>
          <w:b w:val="0"/>
        </w:rPr>
        <w:t xml:space="preserve"> para recuperar la respuesta de una rotación ya confirmada. El registro estará asociado a familia y request_id y conservará hashes de predecesor y sucesor. El servidor guardará temporalmente el resultado cifrado con una clave fuera de la base de datos. La comprobación y el registro pertenecerán a la misma transacción del consumo.</w:t>
      </w:r>
    </w:p>
    <w:p>
      <w:r>
        <w:rPr>
          <w:b w:val="0"/>
        </w:rPr>
        <w:t>Antes de entregar cualquier resultado recuperable, se comprobarán otra vez familia activa, usuario elegible, límites temporales y generación vigente. La credencial presentada deberá coincidir con el predecesor o sucesor de esa operación; conocer únicamente request_id no autoriza recuperarla. Reproducir la respuesta no desplaza el último uso ni amplía vencimientos: esos cambios pertenecen al commit original. La idempotencia no omite revocación ni expiración. La recuperación de creación de invitado también revalida la familia y utiliza la prueba de bootstrap correspondiente.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984"/>
      </w:tblGrid>
      <w:tr>
        <w:trPr>
          <w:cantSplit/>
          <w:tblHeader w:val="true"/>
        </w:trPr>
        <w:tc>
          <w:tcPr>
            <w:tcW w:type="dxa" w:w="2952"/>
            <w:tcMar>
              <w:top w:w="90" w:type="dxa"/>
              <w:start w:w="105" w:type="dxa"/>
              <w:bottom w:w="90" w:type="dxa"/>
              <w:end w:w="105" w:type="dxa"/>
            </w:tcMar>
            <w:vAlign w:val="center"/>
            <w:shd w:fill="203C50"/>
          </w:tcPr>
          <w:p>
            <w:pPr>
              <w:keepNext/>
              <w:widowControl/>
              <w:spacing w:after="0" w:before="0" w:line="252" w:lineRule="auto"/>
            </w:pPr>
            <w:r>
              <w:rPr>
                <w:b/>
                <w:color w:val="FFFFFF"/>
                <w:sz w:val="19"/>
              </w:rPr>
              <w:t>Petición</w:t>
            </w:r>
          </w:p>
        </w:tc>
        <w:tc>
          <w:tcPr>
            <w:tcW w:type="dxa" w:w="6984"/>
            <w:tcMar>
              <w:top w:w="90" w:type="dxa"/>
              <w:start w:w="105" w:type="dxa"/>
              <w:bottom w:w="90" w:type="dxa"/>
              <w:end w:w="105" w:type="dxa"/>
            </w:tcMar>
            <w:vAlign w:val="center"/>
            <w:shd w:fill="203C50"/>
          </w:tcPr>
          <w:p>
            <w:pPr>
              <w:keepNext/>
              <w:widowControl/>
              <w:spacing w:after="0" w:before="0" w:line="252" w:lineRule="auto"/>
            </w:pPr>
            <w:r>
              <w:rPr>
                <w:b/>
                <w:color w:val="FFFFFF"/>
                <w:sz w:val="19"/>
              </w:rPr>
              <w:t>Comportamiento</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Refresh actual e identificador nuevo</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Rota una vez y devuelve el nuevo par.</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Misma operación con predecesor o sucesor, dentro de ventana, sucesor aún actual</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Devuelve el mismo resultado sin otra rotación. Si la cookie ya lleva el sucesor, evita reescribirla innecesariamente.</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Duplicado reconocido dentro de ventana cuyo resultado ya fue superado</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Devuelve refresh_superseded, sin secretos ni Set Cookie; no revoca por ese duplicado reconocido.</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Refresh consumido con otra operación o fuera de ventana</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Revoca la familia y requiere recuperar acceso.</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Refresh actual con identificador de operación ya agotado</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Rechaza ese identificador sin revocar; una operación nueva podrá usar el refresh que sigue vigente.</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Token desconocido o malformado</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Rechaza sin revocar una familia basándose en un selector no autenticado.</w:t>
            </w:r>
          </w:p>
        </w:tc>
      </w:tr>
    </w:tbl>
    <w:p>
      <w:pPr>
        <w:spacing w:after="40" w:before="0" w:line="240" w:lineRule="auto"/>
      </w:pPr>
      <w:r>
        <w:rPr>
          <w:sz w:val="4"/>
        </w:rPr>
      </w:r>
    </w:p>
    <w:p>
      <w:r>
        <w:rPr>
          <w:b w:val="0"/>
        </w:rPr>
        <w:t>Aceptar también el sucesor en la recuperación cubre el caso en que el navegador aplicó Set Cookie pero perdió el cuerpo de la respuesta. Al procesar un reintento, el servidor no emitirá una cookie si ya sabe que la generación fue superada. Una respuesta cuyos headers ya salieron puede llegar tarde; no se promete controlar su orden de aplicación en el navegador.</w:t>
      </w:r>
    </w:p>
    <w:p>
      <w:r>
        <w:rPr>
          <w:b w:val="0"/>
        </w:rPr>
        <w:t xml:space="preserve">Esta semántica </w:t>
      </w:r>
      <w:r>
        <w:rPr>
          <w:b/>
        </w:rPr>
        <w:t>precisa el ADR 0002</w:t>
      </w:r>
      <w:r>
        <w:rPr>
          <w:b w:val="0"/>
        </w:rPr>
        <w:t>: la repetición de una misma operación confirmada y reconocida durante la ventana se trata como recuperación idempotente. El uso del refresh consumido para otra operación sigue provocando revocación. Debe reflejarse en ambos ADR y contratos antes de implementar; no debe esconderse como una tolerancia general a tokens usados.</w:t>
      </w:r>
    </w:p>
    <w:p>
      <w:r>
        <w:rPr>
          <w:b w:val="0"/>
        </w:rPr>
        <w:t>La recuperación está acotada. Una respuesta retrasada fuera de la ventana o la pérdida de los datos del intento todavía puede requerir nuevo login; para un invitado puede significar perder acceso. No se promete resolver cualquier fallo de red mediante un lock del navegador.</w:t>
      </w:r>
    </w:p>
    <w:p>
      <w:pPr>
        <w:pStyle w:val="Heading2"/>
      </w:pPr>
      <w:r>
        <w:t>Coordinación del frontend</w:t>
      </w:r>
    </w:p>
    <w:p>
      <w:r>
        <w:rPr>
          <w:b w:val="0"/>
        </w:rPr>
        <w:t>Un coordinador por origen ordenará las solicitudes del shell que cambien credenciales: refresh, alta de invitado, inicio de login y logout. Dentro de una pestaña habrá una promesa compartida; entre pestañas se utilizará una exclusión efectiva, como Web Locks, y notificación de cambios. Un intercambio de mensajes por sí solo no constituye un mutex. El lock del navegador no sobrevive a la navegación a Google ni controla el callback; el contexto y la generación de servidor cubrirán esas transiciones.</w:t>
      </w:r>
    </w:p>
    <w:p>
      <w:r>
        <w:rPr>
          <w:b w:val="0"/>
        </w:rPr>
        <w:t>Los reintentos mantendrán el mismo request_id y no se enviarán en paralelo. El identificador de una renovación pendiente puede conservarse como metadato de coordinación; el refresh nunca se guardará en storage accesible a JavaScript. La ausencia del mecanismo de coordinación en un navegador deberá tener un comportamiento explícito y probado, sin ejecutar una falsa exclusión basada solo en leer y escribir localStorage.</w:t>
      </w:r>
    </w:p>
    <w:p>
      <w:r>
        <w:rPr>
          <w:b w:val="0"/>
        </w:rPr>
        <w:t>Cada cambio de usuario tendrá una generación de autenticación. El frontend descartará los resultados de generaciones antiguas al actualizar memoria y juego. Identity comprobará la generación y familia esperadas al activar una cuenta o cerrar una sesión, mediante una transición atómica; logout y sustitución invalidarán los intentos previos correspondientes. Una operación obsoleta no revocará la familia que la sustituyó ni emitirá un borrado de su cookie. Renovar el token del mismo usuario no reconstruirá el juego.</w:t>
      </w:r>
    </w:p>
    <w:p>
      <w:r>
        <w:rPr>
          <w:b w:val="0"/>
        </w:rPr>
        <w:t>La generación JavaScript no impide por sí sola un Set Cookie tardío. Una cookie de una familia ya revocada no permitirá volver a autenticarse, pero podría desplazar otra cookie y requerir restauración o nuevo login. La primera entrega reduce ese riesgo con coordinación y recuperación acotada; no incorpora un protocolo de confirmación en dos fases para garantizar continuidad ante cualquier reordenación HTTP.</w:t>
      </w:r>
    </w:p>
    <w:p>
      <w:r>
        <w:rPr>
          <w:b w:val="0"/>
        </w:rPr>
        <w:t>Ante refresh_superseded, el cliente no cerrará sesión. Bajo el coordinador, volverá a intentar con la cookie que tenga el navegador y una operación nueva, con un presupuesto acotado de reintentos. Un rechazo definitivo se tratará conforme a la política de sesión; los conflictos repetidos se mostrarán como una recuperación pendiente, sin bucles de renovación.</w:t>
      </w:r>
    </w:p>
    <w:p>
      <w:pPr>
        <w:pStyle w:val="Heading1"/>
      </w:pPr>
      <w:bookmarkStart w:id="7" w:name="chapter_7"/>
      <w:r>
        <w:t>7 Integración web y superficie mínima</w:t>
      </w:r>
      <w:bookmarkEnd w:id="7"/>
    </w:p>
    <w:p>
      <w:pPr>
        <w:pStyle w:val="Heading2"/>
      </w:pPr>
      <w:r>
        <w:t>Almacenamiento y transporte</w:t>
      </w:r>
    </w:p>
    <w:p>
      <w:r>
        <w:rPr>
          <w:b w:val="0"/>
        </w:rPr>
        <w:t xml:space="preserve">En web, access y su vencimiento estarán en memoria. El refresh se enviará como cookie HttpOnly, Secure, host only y SameSite Lax. Puede utilizarse el prefijo __Host con Path igual a barra y sin Domain. El despliegue inicial expondrá web y /v1 bajo el mismo origen, con proxy al backend; el proxy local existente ya permite ese recorrido. </w:t>
      </w:r>
      <w:hyperlink w:anchor="ref_R04" w:history="1">
        <w:r>
          <w:rPr>
            <w:rFonts w:ascii="Arial" w:hAnsi="Arial"/>
            <w:color w:val="333333"/>
          </w:rPr>
          <w:t xml:space="preserve">R04</w:t>
        </w:r>
      </w:hyperlink>
      <w:r>
        <w:rPr>
          <w:b w:val="0"/>
        </w:rPr>
      </w:r>
    </w:p>
    <w:p>
      <w:r>
        <w:rPr>
          <w:b w:val="0"/>
        </w:rPr>
        <w:t>El backend aplicará Cache Control no store a respuestas de credenciales. Los endpoints de cambio de autenticación exigirán POST, JSON cuando proceda, un header de aplicación y comprobación estricta del origen permitido. Se rechazará el origen null. El callback OIDC usará su protección específica de state y vinculación al navegador. SameSite será una defensa adicional; no sustituirá esas comprobaciones.</w:t>
      </w:r>
    </w:p>
    <w:p>
      <w:r>
        <w:rPr>
          <w:b w:val="0"/>
        </w:rPr>
        <w:t xml:space="preserve">Si se habilita una topología cross origin, deberá configurar explícitamente credenciales y CORS con orígenes concretos. El CORS actual fue diseñado sin cookies y no puede reutilizarse con un wildcard para operaciones autenticadas por cookie. La cookie HttpOnly reduce exposición al código JavaScript, pero no elimina la necesidad de proteger el shell frente a XSS. </w:t>
      </w:r>
      <w:hyperlink w:anchor="ref_E12" w:history="1">
        <w:r>
          <w:rPr>
            <w:rFonts w:ascii="Arial" w:hAnsi="Arial"/>
            <w:color w:val="333333"/>
          </w:rPr>
          <w:t xml:space="preserve">E12</w:t>
        </w:r>
      </w:hyperlink>
      <w:r>
        <w:rPr>
          <w:b w:val="0"/>
        </w:rPr>
        <w:t xml:space="preserve"> </w:t>
      </w:r>
      <w:hyperlink w:anchor="ref_R03" w:history="1">
        <w:r>
          <w:rPr>
            <w:rFonts w:ascii="Arial" w:hAnsi="Arial"/>
            <w:color w:val="333333"/>
          </w:rPr>
          <w:t xml:space="preserve">R03</w:t>
        </w:r>
      </w:hyperlink>
      <w:r>
        <w:rPr>
          <w:b w:val="0"/>
        </w:rPr>
      </w:r>
    </w:p>
    <w:p>
      <w:r>
        <w:rPr>
          <w:b w:val="0"/>
        </w:rPr>
        <w:t>Los scripts de juego no recibirán credenciales de plataforma, cookies, issuer ni subject externo. Se mantendrá la separación del iframe y el bridge. El bearer del handshake existente seguirá transportándose por header o subprotocolo; su codificación Base64 no es cifrado y debe excluirse de logs.</w:t>
      </w:r>
    </w:p>
    <w:p>
      <w:pPr>
        <w:pStyle w:val="Heading2"/>
      </w:pPr>
      <w:r>
        <w:t>Restauración y errores</w:t>
      </w:r>
    </w:p>
    <w:p>
      <w:r>
        <w:rPr>
          <w:b w:val="0"/>
        </w:rPr>
        <w:t>Al recargar, la app entrará en estado de restauración y llamará a refresh utilizando la cookie, aunque no exista access en memoria. Solo mostrará que no hay identidad cuando el servidor confirme ausencia, revocación o expiración. Un timeout, un 503 o una caída de base de datos conservará un estado recuperable y no creará automáticamente otro invitado.</w:t>
      </w:r>
    </w:p>
    <w:p>
      <w:r>
        <w:rPr>
          <w:b w:val="0"/>
        </w:rPr>
        <w:t>El transporte HTTP mantendrá un único reintento tras renovación. Un 401 tardío del access anterior usará la credencial vigente cuando corresponda; no invalidará otra cuenta. Un 403 por falta de permiso no inicia refresh. La llamada de refresh no pasa por un interceptor que se invoque recursivamente.</w:t>
      </w:r>
    </w:p>
    <w:p>
      <w:r>
        <w:rPr>
          <w:b w:val="0"/>
        </w:rPr>
        <w:t>Antes de abrir o reabrir WebSocket, el transporte obtendrá una credencial válida y renovará si está próxima a expirar. Esa preparación será asíncrona y cancelable por cambio de generación. Un handshake fallido no prueba por sí solo que la credencial sea inválida: el navegador también puede observar un fallo de red o capacidad.</w:t>
      </w:r>
    </w:p>
    <w:p>
      <w:pPr>
        <w:pStyle w:val="Heading2"/>
      </w:pPr>
      <w:r>
        <w:t>Operaciones propuestas</w:t>
      </w:r>
    </w:p>
    <w:p>
      <w:r>
        <w:rPr>
          <w:b w:val="0"/>
        </w:rPr>
        <w:t>Los nombres nuevos son una propuesta de contrato; su adopción deberá sincronizarse entre backend y packages/protocol. Se conserva POST /v1/guests.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984"/>
      </w:tblGrid>
      <w:tr>
        <w:trPr>
          <w:cantSplit/>
          <w:tblHeader w:val="true"/>
        </w:trPr>
        <w:tc>
          <w:tcPr>
            <w:tcW w:type="dxa" w:w="2952"/>
            <w:tcMar>
              <w:top w:w="90" w:type="dxa"/>
              <w:start w:w="105" w:type="dxa"/>
              <w:bottom w:w="90" w:type="dxa"/>
              <w:end w:w="105" w:type="dxa"/>
            </w:tcMar>
            <w:vAlign w:val="center"/>
            <w:shd w:fill="203C50"/>
          </w:tcPr>
          <w:p>
            <w:pPr>
              <w:keepNext/>
              <w:widowControl/>
              <w:spacing w:after="0" w:before="0" w:line="252" w:lineRule="auto"/>
            </w:pPr>
            <w:r>
              <w:rPr>
                <w:b/>
                <w:color w:val="FFFFFF"/>
                <w:sz w:val="19"/>
              </w:rPr>
              <w:t>Operación</w:t>
            </w:r>
          </w:p>
        </w:tc>
        <w:tc>
          <w:tcPr>
            <w:tcW w:type="dxa" w:w="6984"/>
            <w:tcMar>
              <w:top w:w="90" w:type="dxa"/>
              <w:start w:w="105" w:type="dxa"/>
              <w:bottom w:w="90" w:type="dxa"/>
              <w:end w:w="105" w:type="dxa"/>
            </w:tcMar>
            <w:vAlign w:val="center"/>
            <w:shd w:fill="203C50"/>
          </w:tcPr>
          <w:p>
            <w:pPr>
              <w:keepNext/>
              <w:widowControl/>
              <w:spacing w:after="0" w:before="0" w:line="252" w:lineRule="auto"/>
            </w:pPr>
            <w:r>
              <w:rPr>
                <w:b/>
                <w:color w:val="FFFFFF"/>
                <w:sz w:val="19"/>
              </w:rPr>
              <w:t>Contrato mínimo</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Crear invitado</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POST /v1/guests con nombre y clave del intento. Devuelve resumen, access y expires_at; establece refresh cookie.</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Comenzar Google</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POST /v1/identity/google/start. Crea intento y devuelve el destino de autorización permitido para navegación superior.</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Completar Google</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GET /v1/identity/google/callback. Valida state y código; establece cookie y redirige internamente.</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Restaurar o renovar</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POST /v1/identity/refresh con request_id y cookie. No requiere access previo. Devuelve resumen, access, expires_at y descriptor de familia y generación para coordinación.</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Consultar identidad</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GET /v1/identity/me con access. Devuelve UUID, guest o account y nombre visible.</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Cerrar sesión</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POST /v1/identity/logout, protegido contra CSRF, con familia y generación esperadas e identificador de operación. Revoca esa familia, borra su cookie e invalida intentos asociados. Un reintento obsoleto no cierra otra cuenta.</w:t>
            </w:r>
          </w:p>
        </w:tc>
      </w:tr>
    </w:tbl>
    <w:p>
      <w:pPr>
        <w:spacing w:after="40" w:before="0" w:line="240" w:lineRule="auto"/>
      </w:pPr>
      <w:r>
        <w:rPr>
          <w:sz w:val="4"/>
        </w:rPr>
      </w:r>
    </w:p>
    <w:p>
      <w:r>
        <w:rPr>
          <w:b w:val="0"/>
        </w:rPr>
        <w:t>El refresh no aparece en JSON web. El descriptor de coordinación tampoco concede acceso por sí solo ni exporta un ID de fila; el servidor valida la credencial y el contexto correspondiente. Un cliente futuro no web tendrá otro adaptador de transporte si necesita llevar el refresh fuera de una cookie; ese soporte no se presupone en esta fase.</w:t>
      </w:r>
    </w:p>
    <w:p>
      <w:r>
        <w:rPr>
          <w:b w:val="0"/>
        </w:rPr>
        <w:t>Logout también cerrará conexiones y datos privados del juego en las pestañas del navegador. Si falla la red, la UI podrá dejar de mostrar la sesión localmente, pero no afirmará que el cierre del servidor se completó; mantendrá el intento de cierre pendiente. Cerrar sesión en un invitado explicará que no hay recuperación posterior de esa identidad en esta fase.</w:t>
      </w:r>
    </w:p>
    <w:p>
      <w:pPr>
        <w:pStyle w:val="Heading1"/>
      </w:pPr>
      <w:bookmarkStart w:id="8" w:name="chapter_8"/>
      <w:r>
        <w:t>8 Autorización y responsabilidad de dominio</w:t>
      </w:r>
      <w:bookmarkEnd w:id="8"/>
    </w:p>
    <w:p>
      <w:r>
        <w:rPr>
          <w:b w:val="0"/>
        </w:rPr>
        <w:t>Identity resolverá quién presenta la credencial y si su clase puede realizar una operación general. Play conservará las comprobaciones de creador, participación, admisión y estado de la sesión. Ser una cuenta registrada no permite administrar cualquier partida.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320"/>
        <w:gridCol w:w="1512"/>
        <w:gridCol w:w="1800"/>
        <w:gridCol w:w="2304"/>
      </w:tblGrid>
      <w:tr>
        <w:trPr>
          <w:cantSplit/>
          <w:tblHeader w:val="true"/>
        </w:trPr>
        <w:tc>
          <w:tcPr>
            <w:tcW w:type="dxa" w:w="4320"/>
            <w:tcMar>
              <w:top w:w="90" w:type="dxa"/>
              <w:start w:w="105" w:type="dxa"/>
              <w:bottom w:w="90" w:type="dxa"/>
              <w:end w:w="105" w:type="dxa"/>
            </w:tcMar>
            <w:vAlign w:val="center"/>
            <w:shd w:fill="203C50"/>
          </w:tcPr>
          <w:p>
            <w:pPr>
              <w:keepNext/>
              <w:widowControl/>
              <w:spacing w:after="0" w:before="0" w:line="252" w:lineRule="auto"/>
            </w:pPr>
            <w:r>
              <w:rPr>
                <w:b/>
                <w:color w:val="FFFFFF"/>
                <w:sz w:val="19"/>
              </w:rPr>
              <w:t>Operación</w:t>
            </w:r>
          </w:p>
        </w:tc>
        <w:tc>
          <w:tcPr>
            <w:tcW w:type="dxa" w:w="1512"/>
            <w:tcMar>
              <w:top w:w="90" w:type="dxa"/>
              <w:start w:w="105" w:type="dxa"/>
              <w:bottom w:w="90" w:type="dxa"/>
              <w:end w:w="105" w:type="dxa"/>
            </w:tcMar>
            <w:vAlign w:val="center"/>
            <w:shd w:fill="203C50"/>
          </w:tcPr>
          <w:p>
            <w:pPr>
              <w:keepNext/>
              <w:widowControl/>
              <w:spacing w:after="0" w:before="0" w:line="252" w:lineRule="auto"/>
            </w:pPr>
            <w:r>
              <w:rPr>
                <w:b/>
                <w:color w:val="FFFFFF"/>
                <w:sz w:val="19"/>
              </w:rPr>
              <w:t>Anónimo</w:t>
            </w:r>
          </w:p>
        </w:tc>
        <w:tc>
          <w:tcPr>
            <w:tcW w:type="dxa" w:w="1800"/>
            <w:tcMar>
              <w:top w:w="90" w:type="dxa"/>
              <w:start w:w="105" w:type="dxa"/>
              <w:bottom w:w="90" w:type="dxa"/>
              <w:end w:w="105" w:type="dxa"/>
            </w:tcMar>
            <w:vAlign w:val="center"/>
            <w:shd w:fill="203C50"/>
          </w:tcPr>
          <w:p>
            <w:pPr>
              <w:keepNext/>
              <w:widowControl/>
              <w:spacing w:after="0" w:before="0" w:line="252" w:lineRule="auto"/>
            </w:pPr>
            <w:r>
              <w:rPr>
                <w:b/>
                <w:color w:val="FFFFFF"/>
                <w:sz w:val="19"/>
              </w:rPr>
              <w:t>Invitado</w:t>
            </w:r>
          </w:p>
        </w:tc>
        <w:tc>
          <w:tcPr>
            <w:tcW w:type="dxa" w:w="2304"/>
            <w:tcMar>
              <w:top w:w="90" w:type="dxa"/>
              <w:start w:w="105" w:type="dxa"/>
              <w:bottom w:w="90" w:type="dxa"/>
              <w:end w:w="105" w:type="dxa"/>
            </w:tcMar>
            <w:vAlign w:val="center"/>
            <w:shd w:fill="203C50"/>
          </w:tcPr>
          <w:p>
            <w:pPr>
              <w:keepNext/>
              <w:widowControl/>
              <w:spacing w:after="0" w:before="0" w:line="252" w:lineRule="auto"/>
            </w:pPr>
            <w:r>
              <w:rPr>
                <w:b/>
                <w:color w:val="FFFFFF"/>
                <w:sz w:val="19"/>
              </w:rPr>
              <w:t>Cuenta</w:t>
            </w:r>
          </w:p>
        </w:tc>
      </w:tr>
      <w:tr>
        <w:trPr>
          <w:cantSplit/>
        </w:trPr>
        <w:tc>
          <w:tcPr>
            <w:tcW w:type="dxa" w:w="4320"/>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Ruta declarada pública</w:t>
            </w:r>
          </w:p>
        </w:tc>
        <w:tc>
          <w:tcPr>
            <w:tcW w:type="dxa" w:w="151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Sí</w:t>
            </w:r>
          </w:p>
        </w:tc>
        <w:tc>
          <w:tcPr>
            <w:tcW w:type="dxa" w:w="1800"/>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Sí</w:t>
            </w:r>
          </w:p>
        </w:tc>
        <w:tc>
          <w:tcPr>
            <w:tcW w:type="dxa" w:w="230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Sí</w:t>
            </w:r>
          </w:p>
        </w:tc>
      </w:tr>
      <w:tr>
        <w:trPr>
          <w:cantSplit/>
        </w:trPr>
        <w:tc>
          <w:tcPr>
            <w:tcW w:type="dxa" w:w="4320"/>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Crear invitado o comenzar login</w:t>
            </w:r>
          </w:p>
        </w:tc>
        <w:tc>
          <w:tcPr>
            <w:tcW w:type="dxa" w:w="151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Sí</w:t>
            </w:r>
          </w:p>
        </w:tc>
        <w:tc>
          <w:tcPr>
            <w:tcW w:type="dxa" w:w="1800"/>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Cambio explícito</w:t>
            </w:r>
          </w:p>
        </w:tc>
        <w:tc>
          <w:tcPr>
            <w:tcW w:type="dxa" w:w="230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Cambio explícito</w:t>
            </w:r>
          </w:p>
        </w:tc>
      </w:tr>
      <w:tr>
        <w:trPr>
          <w:cantSplit/>
        </w:trPr>
        <w:tc>
          <w:tcPr>
            <w:tcW w:type="dxa" w:w="4320"/>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Crear sesión de juego</w:t>
            </w:r>
          </w:p>
        </w:tc>
        <w:tc>
          <w:tcPr>
            <w:tcW w:type="dxa" w:w="151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No</w:t>
            </w:r>
          </w:p>
        </w:tc>
        <w:tc>
          <w:tcPr>
            <w:tcW w:type="dxa" w:w="1800"/>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No</w:t>
            </w:r>
          </w:p>
        </w:tc>
        <w:tc>
          <w:tcPr>
            <w:tcW w:type="dxa" w:w="230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Sí</w:t>
            </w:r>
          </w:p>
        </w:tc>
      </w:tr>
      <w:tr>
        <w:trPr>
          <w:cantSplit/>
        </w:trPr>
        <w:tc>
          <w:tcPr>
            <w:tcW w:type="dxa" w:w="4320"/>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Conectar como jugador</w:t>
            </w:r>
          </w:p>
        </w:tc>
        <w:tc>
          <w:tcPr>
            <w:tcW w:type="dxa" w:w="151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No</w:t>
            </w:r>
          </w:p>
        </w:tc>
        <w:tc>
          <w:tcPr>
            <w:tcW w:type="dxa" w:w="1800"/>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Sí</w:t>
            </w:r>
          </w:p>
        </w:tc>
        <w:tc>
          <w:tcPr>
            <w:tcW w:type="dxa" w:w="230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Sí</w:t>
            </w:r>
          </w:p>
        </w:tc>
      </w:tr>
      <w:tr>
        <w:trPr>
          <w:cantSplit/>
        </w:trPr>
        <w:tc>
          <w:tcPr>
            <w:tcW w:type="dxa" w:w="4320"/>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Conectar como administrador</w:t>
            </w:r>
          </w:p>
        </w:tc>
        <w:tc>
          <w:tcPr>
            <w:tcW w:type="dxa" w:w="151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No</w:t>
            </w:r>
          </w:p>
        </w:tc>
        <w:tc>
          <w:tcPr>
            <w:tcW w:type="dxa" w:w="1800"/>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No</w:t>
            </w:r>
          </w:p>
        </w:tc>
        <w:tc>
          <w:tcPr>
            <w:tcW w:type="dxa" w:w="230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Sí y elegibilidad de Play</w:t>
            </w:r>
          </w:p>
        </w:tc>
      </w:tr>
      <w:tr>
        <w:trPr>
          <w:cantSplit/>
        </w:trPr>
        <w:tc>
          <w:tcPr>
            <w:tcW w:type="dxa" w:w="4320"/>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Arrancar la partida</w:t>
            </w:r>
          </w:p>
        </w:tc>
        <w:tc>
          <w:tcPr>
            <w:tcW w:type="dxa" w:w="151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No</w:t>
            </w:r>
          </w:p>
        </w:tc>
        <w:tc>
          <w:tcPr>
            <w:tcW w:type="dxa" w:w="1800"/>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No</w:t>
            </w:r>
          </w:p>
        </w:tc>
        <w:tc>
          <w:tcPr>
            <w:tcW w:type="dxa" w:w="230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Administrador creador autorizado</w:t>
            </w:r>
          </w:p>
        </w:tc>
      </w:tr>
      <w:tr>
        <w:trPr>
          <w:cantSplit/>
        </w:trPr>
        <w:tc>
          <w:tcPr>
            <w:tcW w:type="dxa" w:w="4320"/>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Telemetría cliente actual</w:t>
            </w:r>
          </w:p>
        </w:tc>
        <w:tc>
          <w:tcPr>
            <w:tcW w:type="dxa" w:w="151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No</w:t>
            </w:r>
          </w:p>
        </w:tc>
        <w:tc>
          <w:tcPr>
            <w:tcW w:type="dxa" w:w="1800"/>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Sí</w:t>
            </w:r>
          </w:p>
        </w:tc>
        <w:tc>
          <w:tcPr>
            <w:tcW w:type="dxa" w:w="230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Sí</w:t>
            </w:r>
          </w:p>
        </w:tc>
      </w:tr>
    </w:tbl>
    <w:p>
      <w:pPr>
        <w:spacing w:after="40" w:before="0" w:line="240" w:lineRule="auto"/>
      </w:pPr>
      <w:r>
        <w:rPr>
          <w:sz w:val="4"/>
        </w:rPr>
      </w:r>
    </w:p>
    <w:p>
      <w:r>
        <w:rPr>
          <w:b w:val="0"/>
        </w:rPr>
        <w:t xml:space="preserve">Esta matriz describe el alcance actual verificado. Las rutas nuevas de creación de juegos declararán sus operaciones cuando se implementen; no se infieren permisos por existir una cuenta. </w:t>
      </w:r>
      <w:hyperlink w:anchor="ref_R03" w:history="1">
        <w:r>
          <w:rPr>
            <w:rFonts w:ascii="Arial" w:hAnsi="Arial"/>
            <w:color w:val="333333"/>
          </w:rPr>
          <w:t xml:space="preserve">R03</w:t>
        </w:r>
      </w:hyperlink>
      <w:r>
        <w:rPr>
          <w:b w:val="0"/>
        </w:rPr>
      </w:r>
    </w:p>
    <w:p>
      <w:r>
        <w:rPr>
          <w:b w:val="0"/>
        </w:rPr>
        <w:t>Una operación desconocida debe rechazarse o producir un error explícito. El mock actual permite operaciones no catalogadas al no encontrarlas en su lista de prohibiciones; esa conducta no debe pasar a la implementación real.</w:t>
      </w:r>
    </w:p>
    <w:p>
      <w:r>
        <w:rPr>
          <w:b w:val="0"/>
        </w:rPr>
        <w:t>Se conservará la diferencia entre ausencia de autenticación y permiso insuficiente. Un token ausente, vencido o inválido en una ruta protegida produce rechazo de autenticación. Una identidad válida sin permiso produce rechazo de autorización. Un fallo operativo al consultar la base de datos es un error transitorio del servicio; no debe traducirse en credencial inválida.</w:t>
      </w:r>
    </w:p>
    <w:p>
      <w:r>
        <w:rPr>
          <w:b w:val="0"/>
        </w:rPr>
        <w:t>La identidad y los permisos se resuelven en backend. El tipo guardado o mostrado por frontend sirve para guiar la interfaz, no para conceder acceso. Los demás dominios dependerán del contrato público de Identity y de sus propias reglas de negocio.</w:t>
      </w:r>
    </w:p>
    <w:p>
      <w:pPr>
        <w:pStyle w:val="Heading1"/>
      </w:pPr>
      <w:bookmarkStart w:id="9" w:name="chapter_9"/>
      <w:r>
        <w:t>9 Desarrollo local y operación mínima</w:t>
      </w:r>
      <w:bookmarkEnd w:id="9"/>
    </w:p>
    <w:p>
      <w:pPr>
        <w:pStyle w:val="Heading2"/>
      </w:pPr>
      <w:r>
        <w:t>Proveedor simulado con autenticación real</w:t>
      </w:r>
    </w:p>
    <w:p>
      <w:r>
        <w:rPr>
          <w:b w:val="0"/>
        </w:rPr>
        <w:t>El modo local sustituirá al adaptador externo por un proveedor ficticio explícito, con sujetos estables para reproducir primera entrada y login recurrente. Tendrá un issuer distinto del Google real. El alta y resolución de User, la unicidad del vínculo, las familias, los hashes, los vencimientos y la autorización utilizarán las mismas implementaciones que producción.</w:t>
      </w:r>
    </w:p>
    <w:p>
      <w:r>
        <w:rPr>
          <w:b w:val="0"/>
        </w:rPr>
        <w:t>El navegador recibirá cookies y access reales; no se conservarán test-user-1, test-user-2 y test-guest como bypass de autorización. Los tests unitarios podrán seguir usando dobles dentro de sus límites, pero el servidor local normal ya no dependerá de credenciales mágicas.</w:t>
      </w:r>
    </w:p>
    <w:p>
      <w:r>
        <w:rPr>
          <w:b w:val="0"/>
        </w:rPr>
        <w:t>El modo simulado solo se habilitará en local y test. Una combinación de configuración que intente habilitarlo en producción hará fallar el arranque. El entorno local HTTP tendrá nombres y opciones de cookie explícitos, sin desactivar Secure en la configuración productiva. Los secretos de Google y las claves de cifrado de respuestas temporales permanecerán fuera del repositorio y de los bundles web.</w:t>
      </w:r>
    </w:p>
    <w:p>
      <w:r>
        <w:rPr>
          <w:b w:val="0"/>
        </w:rPr>
        <w:t>Se adaptarán DevIdentityPicker y dev-host para utilizar el flujo real de backend con el proveedor local. Los TTL podrán reducirse en pruebas mediante un reloj o configuración de test, sin esperar quince minutos ni alterar los valores de producción.</w:t>
      </w:r>
    </w:p>
    <w:p>
      <w:pPr>
        <w:pStyle w:val="Heading2"/>
      </w:pPr>
      <w:r>
        <w:t>Google real como cierre de integración</w:t>
      </w:r>
    </w:p>
    <w:p>
      <w:r>
        <w:rPr>
          <w:b w:val="0"/>
        </w:rPr>
        <w:t>El adaptador Google se probará con fixtures de firmas y claims, expiración, audiencia, issuer, nonce y rechazo de replay. La comprobación manual real utilizará un cliente Web configurado y cubrirá un login nuevo, uno recurrente, cancelación y rechazo de verifier PKCE incorrecto. No se eliminará PKCE silenciosamente para hacer funcionar una configuración que falle.</w:t>
      </w:r>
    </w:p>
    <w:p>
      <w:r>
        <w:rPr>
          <w:b w:val="0"/>
        </w:rPr>
        <w:t>La entrega local podrá considerarse utilizable cuando todo el ciclo propio de Identity funcione con el proveedor simulado. Declarar disponible el login Google requerirá además la configuración y prueba real del proveedor. Esta separación hace verificable el objetivo inmediato sin presentar el mock como una integración externa terminada.</w:t>
      </w:r>
    </w:p>
    <w:p>
      <w:pPr>
        <w:pStyle w:val="Heading2"/>
      </w:pPr>
      <w:r>
        <w:t>Controles operativos mínimos</w:t>
      </w:r>
    </w:p>
    <w:p>
      <w:r>
        <w:rPr>
          <w:b w:val="0"/>
        </w:rPr>
        <w:t>Alta de invitados, inicio de login y refresh tendrán límites de tamaño, frecuencia y concurrencia, junto con presupuestos globales. Un aula puede compartir IP pública; un límite por IP demasiado estricto no debe convertirse en el único criterio de admisión. Se medirán los rechazos y las ráfagas legítimas para ajustar la configuración.</w:t>
      </w:r>
    </w:p>
    <w:p>
      <w:r>
        <w:rPr>
          <w:b w:val="0"/>
        </w:rPr>
        <w:t>Las métricas cubrirán altas, login, refresh normal, recuperación de respuesta, reuso detectado, revocación y errores operativos. Los labels serán acotados; no incluirán tokens, nombres, emails, UUID de usuario ni identificadores de intento. Los logs excluirán bearer, cookies, códigos OAuth, verifier, secretos y claves de bootstrap.</w:t>
      </w:r>
    </w:p>
    <w:p>
      <w:r>
        <w:rPr>
          <w:b w:val="0"/>
        </w:rPr>
        <w:t>Los resultados cifrados se eliminarán al vencer su ventana. Su clave de cifrado tendrá identificador y configuración compartida entre instancias. Perder esa clave invalida la recuperación temporal, no obliga a aceptar secretos sin verificar. Se conservarán los hashes y registros necesarios para la política activa; la limpieza de usuarios guest completos se decidirá posteriormente sin invalidar la promesa de no caducidad.</w:t>
      </w:r>
    </w:p>
    <w:p>
      <w:pPr>
        <w:pStyle w:val="Heading1"/>
        <w:pageBreakBefore/>
        <w:spacing w:before="0"/>
      </w:pPr>
      <w:bookmarkStart w:id="10" w:name="chapter_10"/>
      <w:r>
        <w:t>10 Orden de implementación</w:t>
      </w:r>
      <w:bookmarkEnd w:id="10"/>
    </w:p>
    <w:p>
      <w:pPr>
        <w:pStyle w:val="Heading2"/>
      </w:pPr>
      <w:r>
        <w:t>Entregas verificables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984"/>
      </w:tblGrid>
      <w:tr>
        <w:trPr>
          <w:cantSplit/>
          <w:tblHeader w:val="true"/>
        </w:trPr>
        <w:tc>
          <w:tcPr>
            <w:tcW w:type="dxa" w:w="2952"/>
            <w:tcMar>
              <w:top w:w="90" w:type="dxa"/>
              <w:start w:w="105" w:type="dxa"/>
              <w:bottom w:w="90" w:type="dxa"/>
              <w:end w:w="105" w:type="dxa"/>
            </w:tcMar>
            <w:vAlign w:val="center"/>
            <w:shd w:fill="203C50"/>
          </w:tcPr>
          <w:p>
            <w:pPr>
              <w:keepNext/>
              <w:widowControl/>
              <w:spacing w:after="0" w:before="0" w:line="252" w:lineRule="auto"/>
            </w:pPr>
            <w:r>
              <w:rPr>
                <w:b/>
                <w:color w:val="FFFFFF"/>
                <w:sz w:val="19"/>
              </w:rPr>
              <w:t>Etapa</w:t>
            </w:r>
          </w:p>
        </w:tc>
        <w:tc>
          <w:tcPr>
            <w:tcW w:type="dxa" w:w="6984"/>
            <w:tcMar>
              <w:top w:w="90" w:type="dxa"/>
              <w:start w:w="105" w:type="dxa"/>
              <w:bottom w:w="90" w:type="dxa"/>
              <w:end w:w="105" w:type="dxa"/>
            </w:tcMar>
            <w:vAlign w:val="center"/>
            <w:shd w:fill="203C50"/>
          </w:tcPr>
          <w:p>
            <w:pPr>
              <w:keepNext/>
              <w:widowControl/>
              <w:spacing w:after="0" w:before="0" w:line="252" w:lineRule="auto"/>
            </w:pPr>
            <w:r>
              <w:rPr>
                <w:b/>
                <w:color w:val="FFFFFF"/>
                <w:sz w:val="19"/>
              </w:rPr>
              <w:t>Trabajo y condición de salida</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0 Contratos</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Adoptar proveedor, access opaco, cookie, replay y cambio de identidad. Precisar ADR de rotación y DTO. Identificar el trabajo existente y evitar duplicarlo.</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1 Núcleo persistido</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Migraciones y repositorios de Identity, User estable, cuenta y vínculo único, familias, emisión, autorización, refresh, idempotencia y revocación. Pruebas transaccionales de concurrencia.</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2 Invitado completo</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POST /v1/guests real, restauración y refresh web, retiro de tokens en localStorage, nombres y UUID distintos, cierre de sesión y coordinación entre pestañas. Dos invitados pueden jugar.</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3 Cuenta local completa</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Adaptador ficticio de proveedor, usuario registrado persistido, login recurrente, UI mínima y herramientas DEV. Una cuenta puede crear y administrar su partida.</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4 Google real</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Adaptador OIDC, configuración de entorno, callback, state, nonce, PKCE y verificación de token. Primera entrada y login recurrente conservan el vínculo esperado.</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5 Integración y cierre</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Casos de red y concurrencia, WebSocket, cambios de usuario, secretos, límites, documentos y contratos sincronizados. Revisión independiente contra los criterios de aceptación.</w:t>
            </w:r>
          </w:p>
        </w:tc>
      </w:tr>
    </w:tbl>
    <w:p>
      <w:pPr>
        <w:spacing w:after="40" w:before="0" w:line="240" w:lineRule="auto"/>
      </w:pPr>
      <w:r>
        <w:rPr>
          <w:sz w:val="4"/>
        </w:rPr>
      </w:r>
    </w:p>
    <w:p>
      <w:r>
        <w:rPr>
          <w:b w:val="0"/>
        </w:rPr>
        <w:t>Las etapas 2 y 3 completan el objetivo de probar cuentas y participantes persistidos en local. La entrega no debe quedar limitada a insertar filas manualmente o a emitir un token de prueba sin vencimiento. El cliente, el servidor y la persistencia deben recorrer la misma política acordada.</w:t>
      </w:r>
    </w:p>
    <w:p>
      <w:pPr>
        <w:pStyle w:val="Heading2"/>
      </w:pPr>
      <w:r>
        <w:t>Fronteras de implementación</w:t>
      </w:r>
    </w:p>
    <w:p>
      <w:r>
        <w:rPr>
          <w:b w:val="0"/>
        </w:rPr>
        <w:t>Backend Identity será dueño de usuarios, vínculo externo, sesiones de autenticación, validación de credenciales y permisos generales. La capa API transportará cookies, headers, redirects y errores sin trasladar a ella las reglas del dominio. Las transacciones necesarias serán locales a Identity.</w:t>
      </w:r>
    </w:p>
    <w:p>
      <w:r>
        <w:rPr>
          <w:b w:val="0"/>
        </w:rPr>
        <w:t>En frontend, packages/protocol recogerá el contrato, packages/communication manejará el transporte y packages/app-core la restauración y generación de autenticación. Los adaptadores del navegador implementarán cookie implícita y coordinación entre pestañas. Las pantallas consumirán ese comportamiento y el GameHost recibirá únicamente el contexto de juego permitido.</w:t>
      </w:r>
    </w:p>
    <w:p>
      <w:r>
        <w:rPr>
          <w:b w:val="0"/>
        </w:rPr>
        <w:t>La nueva UI incluirá Continuar con Google, el nombre para jugar como invitado, estado de restauración, identidad mínima visible, cierre y recuperación de errores. Se integrará con los idiomas existentes. El retorno tras login estará limitado a destinos internos y conservará el propósito de la navegación, por ejemplo crear o entrar a una sesión.</w:t>
      </w:r>
    </w:p>
    <w:p>
      <w:pPr>
        <w:pStyle w:val="Heading2"/>
      </w:pPr>
      <w:r>
        <w:t>Decisiones que debe conservar el agente</w:t>
      </w:r>
    </w:p>
    <w:p>
      <w:r>
        <w:rPr>
          <w:b w:val="0"/>
        </w:rPr>
        <w:t>El agente podrá elegir helpers, distribución de archivos, nombres internos y tablas auxiliares que respeten estas responsabilidades. Deberá presentar una decisión material si necesita cambiar el identificador público, la política de expiración, el proveedor, la ubicación de secretos, las garantías de replay, la semántica de cambio de usuario o la autorización de conexiones abiertas.</w:t>
      </w:r>
    </w:p>
    <w:p>
      <w:r>
        <w:rPr>
          <w:b w:val="0"/>
        </w:rPr>
        <w:t>No se presupone que todos los WORK se diseñen al máximo detalle antes de comenzar. El proyecto puede ordenar los resultados anteriores y concretar cada entrega con evidencia de la precedente, siguiendo el proceso vigente del repositorio. Este plan aporta el alcance y las decisiones; no marca como implementado ningún resultado.</w:t>
      </w:r>
    </w:p>
    <w:p>
      <w:pPr>
        <w:pStyle w:val="Heading1"/>
      </w:pPr>
      <w:bookmarkStart w:id="11" w:name="chapter_11"/>
      <w:r>
        <w:t>11 Criterios de aceptación y handoff</w:t>
      </w:r>
      <w:bookmarkEnd w:id="11"/>
    </w:p>
    <w:p>
      <w:pPr>
        <w:pStyle w:val="Heading2"/>
      </w:pPr>
      <w:r>
        <w:t>Evidencia requerida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984"/>
      </w:tblGrid>
      <w:tr>
        <w:trPr>
          <w:cantSplit/>
          <w:tblHeader w:val="true"/>
        </w:trPr>
        <w:tc>
          <w:tcPr>
            <w:tcW w:type="dxa" w:w="2952"/>
            <w:tcMar>
              <w:top w:w="90" w:type="dxa"/>
              <w:start w:w="105" w:type="dxa"/>
              <w:bottom w:w="90" w:type="dxa"/>
              <w:end w:w="105" w:type="dxa"/>
            </w:tcMar>
            <w:vAlign w:val="center"/>
            <w:shd w:fill="203C50"/>
          </w:tcPr>
          <w:p>
            <w:pPr>
              <w:keepNext/>
              <w:widowControl/>
              <w:spacing w:after="0" w:before="0" w:line="252" w:lineRule="auto"/>
            </w:pPr>
            <w:r>
              <w:rPr>
                <w:b/>
                <w:color w:val="FFFFFF"/>
                <w:sz w:val="19"/>
              </w:rPr>
              <w:t>Caso</w:t>
            </w:r>
          </w:p>
        </w:tc>
        <w:tc>
          <w:tcPr>
            <w:tcW w:type="dxa" w:w="6984"/>
            <w:tcMar>
              <w:top w:w="90" w:type="dxa"/>
              <w:start w:w="105" w:type="dxa"/>
              <w:bottom w:w="90" w:type="dxa"/>
              <w:end w:w="105" w:type="dxa"/>
            </w:tcMar>
            <w:vAlign w:val="center"/>
            <w:shd w:fill="203C50"/>
          </w:tcPr>
          <w:p>
            <w:pPr>
              <w:keepNext/>
              <w:widowControl/>
              <w:spacing w:after="0" w:before="0" w:line="252" w:lineRule="auto"/>
            </w:pPr>
            <w:r>
              <w:rPr>
                <w:b/>
                <w:color w:val="FFFFFF"/>
                <w:sz w:val="19"/>
              </w:rPr>
              <w:t>Resultado observable</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Dos invitados</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Dos intentos distintos producen UUID distintos; ambos pueden entrar a la misma partida.</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Alta repetida</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Un mismo intento y nombre produce un solo User. Otro nombre entra en conflicto. Replay agotado no crea otro usuario ni recupera secretos antiguos.</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Persistencia</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Reiniciar backend y recargar navegador conserva el usuario mientras la credencial siga disponible y válida.</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Cuenta recurrente</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Repetir Google con el mismo vínculo resuelve el mismo User; concurrencia no deja duplicados ni usuarios provisionales.</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Vencimiento</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Access vence; cuenta respeta 30 días de inactividad y 90 absolutos; guest no recibe esos límites por tiempo.</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Rotación</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Una operación produce un solo sucesor. Access anteriores vigentes siguen funcionando hasta expiración o revocación de familia.</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Respuesta perdida</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Recuperación funciona con cookie predecesora y también cuando Set Cookie ya se aplicó pero faltó el cuerpo.</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Replay y concurrencia</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Reuso ajeno a la operación recuperable revoca. Duplicado reconocido superado no escribe una cookie antigua.</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Red o base de datos caída</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No se elimina una identidad ni se crea otro invitado por interpretar un fallo transitorio como rechazo definitivo.</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Cambio de usuario</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Respuestas antiguas no actualizan memoria o juego ni activan una transición superada. Una cookie tardía revocada no recupera acceso. Se cierran sockets y datos de la identidad anterior.</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Logout</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Revoca nuevas autorizaciones de la familia y elimina su cookie; un retry viejo no revoca una cuenta nueva. No se presenta un fallo como cierre confirmado.</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Permisos</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Invitado juega y no crea ni administra. Cuenta ajena no administra la partida de otro. Operación desconocida no concede acceso.</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WebSocket</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Se renueva antes de conectar si corresponde. El access vencido no cierra por sí solo un socket admitido.</w:t>
            </w:r>
          </w:p>
        </w:tc>
      </w:tr>
      <w:tr>
        <w:trPr>
          <w:cantSplit/>
        </w:trPr>
        <w:tc>
          <w:tcPr>
            <w:tcW w:type="dxa" w:w="2952"/>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Proveedor local</w:t>
            </w:r>
          </w:p>
        </w:tc>
        <w:tc>
          <w:tcPr>
            <w:tcW w:type="dxa" w:w="6984"/>
            <w:tcMar>
              <w:top w:w="90" w:type="dxa"/>
              <w:start w:w="105" w:type="dxa"/>
              <w:bottom w:w="90" w:type="dxa"/>
              <w:end w:w="105" w:type="dxa"/>
            </w:tcMar>
            <w:vAlign w:val="center"/>
            <w:shd w:fill="F2F5F7"/>
          </w:tcPr>
          <w:p>
            <w:pPr>
              <w:keepNext w:val="0"/>
              <w:widowControl/>
              <w:spacing w:after="0" w:before="0" w:line="252" w:lineRule="auto"/>
            </w:pPr>
            <w:r>
              <w:rPr>
                <w:b w:val="0"/>
                <w:color w:val="000000"/>
                <w:sz w:val="19"/>
              </w:rPr>
              <w:t>El modo simulado persiste cuentas y usa credenciales reales. No puede arrancar habilitado como producción.</w:t>
            </w:r>
          </w:p>
        </w:tc>
      </w:tr>
      <w:tr>
        <w:trPr>
          <w:cantSplit/>
        </w:trPr>
        <w:tc>
          <w:tcPr>
            <w:tcW w:type="dxa" w:w="2952"/>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Frontera del juego</w:t>
            </w:r>
          </w:p>
        </w:tc>
        <w:tc>
          <w:tcPr>
            <w:tcW w:type="dxa" w:w="6984"/>
            <w:tcMar>
              <w:top w:w="90" w:type="dxa"/>
              <w:start w:w="105" w:type="dxa"/>
              <w:bottom w:w="90" w:type="dxa"/>
              <w:end w:w="105" w:type="dxa"/>
            </w:tcMar>
            <w:vAlign w:val="center"/>
            <w:shd w:fill="FFFFFF"/>
          </w:tcPr>
          <w:p>
            <w:pPr>
              <w:keepNext w:val="0"/>
              <w:widowControl/>
              <w:spacing w:after="0" w:before="0" w:line="252" w:lineRule="auto"/>
            </w:pPr>
            <w:r>
              <w:rPr>
                <w:b w:val="0"/>
                <w:color w:val="000000"/>
                <w:sz w:val="19"/>
              </w:rPr>
              <w:t>Bridge, assets y scripts no reciben tokens ni la identidad externa; logs y telemetría no los registran.</w:t>
            </w:r>
          </w:p>
        </w:tc>
      </w:tr>
    </w:tbl>
    <w:p>
      <w:pPr>
        <w:spacing w:after="40" w:before="0" w:line="240" w:lineRule="auto"/>
      </w:pPr>
      <w:r>
        <w:rPr>
          <w:sz w:val="4"/>
        </w:rPr>
      </w:r>
    </w:p>
    <w:p>
      <w:pPr>
        <w:pStyle w:val="Heading2"/>
      </w:pPr>
      <w:r>
        <w:t>Actualización de conocimiento</w:t>
      </w:r>
    </w:p>
    <w:p>
      <w:r>
        <w:rPr>
          <w:b w:val="0"/>
        </w:rPr>
        <w:t>La implementación deberá sincronizar identity/CURRENT_STATE, contrato público y rutas, migraciones registradas, decisión sobre formato opaco y precisiones de rotación y replay. En frontend actualizará el ADR de renovación, el contrato backend, los flujos y los espejos de lógica correspondientes. Se documentará explícitamente el alcance de logout frente a conexiones abiertas.</w:t>
      </w:r>
    </w:p>
    <w:p>
      <w:r>
        <w:rPr>
          <w:b w:val="0"/>
        </w:rPr>
        <w:t>Al entregar el trabajo a los agentes, el objetivo será sustituir los placeholders de identidad por este recorrido mínimo verificable. El resultado esperado incluye pruebas de concurrencia y pérdida de respuesta porque determinan la continuidad del invitado; no basta con verificar únicamente el login exitoso.</w:t>
      </w:r>
    </w:p>
    <w:p>
      <w:r>
        <w:rPr>
          <w:b w:val="0"/>
        </w:rPr>
        <w:t>El cierre local se demostrará creando una sesión con una cuenta persistida y entrando con dos invitados reales desde contextos de navegador separados. El cierre de Google añadirá la prueba contra el proveedor real. Después se podrá continuar el plan del SDK y creación de juegos con una identidad funcional.</w:t>
      </w:r>
    </w:p>
    <w:p>
      <w:pPr>
        <w:pStyle w:val="Heading1"/>
        <w:pageBreakBefore/>
        <w:spacing w:before="0"/>
      </w:pPr>
      <w:bookmarkStart w:id="12" w:name="chapter_12"/>
      <w:r>
        <w:t>12 Fuentes y trazabilidad</w:t>
      </w:r>
      <w:bookmarkEnd w:id="12"/>
    </w:p>
    <w:p>
      <w:pPr>
        <w:keepLines/>
        <w:spacing w:after="140" w:line="259" w:lineRule="auto"/>
      </w:pPr>
      <w:r>
        <w:rPr>
          <w:b w:val="0"/>
          <w:sz w:val="20"/>
        </w:rPr>
        <w:t>Las fuentes del repositorio describen la implementación o las decisiones aceptadas en las revisiones indicadas. Las fuentes externas se consultaron para las condiciones del proveedor y las bases de seguridad. La elección de access opaco, las ventanas de recuperación y el orden de entregas son propuestas específicas para Playhoot.</w:t>
      </w:r>
    </w:p>
    <w:p>
      <w:pPr>
        <w:keepLines/>
        <w:spacing w:after="140" w:line="259" w:lineRule="auto"/>
      </w:pPr>
      <w:r>
        <w:rPr>
          <w:b w:val="0"/>
          <w:sz w:val="20"/>
        </w:rPr>
      </w:r>
      <w:hyperlink w:anchor="ref_R01" w:history="1">
        <w:r>
          <w:rPr>
            <w:rFonts w:ascii="Arial" w:hAnsi="Arial"/>
            <w:color w:val="333333"/>
            <w:sz w:val="20"/>
          </w:rPr>
          <w:t xml:space="preserve">R01</w:t>
        </w:r>
      </w:hyperlink>
      <w:r>
        <w:rPr>
          <w:b w:val="0"/>
          <w:sz w:val="20"/>
        </w:rPr>
        <w:t xml:space="preserve">. </w:t>
      </w:r>
      <w:hyperlink r:id="rId10" w:history="1">
        <w:r>
          <w:rPr>
            <w:rFonts w:ascii="Arial" w:hAnsi="Arial"/>
            <w:color w:val="20577B"/>
            <w:sz w:val="20"/>
          </w:rPr>
          <w:t xml:space="preserve">Identity ADR 0001 sobre User y UUID estable</w:t>
        </w:r>
      </w:hyperlink>
      <w:r>
        <w:rPr>
          <w:b w:val="0"/>
          <w:sz w:val="20"/>
        </w:rPr>
        <w:t>. Entidad pública, continuidad guest, referencias entre dominios y reconciliación diferida.</w:t>
      </w:r>
    </w:p>
    <w:p>
      <w:pPr>
        <w:keepLines/>
        <w:spacing w:after="140" w:line="259" w:lineRule="auto"/>
      </w:pPr>
      <w:r>
        <w:rPr>
          <w:b w:val="0"/>
          <w:sz w:val="20"/>
        </w:rPr>
      </w:r>
      <w:hyperlink w:anchor="ref_R02" w:history="1">
        <w:r>
          <w:rPr>
            <w:rFonts w:ascii="Arial" w:hAnsi="Arial"/>
            <w:color w:val="333333"/>
            <w:sz w:val="20"/>
          </w:rPr>
          <w:t xml:space="preserve">R02</w:t>
        </w:r>
      </w:hyperlink>
      <w:r>
        <w:rPr>
          <w:b w:val="0"/>
          <w:sz w:val="20"/>
        </w:rPr>
        <w:t xml:space="preserve">. </w:t>
      </w:r>
      <w:hyperlink r:id="rId11" w:history="1">
        <w:r>
          <w:rPr>
            <w:rFonts w:ascii="Arial" w:hAnsi="Arial"/>
            <w:color w:val="20577B"/>
            <w:sz w:val="20"/>
          </w:rPr>
          <w:t xml:space="preserve">Identity ADR 0002 sobre renovación</w:t>
        </w:r>
      </w:hyperlink>
      <w:r>
        <w:rPr>
          <w:b w:val="0"/>
          <w:sz w:val="20"/>
        </w:rPr>
        <w:t>. Access corto, rotación, ventanas de cuentas e invitados sin vencimiento temporal.</w:t>
      </w:r>
    </w:p>
    <w:p>
      <w:pPr>
        <w:keepLines/>
        <w:spacing w:after="140" w:line="259" w:lineRule="auto"/>
      </w:pPr>
      <w:r>
        <w:rPr>
          <w:b w:val="0"/>
          <w:sz w:val="20"/>
        </w:rPr>
      </w:r>
      <w:hyperlink w:anchor="ref_R03" w:history="1">
        <w:r>
          <w:rPr>
            <w:rFonts w:ascii="Arial" w:hAnsi="Arial"/>
            <w:color w:val="333333"/>
            <w:sz w:val="20"/>
          </w:rPr>
          <w:t xml:space="preserve">R03</w:t>
        </w:r>
      </w:hyperlink>
      <w:r>
        <w:rPr>
          <w:b w:val="0"/>
          <w:sz w:val="20"/>
        </w:rPr>
        <w:t xml:space="preserve">. </w:t>
      </w:r>
      <w:hyperlink r:id="rId12" w:history="1">
        <w:r>
          <w:rPr>
            <w:rFonts w:ascii="Arial" w:hAnsi="Arial"/>
            <w:color w:val="20577B"/>
            <w:sz w:val="20"/>
          </w:rPr>
          <w:t xml:space="preserve">Contrato Identity</w:t>
        </w:r>
      </w:hyperlink>
      <w:r>
        <w:rPr>
          <w:b w:val="0"/>
          <w:sz w:val="20"/>
        </w:rPr>
        <w:t xml:space="preserve">, </w:t>
      </w:r>
      <w:hyperlink r:id="rId13" w:history="1">
        <w:r>
          <w:rPr>
            <w:rFonts w:ascii="Arial" w:hAnsi="Arial"/>
            <w:color w:val="20577B"/>
            <w:sz w:val="20"/>
          </w:rPr>
          <w:t xml:space="preserve">estado actual</w:t>
        </w:r>
      </w:hyperlink>
      <w:r>
        <w:rPr>
          <w:b w:val="0"/>
          <w:sz w:val="20"/>
        </w:rPr>
        <w:t xml:space="preserve">, </w:t>
      </w:r>
      <w:hyperlink r:id="rId14" w:history="1">
        <w:r>
          <w:rPr>
            <w:rFonts w:ascii="Arial" w:hAnsi="Arial"/>
            <w:color w:val="20577B"/>
            <w:sz w:val="20"/>
          </w:rPr>
          <w:t xml:space="preserve">alta de invitado</w:t>
        </w:r>
      </w:hyperlink>
      <w:r>
        <w:rPr>
          <w:b w:val="0"/>
          <w:sz w:val="20"/>
        </w:rPr>
        <w:t xml:space="preserve"> y </w:t>
      </w:r>
      <w:hyperlink r:id="rId15" w:history="1">
        <w:r>
          <w:rPr>
            <w:rFonts w:ascii="Arial" w:hAnsi="Arial"/>
            <w:color w:val="20577B"/>
            <w:sz w:val="20"/>
          </w:rPr>
          <w:t xml:space="preserve">middleware de autenticación</w:t>
        </w:r>
      </w:hyperlink>
      <w:r>
        <w:rPr>
          <w:b w:val="0"/>
          <w:sz w:val="20"/>
        </w:rPr>
        <w:t>. Complementados con authorize, handler de Play, checkadminjoin y migraciones de sesiones en el mismo commit.</w:t>
      </w:r>
    </w:p>
    <w:p>
      <w:pPr>
        <w:keepLines/>
        <w:spacing w:after="140" w:line="259" w:lineRule="auto"/>
      </w:pPr>
      <w:r>
        <w:rPr>
          <w:b w:val="0"/>
          <w:sz w:val="20"/>
        </w:rPr>
      </w:r>
      <w:hyperlink w:anchor="ref_R04" w:history="1">
        <w:r>
          <w:rPr>
            <w:rFonts w:ascii="Arial" w:hAnsi="Arial"/>
            <w:color w:val="333333"/>
            <w:sz w:val="20"/>
          </w:rPr>
          <w:t xml:space="preserve">R04</w:t>
        </w:r>
      </w:hyperlink>
      <w:r>
        <w:rPr>
          <w:b w:val="0"/>
          <w:sz w:val="20"/>
        </w:rPr>
        <w:t xml:space="preserve">. </w:t>
      </w:r>
      <w:hyperlink r:id="rId16" w:history="1">
        <w:r>
          <w:rPr>
            <w:rFonts w:ascii="Arial" w:hAnsi="Arial"/>
            <w:color w:val="20577B"/>
            <w:sz w:val="20"/>
          </w:rPr>
          <w:t xml:space="preserve">Frontend ADR 0009</w:t>
        </w:r>
      </w:hyperlink>
      <w:r>
        <w:rPr>
          <w:b w:val="0"/>
          <w:sz w:val="20"/>
        </w:rPr>
        <w:t xml:space="preserve"> y </w:t>
      </w:r>
      <w:hyperlink r:id="rId17" w:history="1">
        <w:r>
          <w:rPr>
            <w:rFonts w:ascii="Arial" w:hAnsi="Arial"/>
            <w:color w:val="20577B"/>
            <w:sz w:val="20"/>
          </w:rPr>
          <w:t xml:space="preserve">estado de aplicación</w:t>
        </w:r>
      </w:hyperlink>
      <w:r>
        <w:rPr>
          <w:b w:val="0"/>
          <w:sz w:val="20"/>
        </w:rPr>
        <w:t>. Revisión adicional de browserCredentialStore, identityClient, http, sessionConnection, DevIdentityPicker, dev-host y vite.config en el mismo commit.</w:t>
      </w:r>
    </w:p>
    <w:p>
      <w:pPr>
        <w:keepLines/>
        <w:spacing w:after="140" w:line="259" w:lineRule="auto"/>
      </w:pPr>
      <w:r>
        <w:rPr>
          <w:b w:val="0"/>
          <w:sz w:val="20"/>
        </w:rPr>
      </w:r>
      <w:hyperlink w:anchor="ref_R05" w:history="1">
        <w:r>
          <w:rPr>
            <w:rFonts w:ascii="Arial" w:hAnsi="Arial"/>
            <w:color w:val="333333"/>
            <w:sz w:val="20"/>
          </w:rPr>
          <w:t xml:space="preserve">R05</w:t>
        </w:r>
      </w:hyperlink>
      <w:r>
        <w:rPr>
          <w:b w:val="0"/>
          <w:sz w:val="20"/>
        </w:rPr>
        <w:t xml:space="preserve">. </w:t>
      </w:r>
      <w:hyperlink r:id="rId18" w:history="1">
        <w:r>
          <w:rPr>
            <w:rFonts w:ascii="Arial" w:hAnsi="Arial"/>
            <w:color w:val="20577B"/>
            <w:sz w:val="20"/>
          </w:rPr>
          <w:t xml:space="preserve">Norma de restricciones de base de datos</w:t>
        </w:r>
      </w:hyperlink>
      <w:r>
        <w:rPr>
          <w:b w:val="0"/>
          <w:sz w:val="20"/>
        </w:rPr>
        <w:t xml:space="preserve"> y </w:t>
      </w:r>
      <w:hyperlink r:id="rId19" w:history="1">
        <w:r>
          <w:rPr>
            <w:rFonts w:ascii="Arial" w:hAnsi="Arial"/>
            <w:color w:val="20577B"/>
            <w:sz w:val="20"/>
          </w:rPr>
          <w:t xml:space="preserve">norma de idempotencia</w:t>
        </w:r>
      </w:hyperlink>
      <w:r>
        <w:rPr>
          <w:b w:val="0"/>
          <w:sz w:val="20"/>
        </w:rPr>
        <w:t>. Reglas de persistencia y atomicidad del repositorio.</w:t>
      </w:r>
    </w:p>
    <w:p>
      <w:pPr>
        <w:keepLines/>
        <w:spacing w:after="140" w:line="259" w:lineRule="auto"/>
      </w:pPr>
      <w:r>
        <w:rPr>
          <w:b w:val="0"/>
          <w:sz w:val="20"/>
        </w:rPr>
      </w:r>
      <w:hyperlink w:anchor="ref_E01" w:history="1">
        <w:r>
          <w:rPr>
            <w:rFonts w:ascii="Arial" w:hAnsi="Arial"/>
            <w:color w:val="333333"/>
            <w:sz w:val="20"/>
          </w:rPr>
          <w:t xml:space="preserve">E01</w:t>
        </w:r>
      </w:hyperlink>
      <w:r>
        <w:rPr>
          <w:b w:val="0"/>
          <w:sz w:val="20"/>
        </w:rPr>
        <w:t xml:space="preserve">. Google. </w:t>
      </w:r>
      <w:hyperlink r:id="rId20" w:history="1">
        <w:r>
          <w:rPr>
            <w:rFonts w:ascii="Arial" w:hAnsi="Arial"/>
            <w:color w:val="20577B"/>
            <w:sz w:val="20"/>
          </w:rPr>
          <w:t xml:space="preserve">OpenID Connect</w:t>
        </w:r>
      </w:hyperlink>
      <w:r>
        <w:rPr>
          <w:b w:val="0"/>
          <w:sz w:val="20"/>
        </w:rPr>
        <w:t>. Flujo de servidor, configuración del cliente, state y validación del login.</w:t>
      </w:r>
    </w:p>
    <w:p>
      <w:pPr>
        <w:keepLines/>
        <w:spacing w:after="140" w:line="259" w:lineRule="auto"/>
      </w:pPr>
      <w:r>
        <w:rPr>
          <w:b w:val="0"/>
          <w:sz w:val="20"/>
        </w:rPr>
      </w:r>
      <w:hyperlink w:anchor="ref_E02" w:history="1">
        <w:r>
          <w:rPr>
            <w:rFonts w:ascii="Arial" w:hAnsi="Arial"/>
            <w:color w:val="333333"/>
            <w:sz w:val="20"/>
          </w:rPr>
          <w:t xml:space="preserve">E02</w:t>
        </w:r>
      </w:hyperlink>
      <w:r>
        <w:rPr>
          <w:b w:val="0"/>
          <w:sz w:val="20"/>
        </w:rPr>
        <w:t xml:space="preserve">. Google. </w:t>
      </w:r>
      <w:hyperlink r:id="rId21" w:history="1">
        <w:r>
          <w:rPr>
            <w:rFonts w:ascii="Arial" w:hAnsi="Arial"/>
            <w:color w:val="20577B"/>
            <w:sz w:val="20"/>
          </w:rPr>
          <w:t xml:space="preserve">Documento de discovery OIDC</w:t>
        </w:r>
      </w:hyperlink>
      <w:r>
        <w:rPr>
          <w:b w:val="0"/>
          <w:sz w:val="20"/>
        </w:rPr>
        <w:t>. Endpoints y soporte anunciado de PKCE S256.</w:t>
      </w:r>
    </w:p>
    <w:p>
      <w:pPr>
        <w:keepLines/>
        <w:spacing w:after="140" w:line="259" w:lineRule="auto"/>
      </w:pPr>
      <w:r>
        <w:rPr>
          <w:b w:val="0"/>
          <w:sz w:val="20"/>
        </w:rPr>
      </w:r>
      <w:hyperlink w:anchor="ref_E03" w:history="1">
        <w:r>
          <w:rPr>
            <w:rFonts w:ascii="Arial" w:hAnsi="Arial"/>
            <w:color w:val="333333"/>
            <w:sz w:val="20"/>
          </w:rPr>
          <w:t xml:space="preserve">E03</w:t>
        </w:r>
      </w:hyperlink>
      <w:r>
        <w:rPr>
          <w:b w:val="0"/>
          <w:sz w:val="20"/>
        </w:rPr>
        <w:t xml:space="preserve">. Google. </w:t>
      </w:r>
      <w:hyperlink r:id="rId22" w:history="1">
        <w:r>
          <w:rPr>
            <w:rFonts w:ascii="Arial" w:hAnsi="Arial"/>
            <w:color w:val="20577B"/>
            <w:sz w:val="20"/>
          </w:rPr>
          <w:t xml:space="preserve">Verificación de ID tokens</w:t>
        </w:r>
      </w:hyperlink>
      <w:r>
        <w:rPr>
          <w:b w:val="0"/>
          <w:sz w:val="20"/>
        </w:rPr>
        <w:t>. Firma, issuer, audiencia, expiración y subject como identificador externo.</w:t>
      </w:r>
    </w:p>
    <w:p>
      <w:pPr>
        <w:keepLines/>
        <w:spacing w:after="140" w:line="259" w:lineRule="auto"/>
      </w:pPr>
      <w:r>
        <w:rPr>
          <w:b w:val="0"/>
          <w:sz w:val="20"/>
        </w:rPr>
      </w:r>
      <w:hyperlink w:anchor="ref_E04" w:history="1">
        <w:r>
          <w:rPr>
            <w:rFonts w:ascii="Arial" w:hAnsi="Arial"/>
            <w:color w:val="333333"/>
            <w:sz w:val="20"/>
          </w:rPr>
          <w:t xml:space="preserve">E04</w:t>
        </w:r>
      </w:hyperlink>
      <w:r>
        <w:rPr>
          <w:b w:val="0"/>
          <w:sz w:val="20"/>
        </w:rPr>
        <w:t xml:space="preserve">. Google Codelabs. </w:t>
      </w:r>
      <w:hyperlink r:id="rId23" w:history="1">
        <w:r>
          <w:rPr>
            <w:rFonts w:ascii="Arial" w:hAnsi="Arial"/>
            <w:color w:val="20577B"/>
            <w:sz w:val="20"/>
          </w:rPr>
          <w:t xml:space="preserve">Sign in with Google button for Web</w:t>
        </w:r>
      </w:hyperlink>
      <w:r>
        <w:rPr>
          <w:b w:val="0"/>
          <w:sz w:val="20"/>
        </w:rPr>
        <w:t>. Preparación del proyecto y afirmación sobre cuenta y proyecto gratuitos.</w:t>
      </w:r>
    </w:p>
    <w:p>
      <w:pPr>
        <w:keepLines/>
        <w:spacing w:after="140" w:line="259" w:lineRule="auto"/>
      </w:pPr>
      <w:r>
        <w:rPr>
          <w:b w:val="0"/>
          <w:sz w:val="20"/>
        </w:rPr>
      </w:r>
      <w:hyperlink w:anchor="ref_E05" w:history="1">
        <w:r>
          <w:rPr>
            <w:rFonts w:ascii="Arial" w:hAnsi="Arial"/>
            <w:color w:val="333333"/>
            <w:sz w:val="20"/>
          </w:rPr>
          <w:t xml:space="preserve">E05</w:t>
        </w:r>
      </w:hyperlink>
      <w:r>
        <w:rPr>
          <w:b w:val="0"/>
          <w:sz w:val="20"/>
        </w:rPr>
        <w:t xml:space="preserve">. Google. </w:t>
      </w:r>
      <w:hyperlink r:id="rId24" w:history="1">
        <w:r>
          <w:rPr>
            <w:rFonts w:ascii="Arial" w:hAnsi="Arial"/>
            <w:color w:val="20577B"/>
            <w:sz w:val="20"/>
          </w:rPr>
          <w:t xml:space="preserve">Buenas prácticas de Sign in with Google</w:t>
        </w:r>
      </w:hyperlink>
      <w:r>
        <w:rPr>
          <w:b w:val="0"/>
          <w:sz w:val="20"/>
        </w:rPr>
        <w:t>. Configuración de marca, cliente y verificación aplicable.</w:t>
      </w:r>
    </w:p>
    <w:p>
      <w:pPr>
        <w:keepLines/>
        <w:spacing w:after="140" w:line="259" w:lineRule="auto"/>
      </w:pPr>
      <w:r>
        <w:rPr>
          <w:b w:val="0"/>
          <w:sz w:val="20"/>
        </w:rPr>
      </w:r>
      <w:hyperlink w:anchor="ref_E06" w:history="1">
        <w:r>
          <w:rPr>
            <w:rFonts w:ascii="Arial" w:hAnsi="Arial"/>
            <w:color w:val="333333"/>
            <w:sz w:val="20"/>
          </w:rPr>
          <w:t xml:space="preserve">E06</w:t>
        </w:r>
      </w:hyperlink>
      <w:r>
        <w:rPr>
          <w:b w:val="0"/>
          <w:sz w:val="20"/>
        </w:rPr>
        <w:t xml:space="preserve">. Google Cloud. </w:t>
      </w:r>
      <w:hyperlink r:id="rId25" w:history="1">
        <w:r>
          <w:rPr>
            <w:rFonts w:ascii="Arial" w:hAnsi="Arial"/>
            <w:color w:val="20577B"/>
            <w:sz w:val="20"/>
          </w:rPr>
          <w:t xml:space="preserve">Identity Platform pricing</w:t>
        </w:r>
      </w:hyperlink>
      <w:r>
        <w:rPr>
          <w:b w:val="0"/>
          <w:sz w:val="20"/>
        </w:rPr>
        <w:t>. Tarifas del servicio gestionado por MAU, separadas del diseño directo propuesto.</w:t>
      </w:r>
    </w:p>
    <w:p>
      <w:pPr>
        <w:keepLines/>
        <w:spacing w:after="140" w:line="259" w:lineRule="auto"/>
      </w:pPr>
      <w:r>
        <w:rPr>
          <w:b w:val="0"/>
          <w:sz w:val="20"/>
        </w:rPr>
      </w:r>
      <w:hyperlink w:anchor="ref_E07" w:history="1">
        <w:r>
          <w:rPr>
            <w:rFonts w:ascii="Arial" w:hAnsi="Arial"/>
            <w:color w:val="333333"/>
            <w:sz w:val="20"/>
          </w:rPr>
          <w:t xml:space="preserve">E07</w:t>
        </w:r>
      </w:hyperlink>
      <w:r>
        <w:rPr>
          <w:b w:val="0"/>
          <w:sz w:val="20"/>
        </w:rPr>
        <w:t xml:space="preserve">. Apple. </w:t>
      </w:r>
      <w:hyperlink r:id="rId26" w:history="1">
        <w:r>
          <w:rPr>
            <w:rFonts w:ascii="Arial" w:hAnsi="Arial"/>
            <w:color w:val="20577B"/>
            <w:sz w:val="20"/>
          </w:rPr>
          <w:t xml:space="preserve">Inscripción al programa de desarrolladores</w:t>
        </w:r>
      </w:hyperlink>
      <w:r>
        <w:rPr>
          <w:b w:val="0"/>
          <w:sz w:val="20"/>
        </w:rPr>
        <w:t>. Membresía de USD 99 al año y variaciones regionales.</w:t>
      </w:r>
    </w:p>
    <w:p>
      <w:pPr>
        <w:keepLines/>
        <w:spacing w:after="140" w:line="259" w:lineRule="auto"/>
      </w:pPr>
      <w:r>
        <w:rPr>
          <w:b w:val="0"/>
          <w:sz w:val="20"/>
        </w:rPr>
      </w:r>
      <w:hyperlink w:anchor="ref_E08" w:history="1">
        <w:r>
          <w:rPr>
            <w:rFonts w:ascii="Arial" w:hAnsi="Arial"/>
            <w:color w:val="333333"/>
            <w:sz w:val="20"/>
          </w:rPr>
          <w:t xml:space="preserve">E08</w:t>
        </w:r>
      </w:hyperlink>
      <w:r>
        <w:rPr>
          <w:b w:val="0"/>
          <w:sz w:val="20"/>
        </w:rPr>
        <w:t xml:space="preserve">. Apple. </w:t>
      </w:r>
      <w:hyperlink r:id="rId27" w:history="1">
        <w:r>
          <w:rPr>
            <w:rFonts w:ascii="Arial" w:hAnsi="Arial"/>
            <w:color w:val="20577B"/>
            <w:sz w:val="20"/>
          </w:rPr>
          <w:t xml:space="preserve">Sign in with Apple para web</w:t>
        </w:r>
      </w:hyperlink>
      <w:r>
        <w:rPr>
          <w:b w:val="0"/>
          <w:sz w:val="20"/>
        </w:rPr>
        <w:t>. Services ID y asociación a un App ID primario.</w:t>
      </w:r>
    </w:p>
    <w:p>
      <w:pPr>
        <w:keepLines/>
        <w:spacing w:after="140" w:line="259" w:lineRule="auto"/>
      </w:pPr>
      <w:r>
        <w:rPr>
          <w:b w:val="0"/>
          <w:sz w:val="20"/>
        </w:rPr>
      </w:r>
      <w:hyperlink w:anchor="ref_E09" w:history="1">
        <w:r>
          <w:rPr>
            <w:rFonts w:ascii="Arial" w:hAnsi="Arial"/>
            <w:color w:val="333333"/>
            <w:sz w:val="20"/>
          </w:rPr>
          <w:t xml:space="preserve">E09</w:t>
        </w:r>
      </w:hyperlink>
      <w:r>
        <w:rPr>
          <w:b w:val="0"/>
          <w:sz w:val="20"/>
        </w:rPr>
        <w:t xml:space="preserve">. GitHub. </w:t>
      </w:r>
      <w:hyperlink r:id="rId28" w:history="1">
        <w:r>
          <w:rPr>
            <w:rFonts w:ascii="Arial" w:hAnsi="Arial"/>
            <w:color w:val="20577B"/>
            <w:sz w:val="20"/>
          </w:rPr>
          <w:t xml:space="preserve">Crear una OAuth app</w:t>
        </w:r>
      </w:hyperlink>
      <w:r>
        <w:rPr>
          <w:b w:val="0"/>
          <w:sz w:val="20"/>
        </w:rPr>
        <w:t>. Registro y configuración de callback.</w:t>
      </w:r>
    </w:p>
    <w:p>
      <w:pPr>
        <w:keepLines/>
        <w:spacing w:after="140" w:line="259" w:lineRule="auto"/>
      </w:pPr>
      <w:r>
        <w:rPr>
          <w:b w:val="0"/>
          <w:sz w:val="20"/>
        </w:rPr>
      </w:r>
      <w:hyperlink w:anchor="ref_E10" w:history="1">
        <w:r>
          <w:rPr>
            <w:rFonts w:ascii="Arial" w:hAnsi="Arial"/>
            <w:color w:val="333333"/>
            <w:sz w:val="20"/>
          </w:rPr>
          <w:t xml:space="preserve">E10</w:t>
        </w:r>
      </w:hyperlink>
      <w:r>
        <w:rPr>
          <w:b w:val="0"/>
          <w:sz w:val="20"/>
        </w:rPr>
        <w:t xml:space="preserve">. Google Workspace. </w:t>
      </w:r>
      <w:hyperlink r:id="rId29" w:history="1">
        <w:r>
          <w:rPr>
            <w:rFonts w:ascii="Arial" w:hAnsi="Arial"/>
            <w:color w:val="20577B"/>
            <w:sz w:val="20"/>
          </w:rPr>
          <w:t xml:space="preserve">Control de aplicaciones con acceso</w:t>
        </w:r>
      </w:hyperlink>
      <w:r>
        <w:rPr>
          <w:b w:val="0"/>
          <w:sz w:val="20"/>
        </w:rPr>
        <w:t>. Restricciones institucionales de aplicaciones externas.</w:t>
      </w:r>
    </w:p>
    <w:p>
      <w:pPr>
        <w:keepLines/>
        <w:spacing w:after="140" w:line="259" w:lineRule="auto"/>
      </w:pPr>
      <w:r>
        <w:rPr>
          <w:b w:val="0"/>
          <w:sz w:val="20"/>
        </w:rPr>
      </w:r>
      <w:hyperlink w:anchor="ref_E11" w:history="1">
        <w:r>
          <w:rPr>
            <w:rFonts w:ascii="Arial" w:hAnsi="Arial"/>
            <w:color w:val="333333"/>
            <w:sz w:val="20"/>
          </w:rPr>
          <w:t xml:space="preserve">E11</w:t>
        </w:r>
      </w:hyperlink>
      <w:r>
        <w:rPr>
          <w:b w:val="0"/>
          <w:sz w:val="20"/>
        </w:rPr>
        <w:t xml:space="preserve">. IETF. </w:t>
      </w:r>
      <w:hyperlink r:id="rId30" w:history="1">
        <w:r>
          <w:rPr>
            <w:rFonts w:ascii="Arial" w:hAnsi="Arial"/>
            <w:color w:val="20577B"/>
            <w:sz w:val="20"/>
          </w:rPr>
          <w:t xml:space="preserve">RFC 9700</w:t>
        </w:r>
      </w:hyperlink>
      <w:r>
        <w:rPr>
          <w:b w:val="0"/>
          <w:sz w:val="20"/>
        </w:rPr>
        <w:t>. Buenas prácticas OAuth, PKCE, rotación, revocación y recomendación de expiración por inactividad. La recuperación idempotente descrita es una propuesta de Playhoot.</w:t>
      </w:r>
    </w:p>
    <w:p>
      <w:pPr>
        <w:keepLines/>
        <w:spacing w:after="140" w:line="259" w:lineRule="auto"/>
      </w:pPr>
      <w:r>
        <w:rPr>
          <w:b w:val="0"/>
          <w:sz w:val="20"/>
        </w:rPr>
      </w:r>
      <w:hyperlink w:anchor="ref_E12" w:history="1">
        <w:r>
          <w:rPr>
            <w:rFonts w:ascii="Arial" w:hAnsi="Arial"/>
            <w:color w:val="333333"/>
            <w:sz w:val="20"/>
          </w:rPr>
          <w:t xml:space="preserve">E12</w:t>
        </w:r>
      </w:hyperlink>
      <w:r>
        <w:rPr>
          <w:b w:val="0"/>
          <w:sz w:val="20"/>
        </w:rPr>
        <w:t xml:space="preserve">. OWASP. </w:t>
      </w:r>
      <w:hyperlink r:id="rId31" w:history="1">
        <w:r>
          <w:rPr>
            <w:rFonts w:ascii="Arial" w:hAnsi="Arial"/>
            <w:color w:val="20577B"/>
            <w:sz w:val="20"/>
          </w:rPr>
          <w:t xml:space="preserve">HTML5 Security Cheat Sheet</w:t>
        </w:r>
      </w:hyperlink>
      <w:r>
        <w:rPr>
          <w:b w:val="0"/>
          <w:sz w:val="20"/>
        </w:rPr>
        <w:t>. Riesgos de credenciales en localStorage, cookies HttpOnly, CORS y necesidad de protección CSRF.</w:t>
      </w:r>
    </w:p>
    <w:sectPr w:rsidR="00FC693F" w:rsidRPr="0006063C" w:rsidSect="00034616">
      <w:footerReference w:type="default" r:id="rId9"/>
      <w:pgSz w:w="12240" w:h="15840"/>
      <w:pgMar w:top="1037" w:right="1152" w:bottom="1037"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8"/>
      </w:rPr>
      <w:t xml:space="preserve">Playhoot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00" w:after="160" w:line="259" w:lineRule="auto"/>
      <w:outlineLvl w:val="0"/>
    </w:pPr>
    <w:rPr>
      <w:rFonts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60" w:line="259" w:lineRule="auto"/>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line="259" w:lineRule="auto"/>
      <w:outlineLvl w:val="2"/>
    </w:pPr>
    <w:rPr>
      <w:rFonts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0" w:lineRule="auto"/>
      <w:contextualSpacing/>
    </w:pPr>
    <w:rPr>
      <w:rFonts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diegobermudez03/playhoot/blob/3608c45b508c0f402bbb82abcbd39ee2a9499da8/identity/docs/decisions/IDENTITY-ADR-0001-identity-user-public-identity-boundary.md" TargetMode="External"/><Relationship Id="rId11" Type="http://schemas.openxmlformats.org/officeDocument/2006/relationships/hyperlink" Target="https://github.com/diegobermudez03/playhoot/blob/3608c45b508c0f402bbb82abcbd39ee2a9499da8/identity/docs/decisions/IDENTITY-ADR-0002-token-renewal-with-rotating-refresh-tokens.md" TargetMode="External"/><Relationship Id="rId12" Type="http://schemas.openxmlformats.org/officeDocument/2006/relationships/hyperlink" Target="https://github.com/diegobermudez03/playhoot/blob/3608c45b508c0f402bbb82abcbd39ee2a9499da8/identity/identity.go" TargetMode="External"/><Relationship Id="rId13" Type="http://schemas.openxmlformats.org/officeDocument/2006/relationships/hyperlink" Target="https://github.com/diegobermudez03/playhoot/blob/3608c45b508c0f402bbb82abcbd39ee2a9499da8/identity/CURRENT_STATE.md" TargetMode="External"/><Relationship Id="rId14" Type="http://schemas.openxmlformats.org/officeDocument/2006/relationships/hyperlink" Target="https://github.com/diegobermudez03/playhoot/blob/3608c45b508c0f402bbb82abcbd39ee2a9499da8/api/identity/create_guest.go" TargetMode="External"/><Relationship Id="rId15" Type="http://schemas.openxmlformats.org/officeDocument/2006/relationships/hyperlink" Target="https://github.com/diegobermudez03/playhoot/blob/3608c45b508c0f402bbb82abcbd39ee2a9499da8/api/internal/auth/auth.go" TargetMode="External"/><Relationship Id="rId16" Type="http://schemas.openxmlformats.org/officeDocument/2006/relationships/hyperlink" Target="https://github.com/diegobermudez03/playhoot_frontend/blob/e3e76d62da8bc2dcec51bf4523d670fd99859787/docs/decisions/architecture/ADR-0009-credential-renewal-in-the-transport.md" TargetMode="External"/><Relationship Id="rId17" Type="http://schemas.openxmlformats.org/officeDocument/2006/relationships/hyperlink" Target="https://github.com/diegobermudez03/playhoot_frontend/blob/e3e76d62da8bc2dcec51bf4523d670fd99859787/packages/app-core/src/appState.ts" TargetMode="External"/><Relationship Id="rId18" Type="http://schemas.openxmlformats.org/officeDocument/2006/relationships/hyperlink" Target="https://github.com/diegobermudez03/playhoot/blob/3608c45b508c0f402bbb82abcbd39ee2a9499da8/docs/engineering/standards/database-constraints.md" TargetMode="External"/><Relationship Id="rId19" Type="http://schemas.openxmlformats.org/officeDocument/2006/relationships/hyperlink" Target="https://github.com/diegobermudez03/playhoot/blob/3608c45b508c0f402bbb82abcbd39ee2a9499da8/docs/engineering/standards/idempotency.md" TargetMode="External"/><Relationship Id="rId20" Type="http://schemas.openxmlformats.org/officeDocument/2006/relationships/hyperlink" Target="https://developers.google.com/identity/openid-connect/openid-connect?hl=en" TargetMode="External"/><Relationship Id="rId21" Type="http://schemas.openxmlformats.org/officeDocument/2006/relationships/hyperlink" Target="https://accounts.google.com/.well-known/openid-configuration" TargetMode="External"/><Relationship Id="rId22" Type="http://schemas.openxmlformats.org/officeDocument/2006/relationships/hyperlink" Target="https://developers.google.com/identity/gsi/web/guides/verify-google-id-token" TargetMode="External"/><Relationship Id="rId23" Type="http://schemas.openxmlformats.org/officeDocument/2006/relationships/hyperlink" Target="https://codelabs.developers.google.com/codelabs/sign-in-with-google-button" TargetMode="External"/><Relationship Id="rId24" Type="http://schemas.openxmlformats.org/officeDocument/2006/relationships/hyperlink" Target="https://developers.google.com/identity/siwg/best-practices" TargetMode="External"/><Relationship Id="rId25" Type="http://schemas.openxmlformats.org/officeDocument/2006/relationships/hyperlink" Target="https://cloud.google.com/identity-platform/pricing" TargetMode="External"/><Relationship Id="rId26" Type="http://schemas.openxmlformats.org/officeDocument/2006/relationships/hyperlink" Target="https://developer.apple.com/help/account/membership/program-enrollment/" TargetMode="External"/><Relationship Id="rId27" Type="http://schemas.openxmlformats.org/officeDocument/2006/relationships/hyperlink" Target="https://developer.apple.com/help/account/capabilities/configure-sign-in-with-apple-for-the-web" TargetMode="External"/><Relationship Id="rId28" Type="http://schemas.openxmlformats.org/officeDocument/2006/relationships/hyperlink" Target="https://docs.github.com/en/apps/oauth-apps/building-oauth-apps/creating-an-oauth-app" TargetMode="External"/><Relationship Id="rId29" Type="http://schemas.openxmlformats.org/officeDocument/2006/relationships/hyperlink" Target="https://knowledge.workspace.google.com/admin/apps/control-which-apps-access-google-workspace-data?hl=en" TargetMode="External"/><Relationship Id="rId30" Type="http://schemas.openxmlformats.org/officeDocument/2006/relationships/hyperlink" Target="https://datatracker.ietf.org/doc/html/rfc9700" TargetMode="External"/><Relationship Id="rId31" Type="http://schemas.openxmlformats.org/officeDocument/2006/relationships/hyperlink" Target="https://cheatsheetseries.owasp.org/cheatsheets/HTML5_Security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Playhoot Plan de identidad básica</dc:title>
  <dc:subject>Autenticación y autorización para invitados y cuentas</dc:subject>
  <dc:creator>Playhoot</dc:creator>
  <cp:keywords>Playhoot, identidad, autenticación, autorización, Google, tokens</cp:keywords>
  <dc:description>generated by python-docx</dc:description>
  <cp:lastModifiedBy/>
  <cp:revision>1</cp:revision>
  <dcterms:created xsi:type="dcterms:W3CDTF">2013-12-23T23:15:00Z</dcterms:created>
  <dcterms:modified xsi:type="dcterms:W3CDTF">2013-12-23T23:15:00Z</dcterms:modified>
  <cp:category/>
</cp:coreProperties>
</file>