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i w:val="false"/>
          <w:iCs w:val="false"/>
          <w:sz w:val="24"/>
          <w:szCs w:val="24"/>
        </w:rPr>
        <w:t xml:space="preserve">Universidad Mariano Gálvez de Guatemala</w:t>
      </w:r>
    </w:p>
    <w:p>
      <w:pPr>
        <w:spacing w:after="0" w:line="240"/>
        <w:jc w:val="center"/>
      </w:pPr>
      <w:r>
        <w:rPr>
          <w:rFonts w:ascii="Times New Roman" w:cs="Times New Roman" w:eastAsia="Times New Roman" w:hAnsi="Times New Roman"/>
          <w:b w:val="false"/>
          <w:bCs w:val="false"/>
          <w:i w:val="false"/>
          <w:iCs w:val="false"/>
          <w:sz w:val="24"/>
          <w:szCs w:val="24"/>
        </w:rPr>
        <w:t xml:space="preserve">Centro Universitario El Naranjo, Mixco</w:t>
      </w:r>
    </w:p>
    <w:p>
      <w:pPr>
        <w:spacing w:after="0" w:line="240"/>
        <w:jc w:val="center"/>
      </w:pPr>
      <w:r>
        <w:rPr>
          <w:rFonts w:ascii="Times New Roman" w:cs="Times New Roman" w:eastAsia="Times New Roman" w:hAnsi="Times New Roman"/>
          <w:b w:val="false"/>
          <w:bCs w:val="false"/>
          <w:i w:val="false"/>
          <w:iCs w:val="false"/>
          <w:sz w:val="24"/>
          <w:szCs w:val="24"/>
        </w:rPr>
        <w:t xml:space="preserve">Facultad de Ingeniería en Sistemas de Información</w:t>
      </w:r>
    </w:p>
    <w:p>
      <w:pPr>
        <w:spacing w:after="0" w:line="240"/>
        <w:jc w:val="center"/>
      </w:pPr>
      <w:r>
        <w:rPr>
          <w:rFonts w:ascii="Times New Roman" w:cs="Times New Roman" w:eastAsia="Times New Roman" w:hAnsi="Times New Roman"/>
          <w:b w:val="false"/>
          <w:bCs w:val="false"/>
          <w:i w:val="false"/>
          <w:iCs w:val="false"/>
          <w:sz w:val="24"/>
          <w:szCs w:val="24"/>
        </w:rPr>
        <w:t xml:space="preserve">Ingeniería en Ciencias y Sistemas</w:t>
      </w:r>
    </w:p>
    <w:p>
      <w:pPr>
        <w:spacing w:after="0" w:line="240"/>
        <w:jc w:val="center"/>
      </w:pPr>
      <w:r>
        <w:rPr>
          <w:rFonts w:ascii="Times New Roman" w:cs="Times New Roman" w:eastAsia="Times New Roman" w:hAnsi="Times New Roman"/>
          <w:b w:val="false"/>
          <w:bCs w:val="false"/>
          <w:i w:val="false"/>
          <w:iCs w:val="false"/>
          <w:sz w:val="24"/>
          <w:szCs w:val="24"/>
        </w:rPr>
        <w:t xml:space="preserve">Seguridad y Auditoría de Sistemas</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i w:val="false"/>
          <w:iCs w:val="false"/>
          <w:sz w:val="24"/>
          <w:szCs w:val="24"/>
        </w:rPr>
        <w:t xml:space="preserve">SEGUNDO ENTREGABLE DEL PROYECTO DE CURSO</w:t>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i w:val="false"/>
          <w:iCs w:val="false"/>
          <w:sz w:val="28"/>
          <w:szCs w:val="28"/>
        </w:rPr>
        <w:t xml:space="preserve">MarketGT: Plataforma de Comercio Electrónico</w:t>
      </w:r>
    </w:p>
    <w:p>
      <w:pPr>
        <w:spacing w:after="0" w:line="240"/>
        <w:jc w:val="center"/>
      </w:pPr>
      <w:r>
        <w:rPr>
          <w:rFonts w:ascii="Times New Roman" w:cs="Times New Roman" w:eastAsia="Times New Roman" w:hAnsi="Times New Roman"/>
          <w:b/>
          <w:bCs/>
          <w:i w:val="false"/>
          <w:iCs w:val="false"/>
          <w:sz w:val="28"/>
          <w:szCs w:val="28"/>
        </w:rPr>
        <w:t xml:space="preserve">con Seguridad Gestionada para la Pequeña Empresa</w:t>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val="false"/>
          <w:bCs w:val="false"/>
          <w:i/>
          <w:iCs/>
          <w:sz w:val="22"/>
          <w:szCs w:val="22"/>
        </w:rPr>
        <w:t xml:space="preserve">Modelo de negocio, problema de seguridad, solución tecnológica</w:t>
      </w:r>
    </w:p>
    <w:p>
      <w:pPr>
        <w:spacing w:after="0" w:line="240"/>
        <w:jc w:val="center"/>
      </w:pPr>
      <w:r>
        <w:rPr>
          <w:rFonts w:ascii="Times New Roman" w:cs="Times New Roman" w:eastAsia="Times New Roman" w:hAnsi="Times New Roman"/>
          <w:b w:val="false"/>
          <w:bCs w:val="false"/>
          <w:i/>
          <w:iCs/>
          <w:sz w:val="22"/>
          <w:szCs w:val="22"/>
        </w:rPr>
        <w:t xml:space="preserve">e implementación de estándares</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i w:val="false"/>
          <w:iCs w:val="false"/>
          <w:sz w:val="24"/>
          <w:szCs w:val="24"/>
        </w:rPr>
        <w:t xml:space="preserve">Integrantes</w:t>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val="false"/>
          <w:bCs w:val="false"/>
          <w:i w:val="false"/>
          <w:iCs w:val="false"/>
          <w:sz w:val="24"/>
          <w:szCs w:val="24"/>
        </w:rPr>
        <w:t xml:space="preserve">Diego Antonio Beteta García — 9490-22-12878</w:t>
      </w:r>
    </w:p>
    <w:p>
      <w:pPr>
        <w:spacing w:after="0" w:line="240"/>
        <w:jc w:val="center"/>
      </w:pPr>
      <w:r>
        <w:rPr>
          <w:rFonts w:ascii="Times New Roman" w:cs="Times New Roman" w:eastAsia="Times New Roman" w:hAnsi="Times New Roman"/>
          <w:b w:val="false"/>
          <w:bCs w:val="false"/>
          <w:i w:val="false"/>
          <w:iCs w:val="false"/>
          <w:sz w:val="24"/>
          <w:szCs w:val="24"/>
        </w:rPr>
        <w:t xml:space="preserve">Jonathan Rogelio Herrera Soto — 9490-22-11551</w:t>
      </w:r>
    </w:p>
    <w:p>
      <w:pPr>
        <w:spacing w:after="0" w:line="240"/>
        <w:jc w:val="center"/>
      </w:pPr>
      <w:r>
        <w:rPr>
          <w:rFonts w:ascii="Times New Roman" w:cs="Times New Roman" w:eastAsia="Times New Roman" w:hAnsi="Times New Roman"/>
          <w:b w:val="false"/>
          <w:bCs w:val="false"/>
          <w:i w:val="false"/>
          <w:iCs w:val="false"/>
          <w:sz w:val="24"/>
          <w:szCs w:val="24"/>
        </w:rPr>
        <w:t xml:space="preserve">Mario Roberto Rompich Yoc — 9490-17-1752</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val="false"/>
          <w:bCs w:val="false"/>
          <w:i w:val="false"/>
          <w:iCs w:val="false"/>
          <w:sz w:val="24"/>
          <w:szCs w:val="24"/>
        </w:rPr>
        <w:t xml:space="preserve">Guatemala, 26 de septiembre de 2026</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Introducción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presente documento constituye el segundo entregable del proyecto de curso y desarrolla cuatro aspectos de la propuesta: el modelo de negocio con su segmento de mercado, el problema de seguridad que la solución atiende tanto en el plano de los sistemas físicos y lógicos como en el de la información, la solución tecnológica adoptada, y la implementación de los estándares y buenas prácticas que la rigen.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 diferencia del primer entregable, que planteaba la propuesta en términos de diseño, este documento describe una plataforma que fue efectivamente construida y desplegada en un entorno público accesible. Las afirmaciones que siguen pueden verificarse sobre ese entorno, y a lo largo del texto se indican los puntos donde esa verificación es posible.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incorpora además un caso real. Durante su desarrollo, uno de los integrantes identificó que el sitio corporativo de la empresa donde labora presentaba un envenenamiento de posicionamiento en buscadores, un ataque que ninguna de las plataformas de comercio electrónico consultadas contempla entre sus controles. Ese hallazgo orientó una parte sustantiva de la solución y se documenta en la sección correspondiente.</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1. Modelo de Negocio</w:t>
      </w:r>
    </w:p>
    <w:p>
      <w:pPr>
        <w:pStyle w:val="Heading2"/>
        <w:spacing w:after="160" w:before="280" w:line="480"/>
      </w:pPr>
      <w:r>
        <w:rPr>
          <w:rFonts w:ascii="Times New Roman" w:cs="Times New Roman" w:eastAsia="Times New Roman" w:hAnsi="Times New Roman"/>
          <w:b/>
          <w:bCs/>
          <w:sz w:val="24"/>
          <w:szCs w:val="24"/>
        </w:rPr>
        <w:t xml:space="preserve">1.1 Descripción general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MarketGT es una plataforma de comercio electrónico ofrecida bajo el modelo de software como servicio. El comerciante no adquiere licencias, no administra infraestructura y no contrata personal técnico: contrata un servicio mensual que incluye la tienda en línea y, de forma indisociable, los controles de seguridad que la protegen.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propuesta de valor no es la tienda. Existen numerosas plataformas que resuelven el catálogo, el carrito y el proceso de compra, y varias lo hacen mejor. La propuesta de valor es que la seguridad deje de ser una responsabilidad del comerciante, porque el segmento al que se dirige la plataforma carece por completo de la capacidad de asumirla.</w:t>
      </w:r>
    </w:p>
    <w:p>
      <w:pPr>
        <w:pStyle w:val="Heading2"/>
        <w:spacing w:after="160" w:before="280" w:line="480"/>
      </w:pPr>
      <w:r>
        <w:rPr>
          <w:rFonts w:ascii="Times New Roman" w:cs="Times New Roman" w:eastAsia="Times New Roman" w:hAnsi="Times New Roman"/>
          <w:b/>
          <w:bCs/>
          <w:sz w:val="24"/>
          <w:szCs w:val="24"/>
        </w:rPr>
        <w:t xml:space="preserve">1.2 Segmento de mercado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segmento se define con precisión deliberada, dado que la viabilidad de la propuesta depende de atender a quien no puede resolver el problema por su cuenta:</w:t>
      </w:r>
    </w:p>
    <w:p>
      <w:pPr>
        <w:spacing w:before="240" w:line="240"/>
      </w:pPr>
      <w:r>
        <w:rPr>
          <w:rFonts w:ascii="Times New Roman" w:cs="Times New Roman" w:eastAsia="Times New Roman" w:hAnsi="Times New Roman"/>
          <w:b/>
          <w:bCs/>
          <w:sz w:val="22"/>
          <w:szCs w:val="22"/>
        </w:rPr>
        <w:t xml:space="preserve">Tabla 1</w:t>
      </w:r>
    </w:p>
    <w:p>
      <w:pPr>
        <w:spacing w:after="120" w:line="240"/>
      </w:pPr>
      <w:r>
        <w:rPr>
          <w:rFonts w:ascii="Times New Roman" w:cs="Times New Roman" w:eastAsia="Times New Roman" w:hAnsi="Times New Roman"/>
          <w:i/>
          <w:iCs/>
          <w:sz w:val="22"/>
          <w:szCs w:val="22"/>
        </w:rPr>
        <w:t xml:space="preserve">Definición del segmento objetivo</w:t>
      </w:r>
    </w:p>
    <w:tbl>
      <w:tblPr>
        <w:tblW w:type="pct" w:w="100%"/>
        <w:tblBorders>
          <w:top w:val="single" w:sz="6"/>
          <w:left w:val="none"/>
          <w:bottom w:val="single" w:sz="6"/>
          <w:right w:val="none"/>
          <w:insideH w:val="single" w:color="BBBBBB" w:sz="2"/>
          <w:insideV w:val="none"/>
        </w:tblBorders>
      </w:tblPr>
      <w:tblGrid>
        <w:gridCol w:w="100"/>
        <w:gridCol w:w="100"/>
      </w:tblGrid>
      <w:tr>
        <w:trPr>
          <w:tblHeader/>
        </w:trPr>
        <w:tc>
          <w:tcPr>
            <w:tcW w:type="pct" w:w="30%"/>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Dimensión</w:t>
            </w:r>
          </w:p>
        </w:tc>
        <w:tc>
          <w:tcPr>
            <w:tcW w:type="pct" w:w="70%"/>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Definición</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Tipo de organización</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Pequeña y mediana empresa formalmente constituida</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Tamaño</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Entre uno y veinte empleados</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Ubicación</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República de Guatemala, con énfasis en área metropolitana y cabeceras departamentales</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Canal actual de venta</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Redes sociales y mensajería instantánea, sin tienda propia</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Personal técnico</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Ninguno dedicado a tecnología o seguridad</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Presupuesto mensual de tecnología</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Inferior a mil quetzales</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Facturación</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Obligada al régimen de factura electrónica en línea</w:t>
            </w:r>
          </w:p>
        </w:tc>
      </w:tr>
      <w:tr>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Medio de pago predominante</w:t>
            </w:r>
          </w:p>
        </w:tc>
        <w:tc>
          <w:tcPr>
            <w:tcW w:type="pct" w:w="7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Transferencia, depósito y pago contra entrega</w:t>
            </w:r>
          </w:p>
        </w:tc>
      </w:tr>
    </w:tbl>
    <w:p>
      <w:pPr>
        <w:spacing w:after="240" w:before="10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segmento se acota por capacidad de respuesta ante un incidente y no por volumen de ventas, porque es esa capacidad la que determina la necesidad que la plataforma atiende.</w:t>
      </w:r>
    </w:p>
    <w:p>
      <w:pPr>
        <w:pStyle w:val="Heading2"/>
        <w:spacing w:after="160" w:before="280" w:line="480"/>
      </w:pPr>
      <w:r>
        <w:rPr>
          <w:rFonts w:ascii="Times New Roman" w:cs="Times New Roman" w:eastAsia="Times New Roman" w:hAnsi="Times New Roman"/>
          <w:b/>
          <w:bCs/>
          <w:sz w:val="24"/>
          <w:szCs w:val="24"/>
        </w:rPr>
        <w:t xml:space="preserve">1.3 Por qué este segmento y no otro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Tres razones sostienen la elección. La primera es de exposición: una organización de este tamaño publica una aplicación en Internet con la misma superficie de ataque que una grande, pero sin ninguna de sus capacidades defensivas. La segunda es de incentivo: una plataforma internacional cobra en divisa extranjera más una comisión por transacción, lo que introduce exposición cambiaria mensual en un negocio de márgenes estrechos. La tercera es de cumplimiento: los requisitos de facturación electrónica y las obligaciones sobre datos personales aplican con independencia del tamaño, y una plataforma extranjera no los contempla.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segmento resulta así definido por una asimetría concreta: enfrenta las mismas amenazas que una empresa grande, con una fracción de sus recursos y ninguna de sus capacidades.</w:t>
      </w:r>
    </w:p>
    <w:p>
      <w:pPr>
        <w:pStyle w:val="Heading2"/>
        <w:spacing w:after="160" w:before="280" w:line="480"/>
      </w:pPr>
      <w:r>
        <w:rPr>
          <w:rFonts w:ascii="Times New Roman" w:cs="Times New Roman" w:eastAsia="Times New Roman" w:hAnsi="Times New Roman"/>
          <w:b/>
          <w:bCs/>
          <w:sz w:val="24"/>
          <w:szCs w:val="24"/>
        </w:rPr>
        <w:t xml:space="preserve">1.4 Misión, visión y objetivos</w:t>
      </w:r>
    </w:p>
    <w:p>
      <w:pPr>
        <w:spacing w:after="0" w:line="480"/>
        <w:jc w:val="both"/>
      </w:pPr>
      <w:r>
        <w:rPr>
          <w:rFonts w:ascii="Times New Roman" w:cs="Times New Roman" w:eastAsia="Times New Roman" w:hAnsi="Times New Roman"/>
          <w:b w:val="false"/>
          <w:bCs w:val="false"/>
          <w:i w:val="false"/>
          <w:iCs w:val="false"/>
          <w:sz w:val="24"/>
          <w:szCs w:val="24"/>
        </w:rPr>
        <w:t xml:space="preserve">Misión. Permitir que una pequeña empresa guatemalteca venda en línea sin necesidad de adquirir competencias en seguridad informática, trasladando esa responsabilidad a la plataforma.</w:t>
      </w:r>
    </w:p>
    <w:p>
      <w:pPr>
        <w:spacing w:after="0" w:line="480"/>
        <w:jc w:val="both"/>
      </w:pPr>
      <w:r>
        <w:rPr>
          <w:rFonts w:ascii="Times New Roman" w:cs="Times New Roman" w:eastAsia="Times New Roman" w:hAnsi="Times New Roman"/>
          <w:b w:val="false"/>
          <w:bCs w:val="false"/>
          <w:i w:val="false"/>
          <w:iCs w:val="false"/>
          <w:sz w:val="24"/>
          <w:szCs w:val="24"/>
        </w:rPr>
        <w:t xml:space="preserve">Visión. Constituirse en la plataforma de referencia del mercado regional para el comercio electrónico de pequeña escala, distinguida por la verificabilidad de sus controles antes que por la extensión de sus funciones.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objetivos que rigen la operación son cuatro: sostener la continuidad del servicio frente a interrupciones, mitigar las vulnerabilidades de la capa de aplicación, proteger las credenciales y la información de pago de los clientes del comerciante, y sostener la mejora continua mediante auditoría periódica de los controles implementados.</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2. Problema de Seguridad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problema se analiza en los dos planos que solicita el enunciado: el de los sistemas, comprendiendo sus componentes físicos y lógicos, y el de la información que esos sistemas custodian.</w:t>
      </w:r>
    </w:p>
    <w:p>
      <w:pPr>
        <w:pStyle w:val="Heading2"/>
        <w:spacing w:after="160" w:before="280" w:line="480"/>
      </w:pPr>
      <w:r>
        <w:rPr>
          <w:rFonts w:ascii="Times New Roman" w:cs="Times New Roman" w:eastAsia="Times New Roman" w:hAnsi="Times New Roman"/>
          <w:b/>
          <w:bCs/>
          <w:sz w:val="24"/>
          <w:szCs w:val="24"/>
        </w:rPr>
        <w:t xml:space="preserve">2.1 Plano de los sistemas: componentes físicos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plataforma opera sobre infraestructura virtualizada contratada a un proveedor de nube, de modo que el equipo del proyecto no ejerce control físico sobre el equipamiento. Esta circunstancia desplaza el perímetro de seguridad: el punto de exposición deja de ser una instalación con control de acceso físico y pasa a ser la interfaz de red publicada en Internet.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amenazas relevantes en este plano son la exposición de servicios que no deberían ser alcanzables desde el exterior, el acceso remoto no autorizado al sistema operativo, y la indisponibilidad por agotamiento de los recursos de cómputo. Conviene señalar que la responsabilidad sobre la seguridad física del equipamiento corresponde al proveedor de infraestructura, mientras que la configuración del sistema operativo y de los servicios expuestos corresponde íntegramente al equipo del proyecto.</w:t>
      </w:r>
    </w:p>
    <w:p>
      <w:pPr>
        <w:pStyle w:val="Heading2"/>
        <w:spacing w:after="160" w:before="280" w:line="480"/>
      </w:pPr>
      <w:r>
        <w:rPr>
          <w:rFonts w:ascii="Times New Roman" w:cs="Times New Roman" w:eastAsia="Times New Roman" w:hAnsi="Times New Roman"/>
          <w:b/>
          <w:bCs/>
          <w:sz w:val="24"/>
          <w:szCs w:val="24"/>
        </w:rPr>
        <w:t xml:space="preserve">2.2 Plano de los sistemas: componentes lógicos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superficie de ataque de mayor exposición es la aplicación web, accesible de forma permanente y sin autenticación previa en su catálogo público. Los datos de la infografía de vulnerabilidades analizada en el curso permiten ordenar las amenazas por frecuencia observada:</w:t>
      </w:r>
    </w:p>
    <w:p>
      <w:pPr>
        <w:spacing w:before="240" w:line="240"/>
      </w:pPr>
      <w:r>
        <w:rPr>
          <w:rFonts w:ascii="Times New Roman" w:cs="Times New Roman" w:eastAsia="Times New Roman" w:hAnsi="Times New Roman"/>
          <w:b/>
          <w:bCs/>
          <w:sz w:val="22"/>
          <w:szCs w:val="22"/>
        </w:rPr>
        <w:t xml:space="preserve">Tabla 2</w:t>
      </w:r>
    </w:p>
    <w:p>
      <w:pPr>
        <w:spacing w:after="120" w:line="240"/>
      </w:pPr>
      <w:r>
        <w:rPr>
          <w:rFonts w:ascii="Times New Roman" w:cs="Times New Roman" w:eastAsia="Times New Roman" w:hAnsi="Times New Roman"/>
          <w:i/>
          <w:iCs/>
          <w:sz w:val="22"/>
          <w:szCs w:val="22"/>
        </w:rPr>
        <w:t xml:space="preserve">Amenazas de la capa de aplicación ordenadas por frecuencia</w:t>
      </w:r>
    </w:p>
    <w:tbl>
      <w:tblPr>
        <w:tblW w:type="pct" w:w="100%"/>
        <w:tblBorders>
          <w:top w:val="single" w:sz="6"/>
          <w:left w:val="none"/>
          <w:bottom w:val="single" w:sz="6"/>
          <w:right w:val="none"/>
          <w:insideH w:val="single" w:color="BBBBBB" w:sz="2"/>
          <w:insideV w:val="none"/>
        </w:tblBorders>
      </w:tblPr>
      <w:tblGrid>
        <w:gridCol w:w="100"/>
        <w:gridCol w:w="100"/>
        <w:gridCol w:w="100"/>
        <w:gridCol w:w="100"/>
      </w:tblGrid>
      <w:tr>
        <w:trPr>
          <w:tblHeader/>
        </w:trPr>
        <w:tc>
          <w:tcPr>
            <w:tcW w:type="pct" w:w="24%"/>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Amenaza</w:t>
            </w:r>
          </w:p>
        </w:tc>
        <w:tc>
          <w:tcPr>
            <w:tcW w:type="pct" w:w="13%"/>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Frecuencia</w:t>
            </w:r>
          </w:p>
        </w:tc>
        <w:tc>
          <w:tcPr>
            <w:tcW w:type="pct" w:w="33%"/>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Categoría OWASP Top 10:2025</w:t>
            </w:r>
          </w:p>
        </w:tc>
        <w:tc>
          <w:tcPr>
            <w:tcW w:type="pct" w:w="30%"/>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Consecuencia</w:t>
            </w:r>
          </w:p>
        </w:tc>
      </w:tr>
      <w:tr>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Cross-Site Scripting</w:t>
            </w:r>
          </w:p>
        </w:tc>
        <w:tc>
          <w:tcPr>
            <w:tcW w:type="pct" w:w="1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14.69 %</w:t>
            </w:r>
          </w:p>
        </w:tc>
        <w:tc>
          <w:tcPr>
            <w:tcW w:type="pct" w:w="3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A05:2025 Inyección</w:t>
            </w:r>
          </w:p>
        </w:tc>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Secuestro de sesión e inyección de contenido</w:t>
            </w:r>
          </w:p>
        </w:tc>
      </w:tr>
      <w:tr>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Componentes vulnerables</w:t>
            </w:r>
          </w:p>
        </w:tc>
        <w:tc>
          <w:tcPr>
            <w:tcW w:type="pct" w:w="1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12.36 %</w:t>
            </w:r>
          </w:p>
        </w:tc>
        <w:tc>
          <w:tcPr>
            <w:tcW w:type="pct" w:w="3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A03:2025 Cadena de suministro</w:t>
            </w:r>
          </w:p>
        </w:tc>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Ejecución remota mediante dependencias</w:t>
            </w:r>
          </w:p>
        </w:tc>
      </w:tr>
      <w:tr>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Autenticación débil</w:t>
            </w:r>
          </w:p>
        </w:tc>
        <w:tc>
          <w:tcPr>
            <w:tcW w:type="pct" w:w="1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9.25 %</w:t>
            </w:r>
          </w:p>
        </w:tc>
        <w:tc>
          <w:tcPr>
            <w:tcW w:type="pct" w:w="3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A07:2025 Fallas de autenticación</w:t>
            </w:r>
          </w:p>
        </w:tc>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Suplantación de cuentas</w:t>
            </w:r>
          </w:p>
        </w:tc>
      </w:tr>
      <w:tr>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Inyección SQL</w:t>
            </w:r>
          </w:p>
        </w:tc>
        <w:tc>
          <w:tcPr>
            <w:tcW w:type="pct" w:w="1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5.55 %</w:t>
            </w:r>
          </w:p>
        </w:tc>
        <w:tc>
          <w:tcPr>
            <w:tcW w:type="pct" w:w="3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A05:2025 Inyección</w:t>
            </w:r>
          </w:p>
        </w:tc>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Extracción de la base de datos</w:t>
            </w:r>
          </w:p>
        </w:tc>
      </w:tr>
      <w:tr>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Configuración insegura</w:t>
            </w:r>
          </w:p>
        </w:tc>
        <w:tc>
          <w:tcPr>
            <w:tcW w:type="pct" w:w="1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No cuantificada</w:t>
            </w:r>
          </w:p>
        </w:tc>
        <w:tc>
          <w:tcPr>
            <w:tcW w:type="pct" w:w="33%"/>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A02:2025 Configuración incorrecta</w:t>
            </w:r>
          </w:p>
        </w:tc>
        <w:tc>
          <w:tcPr>
            <w:tcW w:type="pct" w:w="3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Exposición de servicios y datos</w:t>
            </w:r>
          </w:p>
        </w:tc>
      </w:tr>
    </w:tbl>
    <w:p>
      <w:pPr>
        <w:spacing w:after="240" w:before="10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porcentajes proceden de la infografía de vulnerabilidades web analizada en el curso. La correspondencia con las categorías vigentes se establece a partir de la clasificación publicada por la Fundación OWASP para 2025, en la que las secuencias de comandos en sitios cruzados quedaron consolidadas dentro de la categoría de inyección.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 estas amenazas se suma una que la literatura de comercio electrónico rara vez contempla y que este proyecto incorpora a partir de un caso observado: la manipulación del posicionamiento en buscadores.</w:t>
      </w:r>
    </w:p>
    <w:p>
      <w:pPr>
        <w:pStyle w:val="Heading2"/>
        <w:spacing w:after="160" w:before="280" w:line="480"/>
      </w:pPr>
      <w:r>
        <w:rPr>
          <w:rFonts w:ascii="Times New Roman" w:cs="Times New Roman" w:eastAsia="Times New Roman" w:hAnsi="Times New Roman"/>
          <w:b/>
          <w:bCs/>
          <w:sz w:val="24"/>
          <w:szCs w:val="24"/>
        </w:rPr>
        <w:t xml:space="preserve">2.3 Caso observado: envenenamiento de posicionamiento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Durante el desarrollo del proyecto se identificó que el sitio corporativo de una empresa guatemalteca dedicada a la comercialización e instalación de sistemas de videovigilancia presentaba un patrón anómalo en su consola de resultados de búsqueda. El dominio se mostraba en los resultados del buscador para consultas que no guardaban relación alguna con su actividad comercial.</w:t>
      </w:r>
    </w:p>
    <w:p>
      <w:pPr>
        <w:spacing w:before="240" w:line="240"/>
      </w:pPr>
      <w:r>
        <w:rPr>
          <w:rFonts w:ascii="Times New Roman" w:cs="Times New Roman" w:eastAsia="Times New Roman" w:hAnsi="Times New Roman"/>
          <w:b/>
          <w:bCs/>
          <w:sz w:val="22"/>
          <w:szCs w:val="22"/>
        </w:rPr>
        <w:t xml:space="preserve">Tabla 3</w:t>
      </w:r>
    </w:p>
    <w:p>
      <w:pPr>
        <w:spacing w:after="120" w:line="240"/>
      </w:pPr>
      <w:r>
        <w:rPr>
          <w:rFonts w:ascii="Times New Roman" w:cs="Times New Roman" w:eastAsia="Times New Roman" w:hAnsi="Times New Roman"/>
          <w:i/>
          <w:iCs/>
          <w:sz w:val="22"/>
          <w:szCs w:val="22"/>
        </w:rPr>
        <w:t xml:space="preserve">Consultas observadas en la consola de búsqueda del caso analizado</w:t>
      </w:r>
    </w:p>
    <w:tbl>
      <w:tblPr>
        <w:tblW w:type="pct" w:w="100%"/>
        <w:tblBorders>
          <w:top w:val="single" w:sz="6"/>
          <w:left w:val="none"/>
          <w:bottom w:val="single" w:sz="6"/>
          <w:right w:val="none"/>
          <w:insideH w:val="single" w:color="BBBBBB" w:sz="2"/>
          <w:insideV w:val="none"/>
        </w:tblBorders>
      </w:tblPr>
      <w:tblGrid>
        <w:gridCol w:w="100"/>
        <w:gridCol w:w="100"/>
        <w:gridCol w:w="100"/>
        <w:gridCol w:w="100"/>
      </w:tblGrid>
      <w:tr>
        <w:trPr>
          <w:tblHeader/>
        </w:trPr>
        <w:tc>
          <w:tcPr>
            <w:tcW w:type="pct" w:w="3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Consulta</w:t>
            </w:r>
          </w:p>
        </w:tc>
        <w:tc>
          <w:tcPr>
            <w:tcW w:type="pct" w:w="16%"/>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Impresiones</w:t>
            </w:r>
          </w:p>
        </w:tc>
        <w:tc>
          <w:tcPr>
            <w:tcW w:type="pct" w:w="12%"/>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Clics</w:t>
            </w:r>
          </w:p>
        </w:tc>
        <w:tc>
          <w:tcPr>
            <w:tcW w:type="pct" w:w="34%"/>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Relación con el negocio</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cámaras de seguridad guatemala</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Legítima</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mantenimiento de cámaras de seguridad</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Legítima</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p9bet login</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45</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0</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Ninguna: marca de apuestas</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0016bet</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13</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0</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Ninguna: marca de apuestas</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96n.com</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11</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Ninguna: dominio de terceros</w:t>
            </w:r>
          </w:p>
        </w:tc>
      </w:tr>
      <w:tr>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kmj888</w:t>
            </w:r>
          </w:p>
        </w:tc>
        <w:tc>
          <w:tcPr>
            <w:tcW w:type="pct" w:w="1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10</w:t>
            </w:r>
          </w:p>
        </w:tc>
        <w:tc>
          <w:tcPr>
            <w:tcW w:type="pct" w:w="1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0</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Ninguna: marca de apuestas</w:t>
            </w:r>
          </w:p>
        </w:tc>
      </w:tr>
    </w:tbl>
    <w:p>
      <w:pPr>
        <w:spacing w:after="240" w:before="10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dominio se omite por tratarse de una empresa real cuyo sitio permanece comprometido. La desproporción entre impresiones y clics constituye la señal diagnóstica: quien busca una marca de apuestas y encuentra una empresa de videovigilancia no selecciona el resultado, de manera que el buscador está mostrando el dominio por contenido que no le pertenece.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mecanismo del ataque consiste en alojar contenido ajeno en un dominio con reputación establecida, de modo que el atacante aprovecha esa reputación para posicionar sus propios sitios. Su gravedad para una pequeña empresa es considerable y de naturaleza distinta a la de una filtración de datos: el posicionamiento en buscadores representa años de construcción y constituye con frecuencia el principal canal de captación, mientras que su recuperación tras una penalización se mide en meses.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característica que vuelve este ataque particularmente insidioso es que resulta invisible para el propietario del sitio. El atacante puede servir contenido diferenciado según quién realice la petición, de manera que el responsable navega su sitio sin advertir anomalía alguna mientras el buscador indexa contenido distinto.</w:t>
      </w:r>
    </w:p>
    <w:p>
      <w:pPr>
        <w:pStyle w:val="Heading2"/>
        <w:spacing w:after="160" w:before="280" w:line="480"/>
      </w:pPr>
      <w:r>
        <w:rPr>
          <w:rFonts w:ascii="Times New Roman" w:cs="Times New Roman" w:eastAsia="Times New Roman" w:hAnsi="Times New Roman"/>
          <w:b/>
          <w:bCs/>
          <w:sz w:val="24"/>
          <w:szCs w:val="24"/>
        </w:rPr>
        <w:t xml:space="preserve">2.4 Plano de la información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información que la plataforma custodia se clasifica en tres categorías según el impacto de su divulgación no autorizada:</w:t>
      </w:r>
    </w:p>
    <w:p>
      <w:pPr>
        <w:spacing w:before="240" w:line="240"/>
      </w:pPr>
      <w:r>
        <w:rPr>
          <w:rFonts w:ascii="Times New Roman" w:cs="Times New Roman" w:eastAsia="Times New Roman" w:hAnsi="Times New Roman"/>
          <w:b/>
          <w:bCs/>
          <w:sz w:val="22"/>
          <w:szCs w:val="22"/>
        </w:rPr>
        <w:t xml:space="preserve">Tabla 4</w:t>
      </w:r>
    </w:p>
    <w:p>
      <w:pPr>
        <w:spacing w:after="120" w:line="240"/>
      </w:pPr>
      <w:r>
        <w:rPr>
          <w:rFonts w:ascii="Times New Roman" w:cs="Times New Roman" w:eastAsia="Times New Roman" w:hAnsi="Times New Roman"/>
          <w:i/>
          <w:iCs/>
          <w:sz w:val="22"/>
          <w:szCs w:val="22"/>
        </w:rPr>
        <w:t xml:space="preserve">Clasificación de la información custodiada</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22%"/>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Categoría</w:t>
            </w:r>
          </w:p>
        </w:tc>
        <w:tc>
          <w:tcPr>
            <w:tcW w:type="pct" w:w="3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Contenido</w:t>
            </w:r>
          </w:p>
        </w:tc>
        <w:tc>
          <w:tcPr>
            <w:tcW w:type="pct" w:w="40%"/>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Impacto de su divulgación</w:t>
            </w:r>
          </w:p>
        </w:tc>
      </w:tr>
      <w:tr>
        <w:tc>
          <w:tcPr>
            <w:tcW w:type="pct" w:w="2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Credenciales de acceso</w:t>
            </w:r>
          </w:p>
        </w:tc>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Contraseñas, secretos de segundo factor, códigos de recuperación</w:t>
            </w:r>
          </w:p>
        </w:tc>
        <w:tc>
          <w:tcPr>
            <w:tcW w:type="pct" w:w="4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Crítico: permite suplantación y acceso a todo lo demás</w:t>
            </w:r>
          </w:p>
        </w:tc>
      </w:tr>
      <w:tr>
        <w:tc>
          <w:tcPr>
            <w:tcW w:type="pct" w:w="2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Medios de pago</w:t>
            </w:r>
          </w:p>
        </w:tc>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Datos de tarjeta empleados en el proceso de compra</w:t>
            </w:r>
          </w:p>
        </w:tc>
        <w:tc>
          <w:tcPr>
            <w:tcW w:type="pct" w:w="4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Crítico: fraude directo y responsabilidad legal</w:t>
            </w:r>
          </w:p>
        </w:tc>
      </w:tr>
      <w:tr>
        <w:tc>
          <w:tcPr>
            <w:tcW w:type="pct" w:w="2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Datos personales</w:t>
            </w:r>
          </w:p>
        </w:tc>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Nombre, dirección de entrega, teléfono, correo</w:t>
            </w:r>
          </w:p>
        </w:tc>
        <w:tc>
          <w:tcPr>
            <w:tcW w:type="pct" w:w="4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Alto: exposición de terceros ajenos a la decisión</w:t>
            </w:r>
          </w:p>
        </w:tc>
      </w:tr>
      <w:tr>
        <w:tc>
          <w:tcPr>
            <w:tcW w:type="pct" w:w="22%"/>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Información comercial</w:t>
            </w:r>
          </w:p>
        </w:tc>
        <w:tc>
          <w:tcPr>
            <w:tcW w:type="pct" w:w="3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Catálogo, precios, historial de pedidos</w:t>
            </w:r>
          </w:p>
        </w:tc>
        <w:tc>
          <w:tcPr>
            <w:tcW w:type="pct" w:w="4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Medio: ventaja competitiva y perfilado de clientes</w:t>
            </w:r>
          </w:p>
        </w:tc>
      </w:tr>
    </w:tbl>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Debe subrayarse una asimetría que define la obligación de la plataforma: la información comprometida no pertenece al comerciante, sino a sus clientes, quienes no participaron en la decisión de contratar el servicio ni pueden evaluar su seguridad. Esa circunstancia traslada la responsabilidad a quien sí puede evaluarla, que es la plataforma.</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3. Solución Tecnológica</w:t>
      </w:r>
    </w:p>
    <w:p>
      <w:pPr>
        <w:pStyle w:val="Heading2"/>
        <w:spacing w:after="160" w:before="280" w:line="480"/>
      </w:pPr>
      <w:r>
        <w:rPr>
          <w:rFonts w:ascii="Times New Roman" w:cs="Times New Roman" w:eastAsia="Times New Roman" w:hAnsi="Times New Roman"/>
          <w:b/>
          <w:bCs/>
          <w:sz w:val="24"/>
          <w:szCs w:val="24"/>
        </w:rPr>
        <w:t xml:space="preserve">3.1 Principio rector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solución adopta un esquema de defensa en profundidad organizado en seis capas concéntricas que rodean el activo protegido, que son los datos de los clientes. El supuesto de diseño consiste en asumir que cualquier capa puede fallar, de manera que ninguna concentra por sí sola la seguridad del sistema. Un atacante que vulnere el perímetro debe todavía superar el cortafuegos de red, el endurecimiento del sistema operativo, el cortafuegos de aplicación, los controles de la aplicación y, finalmente, el cifrado de los datos.</w:t>
      </w:r>
    </w:p>
    <w:p>
      <w:pPr>
        <w:pStyle w:val="Heading2"/>
        <w:spacing w:after="160" w:before="280" w:line="480"/>
      </w:pPr>
      <w:r>
        <w:rPr>
          <w:rFonts w:ascii="Times New Roman" w:cs="Times New Roman" w:eastAsia="Times New Roman" w:hAnsi="Times New Roman"/>
          <w:b/>
          <w:bCs/>
          <w:sz w:val="24"/>
          <w:szCs w:val="24"/>
        </w:rPr>
        <w:t xml:space="preserve">3.2 Capas del esquema</w:t>
      </w:r>
    </w:p>
    <w:p>
      <w:pPr>
        <w:spacing w:before="240" w:line="240"/>
      </w:pPr>
      <w:r>
        <w:rPr>
          <w:rFonts w:ascii="Times New Roman" w:cs="Times New Roman" w:eastAsia="Times New Roman" w:hAnsi="Times New Roman"/>
          <w:b/>
          <w:bCs/>
          <w:sz w:val="22"/>
          <w:szCs w:val="22"/>
        </w:rPr>
        <w:t xml:space="preserve">Tabla 5</w:t>
      </w:r>
    </w:p>
    <w:p>
      <w:pPr>
        <w:spacing w:after="120" w:line="240"/>
      </w:pPr>
      <w:r>
        <w:rPr>
          <w:rFonts w:ascii="Times New Roman" w:cs="Times New Roman" w:eastAsia="Times New Roman" w:hAnsi="Times New Roman"/>
          <w:i/>
          <w:iCs/>
          <w:sz w:val="22"/>
          <w:szCs w:val="22"/>
        </w:rPr>
        <w:t xml:space="preserve">Controles implementados por capa</w:t>
      </w:r>
    </w:p>
    <w:tbl>
      <w:tblPr>
        <w:tblW w:type="pct" w:w="100%"/>
        <w:tblBorders>
          <w:top w:val="single" w:sz="6"/>
          <w:left w:val="none"/>
          <w:bottom w:val="single" w:sz="6"/>
          <w:right w:val="none"/>
          <w:insideH w:val="single" w:color="BBBBBB" w:sz="2"/>
          <w:insideV w:val="none"/>
        </w:tblBorders>
      </w:tblPr>
      <w:tblGrid>
        <w:gridCol w:w="100"/>
        <w:gridCol w:w="100"/>
        <w:gridCol w:w="100"/>
        <w:gridCol w:w="100"/>
      </w:tblGrid>
      <w:tr>
        <w:trPr>
          <w:tblHeader/>
        </w:trPr>
        <w:tc>
          <w:tcPr>
            <w:tcW w:type="pct" w:w="1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Capa</w:t>
            </w:r>
          </w:p>
        </w:tc>
        <w:tc>
          <w:tcPr>
            <w:tcW w:type="pct" w:w="20%"/>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Componente</w:t>
            </w:r>
          </w:p>
        </w:tc>
        <w:tc>
          <w:tcPr>
            <w:tcW w:type="pct" w:w="34%"/>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Control</w:t>
            </w:r>
          </w:p>
        </w:tc>
        <w:tc>
          <w:tcPr>
            <w:tcW w:type="pct" w:w="2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Amenaza que mitiga</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1 · Perímetro</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Cloudflare</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Mitigación de denegación de servicio, red de entrega, límite de tasa</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Tráfico automatizado y saturación</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2 · Red</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UFW y fail2ban</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Solo 80 y 443 abiertos; acceso remoto por llave; bloqueo automático</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Escaneo y fuerza bruta</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3 · Sistema operativo</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Ubuntu Server LTS</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Endurecimiento CIS, parcheo automático, auditoría inmutable</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Escalada de privilegios</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4 · Cortafuegos de aplicación</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Nginx, ModSecurity 3, OWASP CRS 4.29</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Inspección de capa 7 con puntuación de anomalía</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Inyección SQL, XSS, recorrido de rutas</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5 · Aplicación</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Laravel 13</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Segundo factor, control por roles, validación, cabeceras</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Control de acceso roto y secuestro</w:t>
            </w:r>
          </w:p>
        </w:tc>
      </w:tr>
      <w:tr>
        <w:tc>
          <w:tcPr>
            <w:tcW w:type="pct" w:w="1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6 · Datos</w:t>
            </w:r>
          </w:p>
        </w:tc>
        <w:tc>
          <w:tcPr>
            <w:tcW w:type="pct" w:w="2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MariaDB</w:t>
            </w:r>
          </w:p>
        </w:tc>
        <w:tc>
          <w:tcPr>
            <w:tcW w:type="pct" w:w="3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Cifrado en reposo, tokenización, respaldo externo cifrado</w:t>
            </w:r>
          </w:p>
        </w:tc>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Exfiltración de información sensible</w:t>
            </w:r>
          </w:p>
        </w:tc>
      </w:tr>
    </w:tbl>
    <w:p>
      <w:pPr>
        <w:spacing w:after="240" w:before="10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capa de perímetro quedó implementada de forma parcial en el entorno publicado. Los proveedores de dominio gratuito compatibles con el servicio de borde requieren aprobación manual con plazos superiores al horizonte del proyecto. La limitación se declara de forma expresa y se documenta en el registro de decisiones de arquitectura, con sus mitigaciones en capas inferiores y el riesgo residual aceptado.</w:t>
      </w:r>
    </w:p>
    <w:p>
      <w:pPr>
        <w:pStyle w:val="Heading2"/>
        <w:spacing w:after="160" w:before="280" w:line="480"/>
      </w:pPr>
      <w:r>
        <w:rPr>
          <w:rFonts w:ascii="Times New Roman" w:cs="Times New Roman" w:eastAsia="Times New Roman" w:hAnsi="Times New Roman"/>
          <w:b/>
          <w:bCs/>
          <w:sz w:val="24"/>
          <w:szCs w:val="24"/>
        </w:rPr>
        <w:t xml:space="preserve">3.3 El cortafuegos de aplicación como control central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control central de la propuesta es un cortafuegos de aplicación web construido sobre ModSecurity 3 con el Core Rule Set de OWASP, desplegado como proxy inverso delante de la aplicación. Su elección responde a que constituye un control compensatorio: protege la aplicación incluso cuando su código contiene un defecto todavía no corregido, lo que resulta decisivo en una plataforma que publica actualizaciones con frecuencia.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red que comunica el cortafuegos con la aplicación se declara como interna, de modo que no existe ninguna ruta hacia la aplicación que no atraviese el cortafuegos. Esta propiedad puede verificarse desde el exterior mediante descubrimiento de puertos, y constituye evidencia auditable de que el control no puede eludirse.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motor opera con nivel de paranoia uno para el bloqueo y nivel dos para la detección. La distinción es deliberada: el segundo nivel registra eventos adicionales que alimentan el panel de monitoreo sin elevar el riesgo de interrumpir tráfico legítimo. Un cortafuegos que bloquea todo cuanto detecta interrumpe la operación del comercio; uno que solo registra lo que bloquea deja ciego al equipo de detección.</w:t>
      </w:r>
    </w:p>
    <w:p>
      <w:pPr>
        <w:pStyle w:val="Heading2"/>
        <w:spacing w:after="160" w:before="280" w:line="480"/>
      </w:pPr>
      <w:r>
        <w:rPr>
          <w:rFonts w:ascii="Times New Roman" w:cs="Times New Roman" w:eastAsia="Times New Roman" w:hAnsi="Times New Roman"/>
          <w:b/>
          <w:bCs/>
          <w:sz w:val="24"/>
          <w:szCs w:val="24"/>
        </w:rPr>
        <w:t xml:space="preserve">3.4 Reglas propias contra la manipulación del posicionamiento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Core Rule Set no contiene reglas orientadas a la manipulación del posicionamiento, y no existe complemento oficial que las aporte. El conjunto de reglas cubre la vía de entrada de un ataque, como la inyección o las secuencias de comandos, pero no el objetivo de quien busca envenenar el posicionamiento de un dominio ajeno.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equipo desarrolló en consecuencia veinticuatro reglas propias, identificadas en el rango reservado para uso local, que cubren la detección de rastreadores falsificados, el contenido diferenciado, la inyección de enlaces publicitarios, el abuso de redirección abierta y la extracción masiva de contenido. Durante las pruebas realizadas sobre el entorno publicado, una de estas reglas propias resultó ser la de mayor número de activaciones del conjunto completo.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verificación de rastreadores merece una precisión metodológica. Comprobar que una petición que se identifica como rastreador de un buscador procede efectivamente de él exige resolver el nombre inverso de la dirección y verificar después que ese nombre resuelve de vuelta a la misma dirección. Esa comprobación no puede realizarse dentro de una regla de ModSecurity, dado que el motor no admite consultas de nombres síncronas, razón por la cual la regla del cortafuegos contrasta contra los rangos publicados por los buscadores y la verificación completa se delega a la aplicación.</w:t>
      </w:r>
    </w:p>
    <w:p>
      <w:pPr>
        <w:pStyle w:val="Heading2"/>
        <w:spacing w:after="160" w:before="280" w:line="480"/>
      </w:pPr>
      <w:r>
        <w:rPr>
          <w:rFonts w:ascii="Times New Roman" w:cs="Times New Roman" w:eastAsia="Times New Roman" w:hAnsi="Times New Roman"/>
          <w:b/>
          <w:bCs/>
          <w:sz w:val="24"/>
          <w:szCs w:val="24"/>
        </w:rPr>
        <w:t xml:space="preserve">3.5 Autenticación de la capa de aplicación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autenticación combina la contraseña con dos métodos alternativos de segundo factor. El primero es la contraseña de un solo uso basada en tiempo definida en el RFC 6238, seleccionada por su amplia compatibilidad con las aplicaciones autenticadoras que los usuarios ya emplean. El segundo son las credenciales de clave pública de la especificación WebAuthn, conocidas comercialmente como passkeys.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incorporación del segundo método responde a una limitación del primero que conviene declarar: una contraseña de un solo uso que el usuario transcribe manualmente no es resistente a la suplantación de sitio, puesto que un atacante que controle una página falsa puede solicitarla y retransmitirla al servicio legítimo. Las credenciales de clave pública vinculan criptográficamente la autenticación con el sitio para el que fueron creadas, de modo que en un sitio impostor el navegador ni siquiera las ofrece.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códigos de recuperación completan el esquema como mecanismo de continuidad, y conviene precisar que no constituyen un tercer método de autenticación sino una salida controlada para recuperar el acceso cuando el segundo factor no está disponible.</w:t>
      </w:r>
    </w:p>
    <w:p>
      <w:pPr>
        <w:pStyle w:val="Heading2"/>
        <w:spacing w:after="160" w:before="280" w:line="480"/>
      </w:pPr>
      <w:r>
        <w:rPr>
          <w:rFonts w:ascii="Times New Roman" w:cs="Times New Roman" w:eastAsia="Times New Roman" w:hAnsi="Times New Roman"/>
          <w:b/>
          <w:bCs/>
          <w:sz w:val="24"/>
          <w:szCs w:val="24"/>
        </w:rPr>
        <w:t xml:space="preserve">3.6 Detección y respuesta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anexo del primer entregable, elaborado a partir del modelo del triángulo de la ciberresiliencia, identificó que la propuesta original desarrollaba el vértice de protección, instrumentaba parcialmente el de detección y dejaba ausente el de respuesta. La solución construida atiende esa observación.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detección se implementa mediante un panel propio que ingiere el registro de auditoría del cortafuegos, el registro de la aplicación y el del sistema operativo, los normaliza en un modelo común de eventos y los evalúa contra reglas de correlación con umbrales declarados. Cada coincidencia genera una alerta con severidad, evidencia y acción recomendada, y cada alerta transita por estados de atención. Esa transición es lo que distingue una herramienta encendida de un servicio operado.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panel vigila además su propia fuente de datos. Cuando la ingesta permanece detenida más allá de un umbral, lo advierte de forma expresa, en atención a que un tablero sin eventos resulta ambiguo: puede indicar ausencia de incidentes o ausencia de alimentación, y son situaciones opuestas. Durante el desarrollo, esa advertencia detectó efectivamente que las tareas de ingesta no estaban programadas.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respuesta se sostiene en un plan de respuesta a incidentes conforme a la guía NIST SP 800-61, con procedimientos diferenciados por tipo de incidente, matriz de escalamiento, respaldo diario cifrado hacia almacenamiento externo y prueba de restauración verificada.</w:t>
      </w:r>
    </w:p>
    <w:p>
      <w:pPr>
        <w:pStyle w:val="Heading2"/>
        <w:spacing w:after="160" w:before="280" w:line="480"/>
      </w:pPr>
      <w:r>
        <w:rPr>
          <w:rFonts w:ascii="Times New Roman" w:cs="Times New Roman" w:eastAsia="Times New Roman" w:hAnsi="Times New Roman"/>
          <w:b/>
          <w:bCs/>
          <w:sz w:val="24"/>
          <w:szCs w:val="24"/>
        </w:rPr>
        <w:t xml:space="preserve">3.7 Verificabilidad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plataforma se encuentra desplegada en un entorno público con certificado de transporte válido. Las afirmaciones de esta sección pueden comprobarse de forma directa: el bloqueo de una inyección devuelve el código de respuesta correspondiente junto con el identificador de la regla activada y la puntuación acumulada; los eventos aparecen en el panel de monitoreo con su origen y su severidad; y el descubrimiento de puertos desde el exterior confirma que únicamente los puertos del servicio web resultan alcanzables.</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4. Implementación de Estándares y Buenas Prácticas</w:t>
      </w:r>
    </w:p>
    <w:p>
      <w:pPr>
        <w:pStyle w:val="Heading2"/>
        <w:spacing w:after="160" w:before="280" w:line="480"/>
      </w:pPr>
      <w:r>
        <w:rPr>
          <w:rFonts w:ascii="Times New Roman" w:cs="Times New Roman" w:eastAsia="Times New Roman" w:hAnsi="Times New Roman"/>
          <w:b/>
          <w:bCs/>
          <w:sz w:val="24"/>
          <w:szCs w:val="24"/>
        </w:rPr>
        <w:t xml:space="preserve">4.1 Marco rector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adopta la norma ISO/IEC 27001:2022 como marco rector, dado que establece los requisitos de un sistema de gestión de la seguridad de la información y organiza en su Anexo A un total de noventa y tres controles agrupados en cuatro temas. Sobre ese marco se apoyan estándares complementarios que aportan el detalle técnico que la norma deliberadamente no especifica.</w:t>
      </w:r>
    </w:p>
    <w:p>
      <w:pPr>
        <w:spacing w:before="240" w:line="240"/>
      </w:pPr>
      <w:r>
        <w:rPr>
          <w:rFonts w:ascii="Times New Roman" w:cs="Times New Roman" w:eastAsia="Times New Roman" w:hAnsi="Times New Roman"/>
          <w:b/>
          <w:bCs/>
          <w:sz w:val="22"/>
          <w:szCs w:val="22"/>
        </w:rPr>
        <w:t xml:space="preserve">Tabla 6</w:t>
      </w:r>
    </w:p>
    <w:p>
      <w:pPr>
        <w:spacing w:after="120" w:line="240"/>
      </w:pPr>
      <w:r>
        <w:rPr>
          <w:rFonts w:ascii="Times New Roman" w:cs="Times New Roman" w:eastAsia="Times New Roman" w:hAnsi="Times New Roman"/>
          <w:i/>
          <w:iCs/>
          <w:sz w:val="22"/>
          <w:szCs w:val="22"/>
        </w:rPr>
        <w:t xml:space="preserve">Estándares aplicados y su función en el proyecto</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26%"/>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Estándar</w:t>
            </w:r>
          </w:p>
        </w:tc>
        <w:tc>
          <w:tcPr>
            <w:tcW w:type="pct" w:w="26%"/>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Ámbito</w:t>
            </w:r>
          </w:p>
        </w:tc>
        <w:tc>
          <w:tcPr>
            <w:tcW w:type="pct" w:w="4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Aplicación concreta</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ISO/IEC 27001:2022</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Sistema de gestión</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Marco rector y selección de controles del Anexo A</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ISO/IEC 27002:2022</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Guía de implementación</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Criterios de configuración y de registro de eventos</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OWASP Top 10:2025</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Riesgos de aplicaciones web</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Catálogo de amenazas que el cortafuegos debe detectar</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OWASP Core Rule Set 4.29</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Reglas genéricas de detección</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Reglas cargadas y ajuste del umbral de anomalía</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PCI DSS v4.0, requisito 6.4.2</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Protección de datos de tarjeta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Obliga al despliegue del cortafuegos de aplicación</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CIS Benchmark para Ubuntu</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Endurecimiento del sistema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Línea base verificable de configuración</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NIST SP 800-61</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Gestión de incidentes</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Estructura del plan de respuesta y escalamiento</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NIST SP 800-63B</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Identidad digital</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Requisitos de los autenticadores y limitación de intentos</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RFC 6238</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Contraseña de un solo uso</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Algoritmo del segundo factor basado en tiempo</w:t>
            </w:r>
          </w:p>
        </w:tc>
      </w:tr>
      <w:tr>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W3C WebAuthn</w:t>
            </w:r>
          </w:p>
        </w:tc>
        <w:tc>
          <w:tcPr>
            <w:tcW w:type="pct" w:w="26%"/>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Credenciales de clave pública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Segundo factor resistente a suplantación de sitio</w:t>
            </w:r>
          </w:p>
        </w:tc>
      </w:tr>
    </w:tbl>
    <w:p>
      <w:pPr>
        <w:spacing w:after="240" w:before="10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estándares se aplican de forma complementaria: la norma ISO/IEC 27001 establece qué debe gestionarse, mientras que OWASP, CIS, NIST y las especificaciones técnicas precisan cómo hacerlo.</w:t>
      </w:r>
    </w:p>
    <w:p>
      <w:pPr>
        <w:pStyle w:val="Heading2"/>
        <w:spacing w:after="160" w:before="280" w:line="480"/>
      </w:pPr>
      <w:r>
        <w:rPr>
          <w:rFonts w:ascii="Times New Roman" w:cs="Times New Roman" w:eastAsia="Times New Roman" w:hAnsi="Times New Roman"/>
          <w:b/>
          <w:bCs/>
          <w:sz w:val="24"/>
          <w:szCs w:val="24"/>
        </w:rPr>
        <w:t xml:space="preserve">4.2 Correspondencia entre amenazas y controles</w:t>
      </w:r>
    </w:p>
    <w:p>
      <w:pPr>
        <w:spacing w:before="240" w:line="240"/>
      </w:pPr>
      <w:r>
        <w:rPr>
          <w:rFonts w:ascii="Times New Roman" w:cs="Times New Roman" w:eastAsia="Times New Roman" w:hAnsi="Times New Roman"/>
          <w:b/>
          <w:bCs/>
          <w:sz w:val="22"/>
          <w:szCs w:val="22"/>
        </w:rPr>
        <w:t xml:space="preserve">Tabla 7</w:t>
      </w:r>
    </w:p>
    <w:p>
      <w:pPr>
        <w:spacing w:after="120" w:line="240"/>
      </w:pPr>
      <w:r>
        <w:rPr>
          <w:rFonts w:ascii="Times New Roman" w:cs="Times New Roman" w:eastAsia="Times New Roman" w:hAnsi="Times New Roman"/>
          <w:i/>
          <w:iCs/>
          <w:sz w:val="22"/>
          <w:szCs w:val="22"/>
        </w:rPr>
        <w:t xml:space="preserve">Trazabilidad entre las amenazas identificadas y los controles implementados</w:t>
      </w:r>
    </w:p>
    <w:tbl>
      <w:tblPr>
        <w:tblW w:type="pct" w:w="100%"/>
        <w:tblBorders>
          <w:top w:val="single" w:sz="6"/>
          <w:left w:val="none"/>
          <w:bottom w:val="single" w:sz="6"/>
          <w:right w:val="none"/>
          <w:insideH w:val="single" w:color="BBBBBB" w:sz="2"/>
          <w:insideV w:val="none"/>
        </w:tblBorders>
      </w:tblPr>
      <w:tblGrid>
        <w:gridCol w:w="100"/>
        <w:gridCol w:w="100"/>
        <w:gridCol w:w="100"/>
      </w:tblGrid>
      <w:tr>
        <w:trPr>
          <w:tblHeader/>
        </w:trPr>
        <w:tc>
          <w:tcPr>
            <w:tcW w:type="pct" w:w="2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Amenaza</w:t>
            </w:r>
          </w:p>
        </w:tc>
        <w:tc>
          <w:tcPr>
            <w:tcW w:type="pct" w:w="48%"/>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Control implementado</w:t>
            </w:r>
          </w:p>
        </w:tc>
        <w:tc>
          <w:tcPr>
            <w:tcW w:type="pct" w:w="24%"/>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sz w:val="20"/>
                <w:szCs w:val="20"/>
              </w:rPr>
              <w:t xml:space="preserve">Control del Anexo A</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Cross-Site Scripting</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Reglas 941 del Core Rule Set y política de contenido</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8.26</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Componentes vulnerables</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Parcheo automático y auditoría de dependencias</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8.8</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Autenticación débil</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Segundo factor, limitación de intentos y bloqueo automático</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8.5</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Inyección SQL</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Reglas 942 del Core Rule Set y sentencias preparadas</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8.26, 8.28</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Configuración insegura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Endurecimiento CIS y auditoría periódica</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8.9</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Manipulación del posicionamiento</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Reglas propias y verificación de rastreadores</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8.16</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Exfiltración de datos</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Cifrado en reposo y tokenización</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8.24</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Detección tardía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Correlación de eventos y alertas con umbral</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8.15, 8.16</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Ausencia de respuesta</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Plan de respuesta y matriz de escalamiento</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5.24 a 5.28</w:t>
            </w:r>
          </w:p>
        </w:tc>
      </w:tr>
      <w:tr>
        <w:tc>
          <w:tcPr>
            <w:tcW w:type="pct" w:w="2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Pérdida de información</w:t>
            </w:r>
          </w:p>
        </w:tc>
        <w:tc>
          <w:tcPr>
            <w:tcW w:type="pct" w:w="48%"/>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Respaldo cifrado externo y prueba de restauración</w:t>
            </w:r>
          </w:p>
        </w:tc>
        <w:tc>
          <w:tcPr>
            <w:tcW w:type="pct" w:w="24%"/>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0"/>
                <w:szCs w:val="20"/>
              </w:rPr>
              <w:t xml:space="preserve">8.13</w:t>
            </w:r>
          </w:p>
        </w:tc>
      </w:tr>
    </w:tbl>
    <w:p>
      <w:pPr>
        <w:pStyle w:val="Heading2"/>
        <w:spacing w:after="160" w:before="280" w:line="480"/>
      </w:pPr>
      <w:r>
        <w:rPr>
          <w:rFonts w:ascii="Times New Roman" w:cs="Times New Roman" w:eastAsia="Times New Roman" w:hAnsi="Times New Roman"/>
          <w:b/>
          <w:bCs/>
          <w:sz w:val="24"/>
          <w:szCs w:val="24"/>
        </w:rPr>
        <w:t xml:space="preserve">4.3 Defensa en profundidad verificable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correspondencia anterior evidencia una propiedad que conviene destacar: varias amenazas cuentan con más de un control, situados en capas distintas y funcionando de forma independiente. La inyección SQL constituye el ejemplo más claro. El cortafuegos de aplicación la detecta en la capa cuatro mediante análisis del contenido de la petición, mientras que la aplicación la neutraliza en la capa cinco mediante sentencias preparadas con parámetros ligados. Ambos controles operan sin conocimiento el uno del otro, de manera que el fallo de cualquiera de ellos no compromete la protección.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Esta redundancia produjo durante el desarrollo un efecto que merece consignarse, por cuanto ilustra una consecuencia real de la defensa en profundidad que la literatura rara vez menciona: el cortafuegos de la capa cuatro bloqueaba el contenido malicioso de prueba antes de que el sanitizador de la capa cinco pudiera procesarlo, de modo que impedía demostrar el funcionamiento del segundo. La resolución consistió en relajar únicamente la evaluación de anomalía en las rutas de demostración, conservando la evaluación de las reglas y su registro en la bitácora de auditoría, lo que constituye una excepción documentada y no una desactivación del control.</w:t>
      </w:r>
    </w:p>
    <w:p>
      <w:pPr>
        <w:pStyle w:val="Heading2"/>
        <w:spacing w:after="160" w:before="280" w:line="480"/>
      </w:pPr>
      <w:r>
        <w:rPr>
          <w:rFonts w:ascii="Times New Roman" w:cs="Times New Roman" w:eastAsia="Times New Roman" w:hAnsi="Times New Roman"/>
          <w:b/>
          <w:bCs/>
          <w:sz w:val="24"/>
          <w:szCs w:val="24"/>
        </w:rPr>
        <w:t xml:space="preserve">4.4 Declaración de alcance y limitaciones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declara de forma expresa aquello que no cubre, en atención a que una declaración de aplicabilidad que afirme la totalidad de los controles resulta menos creíble que una que reconozca sus límites.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perímetro quedó implementada de forma parcial por las razones técnicas expuestas. El panel de monitoreo emplea una implementación propia en lugar de una solución comercial de gestión de eventos, decisión fundada en que las métricas del modelo adoptado se calculan sobre el modelo de datos específico de la plataforma. Y cuatro de las ocho métricas del panel se declaran sin datos, por cuanto dependen de registros que no residen en la plataforma o de procedimientos cuya ejecución debe ocurrir antes de poder medirse.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Esta última declaración constituye una decisión deliberada de diseño. El panel podría estimar esas cifras y presentaría un aspecto más favorable, pero una métrica calculada sobre supuestos no permite decidir, y su presencia invalidaría la credibilidad de las restantes. La distinción entre lo que se mide y lo que se supone es, precisamente, lo que un sistema de gestión de la seguridad de la información aporta sobre un conjunto de herramientas.</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Conclusiones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definición precisa del segmento resultó determinante para la coherencia de la propuesta. Acotar el mercado a la pequeña empresa guatemalteca sin personal técnico permitió establecer que la propuesta de valor no reside en las funciones de la tienda, donde la competencia es superior, sino en trasladar a la plataforma una responsabilidad que el segmento no puede asumir.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caso de envenenamiento de posicionamiento observado durante el desarrollo modificó el alcance del proyecto. Se trata de una amenaza que las plataformas consultadas no contemplan, que afecta al activo más costoso de reconstruir para un negocio pequeño, y que resulta invisible para el propietario del sitio. Las reglas desarrolladas para atenderla constituyen el aporte más específico del trabajo, por cuanto cubren un ámbito para el que no existe conjunto de reglas público.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construcción efectiva de la plataforma reveló propiedades de la defensa en profundidad que el diseño en papel no anticipaba. La más instructiva fue la interferencia entre controles de capas distintas que detectan la misma amenaza, cuya resolución exige criterio para documentar excepciones acotadas en lugar de desactivar controles.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Finalmente, la decisión de declarar cuatro métricas sin datos, en lugar de estimarlas, sintetiza el criterio que gobierna el proyecto. Un sistema de gestión de la seguridad de la información se distingue de un conjunto de herramientas en que sabe qué mide y reconoce qué ignora.</w:t>
      </w:r>
    </w:p>
    <w:p>
      <w:r>
        <w:br w:type="page"/>
      </w:r>
    </w:p>
    <w:p>
      <w:pPr>
        <w:pStyle w:val="Heading1"/>
        <w:spacing w:after="240" w:before="360" w:line="480"/>
        <w:jc w:val="center"/>
      </w:pPr>
      <w:r>
        <w:rPr>
          <w:rFonts w:ascii="Times New Roman" w:cs="Times New Roman" w:eastAsia="Times New Roman" w:hAnsi="Times New Roman"/>
          <w:b/>
          <w:bCs/>
          <w:sz w:val="28"/>
          <w:szCs w:val="28"/>
        </w:rPr>
        <w:t xml:space="preserve">Referencias</w:t>
      </w:r>
    </w:p>
    <w:p>
      <w:pPr>
        <w:spacing w:after="120" w:line="480"/>
        <w:ind w:left="720" w:hanging="720"/>
        <w:jc w:val="left"/>
      </w:pPr>
      <w:r>
        <w:rPr>
          <w:rFonts w:ascii="Times New Roman" w:cs="Times New Roman" w:eastAsia="Times New Roman" w:hAnsi="Times New Roman"/>
          <w:sz w:val="24"/>
          <w:szCs w:val="24"/>
        </w:rPr>
        <w:t xml:space="preserve">Center for Internet Security. (2025). CIS Ubuntu Linux benchmark. https://www.cisecurity.org/benchmark/ubuntu_linux</w:t>
      </w:r>
    </w:p>
    <w:p>
      <w:pPr>
        <w:spacing w:after="120" w:line="480"/>
        <w:ind w:left="720" w:hanging="720"/>
        <w:jc w:val="left"/>
      </w:pPr>
      <w:r>
        <w:rPr>
          <w:rFonts w:ascii="Times New Roman" w:cs="Times New Roman" w:eastAsia="Times New Roman" w:hAnsi="Times New Roman"/>
          <w:sz w:val="24"/>
          <w:szCs w:val="24"/>
        </w:rPr>
        <w:t xml:space="preserve">M'Raihi, D., Machani, S., Pei, M., y Rydell, J. (2011). TOTP: Time-based one-time password algorithm (RFC 6238). Internet Engineering Task Force. https://www.rfc-editor.org/rfc/rfc6238</w:t>
      </w:r>
    </w:p>
    <w:p>
      <w:pPr>
        <w:spacing w:after="120" w:line="480"/>
        <w:ind w:left="720" w:hanging="720"/>
        <w:jc w:val="left"/>
      </w:pPr>
      <w:r>
        <w:rPr>
          <w:rFonts w:ascii="Times New Roman" w:cs="Times New Roman" w:eastAsia="Times New Roman" w:hAnsi="Times New Roman"/>
          <w:sz w:val="24"/>
          <w:szCs w:val="24"/>
        </w:rPr>
        <w:t xml:space="preserve">National Institute of Standards and Technology. (2025). Digital identity guidelines: Authentication and lifecycle management (NIST SP 800-63B-4). U.S. Department of Commerce.</w:t>
      </w:r>
    </w:p>
    <w:p>
      <w:pPr>
        <w:spacing w:after="120" w:line="480"/>
        <w:ind w:left="720" w:hanging="720"/>
        <w:jc w:val="left"/>
      </w:pPr>
      <w:r>
        <w:rPr>
          <w:rFonts w:ascii="Times New Roman" w:cs="Times New Roman" w:eastAsia="Times New Roman" w:hAnsi="Times New Roman"/>
          <w:sz w:val="24"/>
          <w:szCs w:val="24"/>
        </w:rPr>
        <w:t xml:space="preserve">Nelson, A., Rekhi, S., Souppaya, M., y Scarfone, K. (2025). Incident response recommendations and considerations for cybersecurity risk management (NIST SP 800-61r3). National Institute of Standards and Technology.</w:t>
      </w:r>
    </w:p>
    <w:p>
      <w:pPr>
        <w:spacing w:after="120" w:line="480"/>
        <w:ind w:left="720" w:hanging="720"/>
        <w:jc w:val="left"/>
      </w:pPr>
      <w:r>
        <w:rPr>
          <w:rFonts w:ascii="Times New Roman" w:cs="Times New Roman" w:eastAsia="Times New Roman" w:hAnsi="Times New Roman"/>
          <w:sz w:val="24"/>
          <w:szCs w:val="24"/>
        </w:rPr>
        <w:t xml:space="preserve">Organización Internacional de Normalización. (2022). ISO/IEC 27001:2022. Seguridad de la información, ciberseguridad y protección de la privacidad. Sistemas de gestión de la seguridad de la información. Requisitos.</w:t>
      </w:r>
    </w:p>
    <w:p>
      <w:pPr>
        <w:spacing w:after="120" w:line="480"/>
        <w:ind w:left="720" w:hanging="720"/>
        <w:jc w:val="left"/>
      </w:pPr>
      <w:r>
        <w:rPr>
          <w:rFonts w:ascii="Times New Roman" w:cs="Times New Roman" w:eastAsia="Times New Roman" w:hAnsi="Times New Roman"/>
          <w:sz w:val="24"/>
          <w:szCs w:val="24"/>
        </w:rPr>
        <w:t xml:space="preserve">Organización Internacional de Normalización. (2022). ISO/IEC 27002:2022. Controles de seguridad de la información.</w:t>
      </w:r>
    </w:p>
    <w:p>
      <w:pPr>
        <w:spacing w:after="120" w:line="480"/>
        <w:ind w:left="720" w:hanging="720"/>
        <w:jc w:val="left"/>
      </w:pPr>
      <w:r>
        <w:rPr>
          <w:rFonts w:ascii="Times New Roman" w:cs="Times New Roman" w:eastAsia="Times New Roman" w:hAnsi="Times New Roman"/>
          <w:sz w:val="24"/>
          <w:szCs w:val="24"/>
        </w:rPr>
        <w:t xml:space="preserve">OWASP Foundation. (2025). OWASP Top 10:2025. https://owasp.org/Top10/2025/</w:t>
      </w:r>
    </w:p>
    <w:p>
      <w:pPr>
        <w:spacing w:after="120" w:line="480"/>
        <w:ind w:left="720" w:hanging="720"/>
        <w:jc w:val="left"/>
      </w:pPr>
      <w:r>
        <w:rPr>
          <w:rFonts w:ascii="Times New Roman" w:cs="Times New Roman" w:eastAsia="Times New Roman" w:hAnsi="Times New Roman"/>
          <w:sz w:val="24"/>
          <w:szCs w:val="24"/>
        </w:rPr>
        <w:t xml:space="preserve">OWASP Foundation. (2026). OWASP Core Rule Set. https://coreruleset.org/</w:t>
      </w:r>
    </w:p>
    <w:p>
      <w:pPr>
        <w:spacing w:after="120" w:line="480"/>
        <w:ind w:left="720" w:hanging="720"/>
        <w:jc w:val="left"/>
      </w:pPr>
      <w:r>
        <w:rPr>
          <w:rFonts w:ascii="Times New Roman" w:cs="Times New Roman" w:eastAsia="Times New Roman" w:hAnsi="Times New Roman"/>
          <w:sz w:val="24"/>
          <w:szCs w:val="24"/>
        </w:rPr>
        <w:t xml:space="preserve">PCI Security Standards Council. (2024). Payment Card Industry Data Security Standard: Requirements and testing procedures (v4.0.1).</w:t>
      </w:r>
    </w:p>
    <w:p>
      <w:pPr>
        <w:spacing w:after="120" w:line="480"/>
        <w:ind w:left="720" w:hanging="720"/>
        <w:jc w:val="left"/>
      </w:pPr>
      <w:r>
        <w:rPr>
          <w:rFonts w:ascii="Times New Roman" w:cs="Times New Roman" w:eastAsia="Times New Roman" w:hAnsi="Times New Roman"/>
          <w:sz w:val="24"/>
          <w:szCs w:val="24"/>
        </w:rPr>
        <w:t xml:space="preserve">Rompich Yoc, M. R., Herrera Soto, J. R., y Beteta García, D. A. (2026). Propuesta de solución de seguridad para una plataforma de comercio electrónico (E-Commerce SaaS): Implementación de un Web Application Firewall bajo la norma ISO/IEC 27001 [Proyecto de curso]. Universidad Mariano Gálvez de Guatemala.</w:t>
      </w:r>
    </w:p>
    <w:p>
      <w:pPr>
        <w:spacing w:after="120" w:line="480"/>
        <w:ind w:left="720" w:hanging="720"/>
        <w:jc w:val="left"/>
      </w:pPr>
      <w:r>
        <w:rPr>
          <w:rFonts w:ascii="Times New Roman" w:cs="Times New Roman" w:eastAsia="Times New Roman" w:hAnsi="Times New Roman"/>
          <w:sz w:val="24"/>
          <w:szCs w:val="24"/>
        </w:rPr>
        <w:t xml:space="preserve">World Wide Web Consortium. (2026). Web Authentication: An API for accessing public key credentials — Level 3. https://www.w3.org/TR/webauthn/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MarketGT · Segundo Entregable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Segundo Entregable · Proyecto de Curso · MarketGT</dc:title>
  <dc:creator>Beteta García, Herrera Soto y Rompich Yoc</dc:creator>
  <dc:description>Modelo de negocio, problema de seguridad, solución tecnológica e implementación de estándares</dc:description>
  <cp:lastModifiedBy>Un-named</cp:lastModifiedBy>
  <cp:revision>1</cp:revision>
  <dcterms:created xsi:type="dcterms:W3CDTF">2026-09-22T23:19:06.017Z</dcterms:created>
  <dcterms:modified xsi:type="dcterms:W3CDTF">2026-09-22T23:19:06.019Z</dcterms:modified>
</cp:coreProperties>
</file>

<file path=docProps/custom.xml><?xml version="1.0" encoding="utf-8"?>
<Properties xmlns="http://schemas.openxmlformats.org/officeDocument/2006/custom-properties" xmlns:vt="http://schemas.openxmlformats.org/officeDocument/2006/docPropsVTypes"/>
</file>