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Desafío de Autenticación y Autorización Diego Cabré 26489744-0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¿Cómo se autentica y autoriza el acceso físico a áreas restringidas?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realiza mediante sistemas de control de acceso como tarjetas RFID, lectores biométricos o códigos PIN. El sistema valida la identidad del usuario y verifica si cuenta con permisos para ingresar al área.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Escenario: un empleado pierde su tarjeta de acceso. ¿Cuáles son los pasos para gestionar esta situación?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Notificar de inmediato al departamento de seguridad.</w:t>
        <w:br w:type="textWrapping"/>
        <w:t xml:space="preserve">2. Desactivar la tarjeta perdida en el sistema.</w:t>
        <w:br w:type="textWrapping"/>
        <w:t xml:space="preserve">3. Emitir una nueva tarjeta con los permisos correspondientes.</w:t>
        <w:br w:type="textWrapping"/>
        <w:t xml:space="preserve">4. Registrar el incidente y tomar medidas para prevenir recurrencias.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3. Ejemplo de una política de contraseñas y cómo se implementa.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Política: Las contraseñas deben tener al menos 12 caracteres, incluir mayúsculas, minúsculas, números y símbolos.</w:t>
        <w:br w:type="textWrapping"/>
        <w:t xml:space="preserve">Implementación: Configuración de directivas de grupo (GPO) o ajustes en el sistema para exigir estos criterios y forzar el cambio cada 90 días.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4. Proceso de autenticación de dos factores (2FA) y métodos adicionales.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2FA, el usuario ingresa su contraseña (primer factor) y luego un código enviado por SMS, correo electrónico o una app de autenticación (segundo factor). Métodos adicionales incluyen biometría y llaves de seguridad físicas como YubiKey.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5. Procedimientos para asignar privilegios administrativos a un nuevo usuario.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Validar la solicitud y aprobación por un supervisor.</w:t>
        <w:br w:type="textWrapping"/>
        <w:t xml:space="preserve">2. Crear la cuenta del usuario en el sistema.</w:t>
        <w:br w:type="textWrapping"/>
        <w:t xml:space="preserve">3. Asignar privilegios mediante grupos o roles.</w:t>
        <w:br w:type="textWrapping"/>
        <w:t xml:space="preserve">4. Registrar la acción y realizar una revisión periódica de permisos.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6. Manejo de identificación y notificación en caso de brecha de seguridad.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Detectar y confirmar la brecha.</w:t>
        <w:br w:type="textWrapping"/>
        <w:t xml:space="preserve">2. Identificar los usuarios afectados.</w:t>
        <w:br w:type="textWrapping"/>
        <w:t xml:space="preserve">3. Notificar a los usuarios explicando el incidente y medidas de mitigación.</w:t>
        <w:br w:type="textWrapping"/>
        <w:t xml:space="preserve">4. Reportar a las autoridades si aplica.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7. Asegurar la robustez de las contraseñas utilizadas para la autenticación.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aplican requisitos mínimos de complejidad, políticas de expiración, prohibición de contraseñas previas y verificación contra listas de contraseñas comprometidas.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8. Escenario de prueba: autenticación fallida por falta de segundo factor.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el usuario no proporciona el segundo factor, el acceso se deniega y se registra el intento fallido. Se notifica al usuario para que intente nuevamente o solicite asistencia al soporte técnico.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9. Protocolos específicos para la autenticación y autorización.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entornos corporativos se utilizan protocolos como LDAP, Kerberos y OAuth 2.0 para autenticación; y mecanismos como ACLs (Listas de Control de Acceso) y RBAC (Control de Acceso Basado en Roles) para autorización.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10. Garantizar la integridad y confidencialidad de los datos durante la autenticación.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utilizan canales cifrados como HTTPS/TLS, almacenamiento seguro de contraseñas mediante hashing con sal (bcrypt, Argon2) y validación de datos para evitar ataques de intermediario o inyección.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