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r>
        <w:rPr>
          <w:b/>
          <w:color w:val="0C0D12"/>
          <w:sz w:val="94"/>
        </w:rPr>
        <w:t>PRAXIA</w:t>
      </w:r>
    </w:p>
    <w:p>
      <w:r>
        <w:rPr>
          <w:color w:val="5B4BFF"/>
          <w:sz w:val="34"/>
        </w:rPr>
        <w:t>MASTER BUSINESS, BRAND &amp; OPERATING SYSTEM</w:t>
      </w:r>
    </w:p>
    <w:p>
      <w:r>
        <w:t>Turn strategy into adoption.</w:t>
      </w:r>
    </w:p>
    <w:p>
      <w:r>
        <w:t>Documento de contexto integral para agentes, colaboradores y construcción del negocio | Versión 1.0 | 9 de octubre de 2026</w:t>
      </w:r>
    </w:p>
    <w:p>
      <w:r>
        <w:t>Alcance: identidad, tesis, propuesta de valor, problemas, cliente ideal, servicios, metodologías, comercialización, modelo económico, go-to-market, marca, contenidos, productos, estructura operativa, métricas y reglas para agentes de IA.</w:t>
      </w:r>
    </w:p>
    <w:p>
      <w:r>
        <w:t>Criterio de evidencia: «Definido» = establecido en el manual de marca o por el fundador; «Trabajado» = desarrollado previamente como dirección; «Propuesta» = modelo recomendado que requiere validación; «Pendiente» = sin confirmación.</w:t>
      </w:r>
    </w:p>
    <w:p>
      <w:r>
        <w:br w:type="page"/>
      </w:r>
    </w:p>
    <w:p>
      <w:pPr>
        <w:pStyle w:val="Heading1"/>
      </w:pPr>
      <w:r>
        <w:t>01 · Resumen ejecutivo</w:t>
      </w:r>
    </w:p>
    <w:p>
      <w:r>
        <w:t>PRAXIA es una firma de asesoría en transformación humana y adopción de IA (Human &amp; AI Transformation Advisory). Su negocio no consiste en vender talleres, presentaciones o tecnología como fin, sino en cerrar la brecha entre la estrategia que una organización declara y el cambio que efectivamente ocurre en su operación. Posicionamiento rector: «Turn strategy into adoption». [DEFINIDO]</w:t>
      </w:r>
    </w:p>
    <w:p>
      <w:r>
        <w:t>El territorio de marca se llama The Adoption Gap: la distancia entre la transformación que se compra y el cambio que se adopta. Su antagonista es Transformation Theater: proyectos con decks, lanzamientos y actividad aparente, sin alteración significativa de decisiones, hábitos, procesos o indicadores. [DEFINIDO]</w:t>
      </w:r>
    </w:p>
    <w:p>
      <w:r>
        <w:t>Ambición comercial: construir ingresos adicionales de USD 10,000 mensuales, priorizando problemas suficientemente relevantes como para justificar contratos de alto valor; el fundador fijó como filtro preguntar si un cliente pagaría USD 20,000 por resolverlos. Los servicios deben vender resultados económicos, no «liderazgo» o «metodologías» de manera aislada. [DEFINIDO]</w:t>
      </w:r>
    </w:p>
    <w:p>
      <w:pPr>
        <w:pStyle w:val="Heading1"/>
      </w:pPr>
      <w:r>
        <w:t>02 · Esencia, filosofía y narrativa</w:t>
      </w:r>
    </w:p>
    <w:p>
      <w:pPr>
        <w:pStyle w:val="Heading2"/>
      </w:pPr>
      <w:r>
        <w:t>Misión, visión y promesa</w:t>
      </w:r>
    </w:p>
    <w:p>
      <w:r>
        <w:t>Misión operativa [SÍNTESIS]: convertir estrategia, tecnología e iniciativas de cambio en comportamientos, decisiones, capacidades y sistemas de gestión adoptados, medidos y sostenidos.</w:t>
      </w:r>
    </w:p>
    <w:p>
      <w:r>
        <w:t>Visión [PROPUESTA]: convertirse en una boutique advisory reconocida en Latinoamérica por hacer medible y ejecutable la adopción de transformaciones empresariales y de IA.</w:t>
      </w:r>
    </w:p>
    <w:p>
      <w:r>
        <w:t>Promesa central [DEFINIDA]: Turn strategy into adoption. La ejecución no ocurre cuando se comunica una estrategia; ocurre cuando cambia el sistema operativo real de la organización.</w:t>
      </w:r>
    </w:p>
    <w:p>
      <w:pPr>
        <w:pStyle w:val="Heading2"/>
      </w:pPr>
      <w:r>
        <w:t>Convicciones estratégicas</w:t>
      </w:r>
    </w:p>
    <w:p>
      <w:pPr>
        <w:pStyle w:val="ListBullet"/>
      </w:pPr>
      <w:r>
        <w:t>Una buena estrategia puede fracasar si los líderes priorizan, deciden y refuerzan comportamientos contradictorios.</w:t>
      </w:r>
    </w:p>
    <w:p>
      <w:pPr>
        <w:pStyle w:val="ListBullet"/>
      </w:pPr>
      <w:r>
        <w:t>La compra de software o IA no equivale a adopción ni a retorno económico.</w:t>
      </w:r>
    </w:p>
    <w:p>
      <w:pPr>
        <w:pStyle w:val="ListBullet"/>
      </w:pPr>
      <w:r>
        <w:t>La capacitación solo crea valor cuando cambia la capacidad aplicada y el desempeño real.</w:t>
      </w:r>
    </w:p>
    <w:p>
      <w:pPr>
        <w:pStyle w:val="ListBullet"/>
      </w:pPr>
      <w:r>
        <w:t>La adopción requiere liderazgo, operating model, habilitación, incentivos, procesos y evidencia.</w:t>
      </w:r>
    </w:p>
    <w:p>
      <w:pPr>
        <w:pStyle w:val="ListBullet"/>
      </w:pPr>
      <w:r>
        <w:t>Una transformación debe gestionarse con métricas de uso, comportamiento e impacto, no solo con actividades y asistencia.</w:t>
      </w:r>
    </w:p>
    <w:p>
      <w:pPr>
        <w:pStyle w:val="ListBullet"/>
      </w:pPr>
      <w:r>
        <w:t>Los resultados de negocio son el lenguaje principal ante la alta dirección.</w:t>
      </w:r>
    </w:p>
    <w:p>
      <w:pPr>
        <w:pStyle w:val="Heading2"/>
      </w:pPr>
      <w:r>
        <w:t>Origen semántico y códigos propios</w:t>
      </w:r>
    </w:p>
    <w:p>
      <w:r>
        <w:t>Praxia evoca praxis (acción) + axia (valor). El símbolo «The Axis» representa dos anillos que se cruzan: humano e inteligencia artificial; su intersección es la adopción. La «x» del logotipo materializa estrategia × ejecución. [DEFINIDO, Brand Guidelines v1.0]</w:t>
      </w:r>
    </w:p>
    <w:p>
      <w:pPr>
        <w:pStyle w:val="Heading1"/>
      </w:pPr>
      <w:r>
        <w:t>03 · Categoría, mercado y problema que resuelve</w:t>
      </w:r>
    </w:p>
    <w:p>
      <w:pPr>
        <w:pStyle w:val="Heading2"/>
      </w:pPr>
      <w:r>
        <w:t>Categoría y posicionamiento</w:t>
      </w:r>
    </w:p>
    <w:p>
      <w:r>
        <w:t>Categoría primaria: Human &amp; AI Transformation Advisory. Descripción de mercado: consultoría boutique de adopción estratégica y transformación organizacional, con énfasis en IA aplicada, liderazgo, modelo operativo, capacidad organizacional y resultados. No reducir a consultoría HR, coaching, formación corporativa o implementación técnica de software. [DEFINIDO/TRABAJADO]</w:t>
      </w:r>
    </w:p>
    <w:p>
      <w:pPr>
        <w:pStyle w:val="Heading2"/>
      </w:pPr>
      <w:r>
        <w:t>Problemas concretos y económicamente relevantes</w:t>
      </w:r>
    </w:p>
    <w:p>
      <w:pPr>
        <w:pStyle w:val="ListBullet"/>
      </w:pPr>
      <w:r>
        <w:t>Transformaciones con gasto significativo que no cambian la operación ni capturan beneficios.</w:t>
      </w:r>
    </w:p>
    <w:p>
      <w:pPr>
        <w:pStyle w:val="ListBullet"/>
      </w:pPr>
      <w:r>
        <w:t>Implementaciones de IA y automatización con baja utilización, errores de adopción o ROI insuficiente.</w:t>
      </w:r>
    </w:p>
    <w:p>
      <w:pPr>
        <w:pStyle w:val="ListBullet"/>
      </w:pPr>
      <w:r>
        <w:t>Desalineación ejecutiva: múltiples interpretaciones de prioridades e incentivos.</w:t>
      </w:r>
    </w:p>
    <w:p>
      <w:pPr>
        <w:pStyle w:val="ListBullet"/>
      </w:pPr>
      <w:r>
        <w:t>Cambios de procesos sin gobernanza ni responsables claros.</w:t>
      </w:r>
    </w:p>
    <w:p>
      <w:pPr>
        <w:pStyle w:val="ListBullet"/>
      </w:pPr>
      <w:r>
        <w:t>Mandos medios y líderes incapaces de traducir nuevas prioridades en rutinas diarias.</w:t>
      </w:r>
    </w:p>
    <w:p>
      <w:pPr>
        <w:pStyle w:val="ListBullet"/>
      </w:pPr>
      <w:r>
        <w:t>Programas de desarrollo de capacidades desconectados de productividad, calidad, seguridad, costo, experiencia y velocidad.</w:t>
      </w:r>
    </w:p>
    <w:p>
      <w:pPr>
        <w:pStyle w:val="ListBullet"/>
      </w:pPr>
      <w:r>
        <w:t>Falta de métricas prácticas sobre exposición → comprensión → capacidad → conducta → impacto.</w:t>
      </w:r>
    </w:p>
    <w:p>
      <w:pPr>
        <w:pStyle w:val="Heading2"/>
      </w:pPr>
      <w:r>
        <w:t>Comprador, usuario y beneficiario</w:t>
      </w:r>
    </w:p>
    <w:tbl>
      <w:tblPr>
        <w:tblStyle w:val="LightShading-Accent1"/>
        <w:tblW w:type="auto" w:w="0"/>
        <w:jc w:val="center"/>
        <w:tblLook w:firstColumn="1" w:firstRow="1" w:lastColumn="0" w:lastRow="0" w:noHBand="0" w:noVBand="1" w:val="04A0"/>
      </w:tblPr>
      <w:tblGrid>
        <w:gridCol w:w="4867"/>
        <w:gridCol w:w="4867"/>
      </w:tblGrid>
      <w:tr>
        <w:tc>
          <w:tcPr>
            <w:tcW w:type="dxa" w:w="4867"/>
          </w:tcPr>
          <w:p>
            <w:r>
              <w:t>Rol</w:t>
            </w:r>
          </w:p>
        </w:tc>
        <w:tc>
          <w:tcPr>
            <w:tcW w:type="dxa" w:w="4867"/>
          </w:tcPr>
          <w:p>
            <w:r>
              <w:t>Problema / prioridad</w:t>
            </w:r>
          </w:p>
        </w:tc>
      </w:tr>
      <w:tr>
        <w:tc>
          <w:tcPr>
            <w:tcW w:type="dxa" w:w="4867"/>
          </w:tcPr>
          <w:p>
            <w:r>
              <w:t>CEO / Country Manager</w:t>
            </w:r>
          </w:p>
        </w:tc>
        <w:tc>
          <w:tcPr>
            <w:tcW w:type="dxa" w:w="4867"/>
          </w:tcPr>
          <w:p>
            <w:r>
              <w:t>Ejecución estratégica, velocidad, valor capturado</w:t>
            </w:r>
          </w:p>
        </w:tc>
      </w:tr>
      <w:tr>
        <w:tc>
          <w:tcPr>
            <w:tcW w:type="dxa" w:w="4867"/>
          </w:tcPr>
          <w:p>
            <w:r>
              <w:t>COO / Operaciones</w:t>
            </w:r>
          </w:p>
        </w:tc>
        <w:tc>
          <w:tcPr>
            <w:tcW w:type="dxa" w:w="4867"/>
          </w:tcPr>
          <w:p>
            <w:r>
              <w:t>Desempeño, consistencia operativa, productividad</w:t>
            </w:r>
          </w:p>
        </w:tc>
      </w:tr>
      <w:tr>
        <w:tc>
          <w:tcPr>
            <w:tcW w:type="dxa" w:w="4867"/>
          </w:tcPr>
          <w:p>
            <w:r>
              <w:t>CHRO / People Leader</w:t>
            </w:r>
          </w:p>
        </w:tc>
        <w:tc>
          <w:tcPr>
            <w:tcW w:type="dxa" w:w="4867"/>
          </w:tcPr>
          <w:p>
            <w:r>
              <w:t>Liderazgo, talento, organización y adopción transversal</w:t>
            </w:r>
          </w:p>
        </w:tc>
      </w:tr>
      <w:tr>
        <w:tc>
          <w:tcPr>
            <w:tcW w:type="dxa" w:w="4867"/>
          </w:tcPr>
          <w:p>
            <w:r>
              <w:t>CIO / CTO / AI Lead</w:t>
            </w:r>
          </w:p>
        </w:tc>
        <w:tc>
          <w:tcPr>
            <w:tcW w:type="dxa" w:w="4867"/>
          </w:tcPr>
          <w:p>
            <w:r>
              <w:t>Uso efectivo de IA, habilitación y retorno de inversión</w:t>
            </w:r>
          </w:p>
        </w:tc>
      </w:tr>
      <w:tr>
        <w:tc>
          <w:tcPr>
            <w:tcW w:type="dxa" w:w="4867"/>
          </w:tcPr>
          <w:p>
            <w:r>
              <w:t>Transformation / Strategy Officer</w:t>
            </w:r>
          </w:p>
        </w:tc>
        <w:tc>
          <w:tcPr>
            <w:tcW w:type="dxa" w:w="4867"/>
          </w:tcPr>
          <w:p>
            <w:r>
              <w:t>Gobernanza, cambio y medición de beneficios</w:t>
            </w:r>
          </w:p>
        </w:tc>
      </w:tr>
      <w:tr>
        <w:tc>
          <w:tcPr>
            <w:tcW w:type="dxa" w:w="4867"/>
          </w:tcPr>
          <w:p>
            <w:r>
              <w:t>CFO (patrocinador)</w:t>
            </w:r>
          </w:p>
        </w:tc>
        <w:tc>
          <w:tcPr>
            <w:tcW w:type="dxa" w:w="4867"/>
          </w:tcPr>
          <w:p>
            <w:r>
              <w:t>Caso de negocio, costo de inacción y ROI</w:t>
            </w:r>
          </w:p>
        </w:tc>
      </w:tr>
    </w:tbl>
    <w:p/>
    <w:p>
      <w:r>
        <w:t>Geografía inicial natural: Latinoamérica y empresas internacionales con operaciones en la región; enfoque comercial específico, segmentos prioritarios y verticales todavía pendientes de validación. [PROPUESTA]</w:t>
      </w:r>
    </w:p>
    <w:p>
      <w:pPr>
        <w:pStyle w:val="Heading1"/>
      </w:pPr>
      <w:r>
        <w:t>04 · Propuesta de valor y diferenciación</w:t>
      </w:r>
    </w:p>
    <w:p>
      <w:pPr>
        <w:pStyle w:val="Heading2"/>
      </w:pPr>
      <w:r>
        <w:t>Lo que compra el cliente</w:t>
      </w:r>
    </w:p>
    <w:p>
      <w:r>
        <w:t>El cliente compra mayor probabilidad de capturar resultados de una decisión estratégica: adopción real de procesos y herramientas, reducción de fricción de ejecución, mejor capacidad gerencial, accountability y visibilidad del impacto. Las metodologías son vehículos, nunca el producto final.</w:t>
      </w:r>
    </w:p>
    <w:p>
      <w:pPr>
        <w:pStyle w:val="Heading2"/>
      </w:pPr>
      <w:r>
        <w:t>Diferenciadores defendibles</w:t>
      </w:r>
    </w:p>
    <w:p>
      <w:pPr>
        <w:pStyle w:val="ListBullet"/>
      </w:pPr>
      <w:r>
        <w:t>Se conecta la sala de juntas con las rutinas y decisiones de primera línea.</w:t>
      </w:r>
    </w:p>
    <w:p>
      <w:pPr>
        <w:pStyle w:val="ListBullet"/>
      </w:pPr>
      <w:r>
        <w:t>Se trata la adopción como un problema de diseño del sistema, no solamente de comunicación.</w:t>
      </w:r>
    </w:p>
    <w:p>
      <w:pPr>
        <w:pStyle w:val="ListBullet"/>
      </w:pPr>
      <w:r>
        <w:t>Se construye evidencia desde un diagnóstico hasta indicadores de valor.</w:t>
      </w:r>
    </w:p>
    <w:p>
      <w:pPr>
        <w:pStyle w:val="ListBullet"/>
      </w:pPr>
      <w:r>
        <w:t>Se integran humano + IA sin absolutizar ninguna dimensión.</w:t>
      </w:r>
    </w:p>
    <w:p>
      <w:pPr>
        <w:pStyle w:val="ListBullet"/>
      </w:pPr>
      <w:r>
        <w:t>Formato boutique con involucramiento ejecutivo y entregables accionables.</w:t>
      </w:r>
    </w:p>
    <w:p>
      <w:pPr>
        <w:pStyle w:val="ListBullet"/>
      </w:pPr>
      <w:r>
        <w:t>Marcos nombrados e IP en desarrollo: Adoption Gap, Adoption Architecture, Adoption Scorecard y Adoption Gap Index™.</w:t>
      </w:r>
    </w:p>
    <w:p>
      <w:pPr>
        <w:pStyle w:val="Heading1"/>
      </w:pPr>
      <w:r>
        <w:t>05 · Portafolio de servicios y soluciones</w:t>
      </w:r>
    </w:p>
    <w:p>
      <w:r>
        <w:t>La siguiente arquitectura combina pilares trabajados con productos/paquetes sugeridos. No implica que ya estén lanzados, vendidos ni registrados legalmente.</w:t>
      </w:r>
    </w:p>
    <w:p>
      <w:pPr>
        <w:pStyle w:val="Heading2"/>
      </w:pPr>
      <w:r>
        <w:t>01 · Strategy-to-Adoption Advisory</w:t>
      </w:r>
    </w:p>
    <w:p>
      <w:r>
        <w:t>Qué resuelve: Traducir estrategia y transformación en objetivos operativos, decisiones, ownership, governance, operating model y plan de adopción.</w:t>
      </w:r>
    </w:p>
    <w:p>
      <w:r>
        <w:t>Entregables posibles [PROPUESTA]: Roadmap de 90/180 días, mapa de decisiones, modelo de gobernanza, adoption KPIs.</w:t>
      </w:r>
    </w:p>
    <w:p>
      <w:pPr>
        <w:pStyle w:val="Heading2"/>
      </w:pPr>
      <w:r>
        <w:t>02 · AI Adoption &amp; Value Realization</w:t>
      </w:r>
    </w:p>
    <w:p>
      <w:r>
        <w:t>Qué resuelve: Diagnosticar oportunidades de IA, rediseñar procesos de trabajo, habilitar uso real, capacitar por rol y medir valor.</w:t>
      </w:r>
    </w:p>
    <w:p>
      <w:r>
        <w:t>Entregables posibles [PROPUESTA]: Mapa de casos de uso, pilotos, playbooks, scorecard de adopción, medición de impacto.</w:t>
      </w:r>
    </w:p>
    <w:p>
      <w:pPr>
        <w:pStyle w:val="Heading2"/>
      </w:pPr>
      <w:r>
        <w:t>03 · Leadership &amp; Execution System</w:t>
      </w:r>
    </w:p>
    <w:p>
      <w:r>
        <w:t>Qué resuelve: Alinear comité ejecutivo, líderes y mandos en prioridades, accountability y rutinas de ejecución.</w:t>
      </w:r>
    </w:p>
    <w:p>
      <w:r>
        <w:t>Entregables posibles [PROPUESTA]: Leadership operating cadence, decisiones críticas, rituales de gestión, indicadores.</w:t>
      </w:r>
    </w:p>
    <w:p>
      <w:pPr>
        <w:pStyle w:val="Heading2"/>
      </w:pPr>
      <w:r>
        <w:t>04 · Organizational Design &amp; Operating Model</w:t>
      </w:r>
    </w:p>
    <w:p>
      <w:r>
        <w:t>Qué resuelve: Diseñar estructura, interfaces, derechos de decisión, procesos y gestión del desempeño necesarios para la estrategia.</w:t>
      </w:r>
    </w:p>
    <w:p>
      <w:r>
        <w:t>Entregables posibles [PROPUESTA]: Operating model, RACI/decision rights, role architecture, cambios de procesos.</w:t>
      </w:r>
    </w:p>
    <w:p>
      <w:pPr>
        <w:pStyle w:val="Heading2"/>
      </w:pPr>
      <w:r>
        <w:t>05 · Capability &amp; Performance Transformation</w:t>
      </w:r>
    </w:p>
    <w:p>
      <w:r>
        <w:t>Qué resuelve: Desarrollar capacidades críticas conectadas al desempeño de negocio y no únicamente a horas de formación.</w:t>
      </w:r>
    </w:p>
    <w:p>
      <w:r>
        <w:t>Entregables posibles [PROPUESTA]: Capability map, academias, aprendizaje aplicado, evaluación en puesto, medición.</w:t>
      </w:r>
    </w:p>
    <w:p>
      <w:pPr>
        <w:pStyle w:val="Heading2"/>
      </w:pPr>
      <w:r>
        <w:t>06 · Adoption Measurement &amp; Diagnostics</w:t>
      </w:r>
    </w:p>
    <w:p>
      <w:r>
        <w:t>Qué resuelve: Determinar dónde se rompe la adopción y evidenciar progreso en comportamientos y resultados.</w:t>
      </w:r>
    </w:p>
    <w:p>
      <w:r>
        <w:t>Entregables posibles [PROPUESTA]: Adoption Gap diagnostic, scorecard, baseline, tableros y plan correctivo.</w:t>
      </w:r>
    </w:p>
    <w:p>
      <w:pPr>
        <w:pStyle w:val="Heading2"/>
      </w:pPr>
      <w:r>
        <w:t>07 · Change Activation &amp; Communications</w:t>
      </w:r>
    </w:p>
    <w:p>
      <w:r>
        <w:t>Qué resuelve: Activar patrocinio, narrativa, comunicación, managers y mecanismos de refuerzo dentro del cambio.</w:t>
      </w:r>
    </w:p>
    <w:p>
      <w:r>
        <w:t>Entregables posibles [PROPUESTA]: Stakeholder map, activación de líderes, kit de adopción, arquitectura de refuerzo.</w:t>
      </w:r>
    </w:p>
    <w:p>
      <w:pPr>
        <w:pStyle w:val="Heading1"/>
      </w:pPr>
      <w:r>
        <w:t>06 · Metodología e IP propia</w:t>
      </w:r>
    </w:p>
    <w:p>
      <w:pPr>
        <w:pStyle w:val="Heading2"/>
      </w:pPr>
      <w:r>
        <w:t>Adoption Gap™ — territorio conceptual</w:t>
      </w:r>
    </w:p>
    <w:p>
      <w:r>
        <w:t>Se define como la distancia medible entre lo que se declara/compras/despliega y lo que realmente se usa e incorpora a decisiones, comportamientos y resultados. [DEFINIDO]</w:t>
      </w:r>
    </w:p>
    <w:p>
      <w:pPr>
        <w:pStyle w:val="Heading2"/>
      </w:pPr>
      <w:r>
        <w:t>Adoption Architecture — cinco elementos [TRABAJADO]</w:t>
      </w:r>
    </w:p>
    <w:tbl>
      <w:tblPr>
        <w:tblStyle w:val="LightShading-Accent1"/>
        <w:tblW w:type="auto" w:w="0"/>
        <w:jc w:val="center"/>
        <w:tblLook w:firstColumn="1" w:firstRow="1" w:lastColumn="0" w:lastRow="0" w:noHBand="0" w:noVBand="1" w:val="04A0"/>
      </w:tblPr>
      <w:tblGrid>
        <w:gridCol w:w="4867"/>
        <w:gridCol w:w="4867"/>
      </w:tblGrid>
      <w:tr>
        <w:tc>
          <w:tcPr>
            <w:tcW w:type="dxa" w:w="4867"/>
          </w:tcPr>
          <w:p>
            <w:r>
              <w:t>Capa</w:t>
            </w:r>
          </w:p>
        </w:tc>
        <w:tc>
          <w:tcPr>
            <w:tcW w:type="dxa" w:w="4867"/>
          </w:tcPr>
          <w:p>
            <w:r>
              <w:t>Pregunta principal</w:t>
            </w:r>
          </w:p>
        </w:tc>
      </w:tr>
      <w:tr>
        <w:tc>
          <w:tcPr>
            <w:tcW w:type="dxa" w:w="4867"/>
          </w:tcPr>
          <w:p>
            <w:r>
              <w:t>Sentido y dirección</w:t>
            </w:r>
          </w:p>
        </w:tc>
        <w:tc>
          <w:tcPr>
            <w:tcW w:type="dxa" w:w="4867"/>
          </w:tcPr>
          <w:p>
            <w:r>
              <w:t>¿Qué cambio importa y por qué ahora?</w:t>
            </w:r>
          </w:p>
        </w:tc>
      </w:tr>
      <w:tr>
        <w:tc>
          <w:tcPr>
            <w:tcW w:type="dxa" w:w="4867"/>
          </w:tcPr>
          <w:p>
            <w:r>
              <w:t>Liderazgo y patrocinio</w:t>
            </w:r>
          </w:p>
        </w:tc>
        <w:tc>
          <w:tcPr>
            <w:tcW w:type="dxa" w:w="4867"/>
          </w:tcPr>
          <w:p>
            <w:r>
              <w:t>¿Qué decisiones y señales sostienen el cambio?</w:t>
            </w:r>
          </w:p>
        </w:tc>
      </w:tr>
      <w:tr>
        <w:tc>
          <w:tcPr>
            <w:tcW w:type="dxa" w:w="4867"/>
          </w:tcPr>
          <w:p>
            <w:r>
              <w:t>Sistema operativo</w:t>
            </w:r>
          </w:p>
        </w:tc>
        <w:tc>
          <w:tcPr>
            <w:tcW w:type="dxa" w:w="4867"/>
          </w:tcPr>
          <w:p>
            <w:r>
              <w:t>¿Qué procesos, roles, incentivos y rituales deben cambiar?</w:t>
            </w:r>
          </w:p>
        </w:tc>
      </w:tr>
      <w:tr>
        <w:tc>
          <w:tcPr>
            <w:tcW w:type="dxa" w:w="4867"/>
          </w:tcPr>
          <w:p>
            <w:r>
              <w:t>Capacidad</w:t>
            </w:r>
          </w:p>
        </w:tc>
        <w:tc>
          <w:tcPr>
            <w:tcW w:type="dxa" w:w="4867"/>
          </w:tcPr>
          <w:p>
            <w:r>
              <w:t>¿Quién puede ejecutar el cambio y con qué herramientas?</w:t>
            </w:r>
          </w:p>
        </w:tc>
      </w:tr>
      <w:tr>
        <w:tc>
          <w:tcPr>
            <w:tcW w:type="dxa" w:w="4867"/>
          </w:tcPr>
          <w:p>
            <w:r>
              <w:t>Evidencia y refuerzo</w:t>
            </w:r>
          </w:p>
        </w:tc>
        <w:tc>
          <w:tcPr>
            <w:tcW w:type="dxa" w:w="4867"/>
          </w:tcPr>
          <w:p>
            <w:r>
              <w:t>¿Cómo verificamos uso, resultados y sostenibilidad?</w:t>
            </w:r>
          </w:p>
        </w:tc>
      </w:tr>
    </w:tbl>
    <w:p/>
    <w:p>
      <w:pPr>
        <w:pStyle w:val="Heading2"/>
      </w:pPr>
      <w:r>
        <w:t>Adoption Scorecard — niveles de medición [TRABAJADO]</w:t>
      </w:r>
    </w:p>
    <w:tbl>
      <w:tblPr>
        <w:tblStyle w:val="LightShading-Accent1"/>
        <w:tblW w:type="auto" w:w="0"/>
        <w:jc w:val="center"/>
        <w:tblLook w:firstColumn="1" w:firstRow="1" w:lastColumn="0" w:lastRow="0" w:noHBand="0" w:noVBand="1" w:val="04A0"/>
      </w:tblPr>
      <w:tblGrid>
        <w:gridCol w:w="4867"/>
        <w:gridCol w:w="4867"/>
      </w:tblGrid>
      <w:tr>
        <w:tc>
          <w:tcPr>
            <w:tcW w:type="dxa" w:w="4867"/>
          </w:tcPr>
          <w:p>
            <w:r>
              <w:t>Nivel</w:t>
            </w:r>
          </w:p>
        </w:tc>
        <w:tc>
          <w:tcPr>
            <w:tcW w:type="dxa" w:w="4867"/>
          </w:tcPr>
          <w:p>
            <w:r>
              <w:t>Indicadores ilustrativos</w:t>
            </w:r>
          </w:p>
        </w:tc>
      </w:tr>
      <w:tr>
        <w:tc>
          <w:tcPr>
            <w:tcW w:type="dxa" w:w="4867"/>
          </w:tcPr>
          <w:p>
            <w:r>
              <w:t>Exposición</w:t>
            </w:r>
          </w:p>
        </w:tc>
        <w:tc>
          <w:tcPr>
            <w:tcW w:type="dxa" w:w="4867"/>
          </w:tcPr>
          <w:p>
            <w:r>
              <w:t>Población objetivo impactada / accesibilidad</w:t>
            </w:r>
          </w:p>
        </w:tc>
      </w:tr>
      <w:tr>
        <w:tc>
          <w:tcPr>
            <w:tcW w:type="dxa" w:w="4867"/>
          </w:tcPr>
          <w:p>
            <w:r>
              <w:t>Comprensión</w:t>
            </w:r>
          </w:p>
        </w:tc>
        <w:tc>
          <w:tcPr>
            <w:tcW w:type="dxa" w:w="4867"/>
          </w:tcPr>
          <w:p>
            <w:r>
              <w:t>Entendimiento del cambio y expectativa por rol</w:t>
            </w:r>
          </w:p>
        </w:tc>
      </w:tr>
      <w:tr>
        <w:tc>
          <w:tcPr>
            <w:tcW w:type="dxa" w:w="4867"/>
          </w:tcPr>
          <w:p>
            <w:r>
              <w:t>Capacidad</w:t>
            </w:r>
          </w:p>
        </w:tc>
        <w:tc>
          <w:tcPr>
            <w:tcW w:type="dxa" w:w="4867"/>
          </w:tcPr>
          <w:p>
            <w:r>
              <w:t>Demostración de habilidad / readiness</w:t>
            </w:r>
          </w:p>
        </w:tc>
      </w:tr>
      <w:tr>
        <w:tc>
          <w:tcPr>
            <w:tcW w:type="dxa" w:w="4867"/>
          </w:tcPr>
          <w:p>
            <w:r>
              <w:t>Comportamiento</w:t>
            </w:r>
          </w:p>
        </w:tc>
        <w:tc>
          <w:tcPr>
            <w:tcW w:type="dxa" w:w="4867"/>
          </w:tcPr>
          <w:p>
            <w:r>
              <w:t>Uso observable, recurrencia y calidad de ejecución</w:t>
            </w:r>
          </w:p>
        </w:tc>
      </w:tr>
      <w:tr>
        <w:tc>
          <w:tcPr>
            <w:tcW w:type="dxa" w:w="4867"/>
          </w:tcPr>
          <w:p>
            <w:r>
              <w:t>Impacto</w:t>
            </w:r>
          </w:p>
        </w:tc>
        <w:tc>
          <w:tcPr>
            <w:tcW w:type="dxa" w:w="4867"/>
          </w:tcPr>
          <w:p>
            <w:r>
              <w:t>Productividad, costo, lead time, calidad, seguridad, ventas o ROI</w:t>
            </w:r>
          </w:p>
        </w:tc>
      </w:tr>
    </w:tbl>
    <w:p/>
    <w:p>
      <w:pPr>
        <w:pStyle w:val="Heading2"/>
      </w:pPr>
      <w:r>
        <w:t>Adoption Gap Index™ [CONCEPTO DEFINIDO; FÓRMULA PENDIENTE]</w:t>
      </w:r>
    </w:p>
    <w:p>
      <w:r>
        <w:t>El manual lo presenta como índice propietario. No hay evidencia de una fórmula validada, ponderaciones científicamente probadas, benchmark sectorial o registro de marca. Se recomienda definir dimensiones, escalas, confiabilidad, modelo de scoring, calibración por industria y metodología de validación antes de presentar cifras a clientes.</w:t>
      </w:r>
    </w:p>
    <w:p>
      <w:pPr>
        <w:pStyle w:val="Heading2"/>
      </w:pPr>
      <w:r>
        <w:t>Delivery recomendado [PROPUESTA]</w:t>
      </w:r>
    </w:p>
    <w:p>
      <w:pPr>
        <w:pStyle w:val="ListBullet"/>
      </w:pPr>
      <w:r>
        <w:t>Discover: contexto de negocio, patrocinador, baseline y costo de no actuar.</w:t>
      </w:r>
    </w:p>
    <w:p>
      <w:pPr>
        <w:pStyle w:val="ListBullet"/>
      </w:pPr>
      <w:r>
        <w:t>Diagnose: decisiones, workflows, liderazgo, datos y brechas de adopción.</w:t>
      </w:r>
    </w:p>
    <w:p>
      <w:pPr>
        <w:pStyle w:val="ListBullet"/>
      </w:pPr>
      <w:r>
        <w:t>Design: resultados, cambios requeridos, roles, operating model, métricas y roadmap.</w:t>
      </w:r>
    </w:p>
    <w:p>
      <w:pPr>
        <w:pStyle w:val="ListBullet"/>
      </w:pPr>
      <w:r>
        <w:t>Activate: pilotos, habilitación, comunicación, liderazgos y mecanismos de refuerzo.</w:t>
      </w:r>
    </w:p>
    <w:p>
      <w:pPr>
        <w:pStyle w:val="ListBullet"/>
      </w:pPr>
      <w:r>
        <w:t>Measure &amp; Scale: evidencia, beneficios, iteración y transferencia al equipo cliente.</w:t>
      </w:r>
    </w:p>
    <w:p>
      <w:pPr>
        <w:pStyle w:val="Heading1"/>
      </w:pPr>
      <w:r>
        <w:t>07 · Arquitectura de ofertas comerciales</w:t>
      </w:r>
    </w:p>
    <w:p>
      <w:r>
        <w:t>Pricing previamente explorado: piso de USD 15k–20k por proyecto estratégico y ticket promedio aspiracional de USD 30k–50k. Son hipótesis comerciales, no tarifa publicada ni evidencia de contratos. [TRABAJADO]</w:t>
      </w:r>
    </w:p>
    <w:tbl>
      <w:tblPr>
        <w:tblStyle w:val="LightShading-Accent1"/>
        <w:tblW w:type="auto" w:w="0"/>
        <w:jc w:val="center"/>
        <w:tblLook w:firstColumn="1" w:firstRow="1" w:lastColumn="0" w:lastRow="0" w:noHBand="0" w:noVBand="1" w:val="04A0"/>
      </w:tblPr>
      <w:tblGrid>
        <w:gridCol w:w="3245"/>
        <w:gridCol w:w="3245"/>
        <w:gridCol w:w="3245"/>
      </w:tblGrid>
      <w:tr>
        <w:tc>
          <w:tcPr>
            <w:tcW w:type="dxa" w:w="3245"/>
          </w:tcPr>
          <w:p>
            <w:r>
              <w:t>Oferta propuesta</w:t>
            </w:r>
          </w:p>
        </w:tc>
        <w:tc>
          <w:tcPr>
            <w:tcW w:type="dxa" w:w="3245"/>
          </w:tcPr>
          <w:p>
            <w:r>
              <w:t>Alcance</w:t>
            </w:r>
          </w:p>
        </w:tc>
        <w:tc>
          <w:tcPr>
            <w:tcW w:type="dxa" w:w="3245"/>
          </w:tcPr>
          <w:p>
            <w:r>
              <w:t>Rango orientativo (hipótesis)</w:t>
            </w:r>
          </w:p>
        </w:tc>
      </w:tr>
      <w:tr>
        <w:tc>
          <w:tcPr>
            <w:tcW w:type="dxa" w:w="3245"/>
          </w:tcPr>
          <w:p>
            <w:r>
              <w:t>Adoption Gap Diagnostic</w:t>
            </w:r>
          </w:p>
        </w:tc>
        <w:tc>
          <w:tcPr>
            <w:tcW w:type="dxa" w:w="3245"/>
          </w:tcPr>
          <w:p>
            <w:r>
              <w:t>Diagnóstico ejecutivo + baseline + oportunidades y business case</w:t>
            </w:r>
          </w:p>
        </w:tc>
        <w:tc>
          <w:tcPr>
            <w:tcW w:type="dxa" w:w="3245"/>
          </w:tcPr>
          <w:p>
            <w:r>
              <w:t>USD 8k–15k</w:t>
            </w:r>
          </w:p>
        </w:tc>
      </w:tr>
      <w:tr>
        <w:tc>
          <w:tcPr>
            <w:tcW w:type="dxa" w:w="3245"/>
          </w:tcPr>
          <w:p>
            <w:r>
              <w:t>Strategy-to-Adoption Sprint</w:t>
            </w:r>
          </w:p>
        </w:tc>
        <w:tc>
          <w:tcPr>
            <w:tcW w:type="dxa" w:w="3245"/>
          </w:tcPr>
          <w:p>
            <w:r>
              <w:t>Diseño y activación de 1–2 prioridades, 6–10 semanas</w:t>
            </w:r>
          </w:p>
        </w:tc>
        <w:tc>
          <w:tcPr>
            <w:tcW w:type="dxa" w:w="3245"/>
          </w:tcPr>
          <w:p>
            <w:r>
              <w:t>USD 15k–25k</w:t>
            </w:r>
          </w:p>
        </w:tc>
      </w:tr>
      <w:tr>
        <w:tc>
          <w:tcPr>
            <w:tcW w:type="dxa" w:w="3245"/>
          </w:tcPr>
          <w:p>
            <w:r>
              <w:t>Transformation Adoption Program</w:t>
            </w:r>
          </w:p>
        </w:tc>
        <w:tc>
          <w:tcPr>
            <w:tcW w:type="dxa" w:w="3245"/>
          </w:tcPr>
          <w:p>
            <w:r>
              <w:t>Intervención transversal 3–6 meses con medición</w:t>
            </w:r>
          </w:p>
        </w:tc>
        <w:tc>
          <w:tcPr>
            <w:tcW w:type="dxa" w:w="3245"/>
          </w:tcPr>
          <w:p>
            <w:r>
              <w:t>USD 30k–50k+</w:t>
            </w:r>
          </w:p>
        </w:tc>
      </w:tr>
      <w:tr>
        <w:tc>
          <w:tcPr>
            <w:tcW w:type="dxa" w:w="3245"/>
          </w:tcPr>
          <w:p>
            <w:r>
              <w:t>Executive Advisory Retainer</w:t>
            </w:r>
          </w:p>
        </w:tc>
        <w:tc>
          <w:tcPr>
            <w:tcW w:type="dxa" w:w="3245"/>
          </w:tcPr>
          <w:p>
            <w:r>
              <w:t>Gobernanza, coaching de ejecución y seguimiento mensual</w:t>
            </w:r>
          </w:p>
        </w:tc>
        <w:tc>
          <w:tcPr>
            <w:tcW w:type="dxa" w:w="3245"/>
          </w:tcPr>
          <w:p>
            <w:r>
              <w:t>Definir según alcance</w:t>
            </w:r>
          </w:p>
        </w:tc>
      </w:tr>
      <w:tr>
        <w:tc>
          <w:tcPr>
            <w:tcW w:type="dxa" w:w="3245"/>
          </w:tcPr>
          <w:p>
            <w:r>
              <w:t>AI Adoption Accelerator</w:t>
            </w:r>
          </w:p>
        </w:tc>
        <w:tc>
          <w:tcPr>
            <w:tcW w:type="dxa" w:w="3245"/>
          </w:tcPr>
          <w:p>
            <w:r>
              <w:t>Caso de uso priorizado, piloto por función y medición</w:t>
            </w:r>
          </w:p>
        </w:tc>
        <w:tc>
          <w:tcPr>
            <w:tcW w:type="dxa" w:w="3245"/>
          </w:tcPr>
          <w:p>
            <w:r>
              <w:t>Cotización específica</w:t>
            </w:r>
          </w:p>
        </w:tc>
      </w:tr>
    </w:tbl>
    <w:p/>
    <w:p>
      <w:r>
        <w:t>Evitar competir por horas de capacitación. Recomendación: cada propuesta debe especificar problema económico, baseline, cambio de comportamiento, hitos de valor, exclusiones, supuestos, stakeholders y medición de resultados. Los precios mostrados son experimentales.</w:t>
      </w:r>
    </w:p>
    <w:p>
      <w:pPr>
        <w:pStyle w:val="Heading1"/>
      </w:pPr>
      <w:r>
        <w:t>08 · Modelo de negocio y objetivos económicos</w:t>
      </w:r>
    </w:p>
    <w:p>
      <w:pPr>
        <w:pStyle w:val="Heading2"/>
      </w:pPr>
      <w:r>
        <w:t>Meta y lógica de unidad económica</w:t>
      </w:r>
    </w:p>
    <w:p>
      <w:r>
        <w:t>Meta del fundador: USD 10,000 de ingresos mensuales adicionales. No asumir si se refiere a facturación o utilidad neta: requiere definición posterior. La preferencia declarada es perseguir asuntos por los que los clientes pagarían USD 20,000, evitando ofertas tácticas de bajo valor. [DEFINIDO]</w:t>
      </w:r>
    </w:p>
    <w:p>
      <w:r>
        <w:t>Escenarios ilustrativos sin atribuir ventas reales: 1 contrato USD 30k cada trimestre genera un promedio bruto de USD 10k/mes; 2 contratos USD 20k por cuatrimestre también; un retainer de USD 5k/mes + 1 proyecto de USD 15k trimestral alcanzaría USD 10k/mes promedio antes de costos e impuestos. [PROPUESTA]</w:t>
      </w:r>
    </w:p>
    <w:p>
      <w:pPr>
        <w:pStyle w:val="Heading2"/>
      </w:pPr>
      <w:r>
        <w:t>Mecanismos de monetización</w:t>
      </w:r>
    </w:p>
    <w:p>
      <w:pPr>
        <w:pStyle w:val="ListBullet"/>
      </w:pPr>
      <w:r>
        <w:t>Advisory y diagnóstico ejecutivo de precio fijo.</w:t>
      </w:r>
    </w:p>
    <w:p>
      <w:pPr>
        <w:pStyle w:val="ListBullet"/>
      </w:pPr>
      <w:r>
        <w:t>Programas de transformación por hitos o retainer según riesgos y alcance.</w:t>
      </w:r>
    </w:p>
    <w:p>
      <w:pPr>
        <w:pStyle w:val="ListBullet"/>
      </w:pPr>
      <w:r>
        <w:t>Licenciamiento futuro de diagnósticos, plantillas y herramientas cuando exista IP validada.</w:t>
      </w:r>
    </w:p>
    <w:p>
      <w:pPr>
        <w:pStyle w:val="ListBullet"/>
      </w:pPr>
      <w:r>
        <w:t>Talleres ejecutivos como puerta de entrada, con conexión a una intervención medible.</w:t>
      </w:r>
    </w:p>
    <w:p>
      <w:pPr>
        <w:pStyle w:val="ListBullet"/>
      </w:pPr>
      <w:r>
        <w:t>Productos digitales y de IA como línea futura, no núcleo prematuro.</w:t>
      </w:r>
    </w:p>
    <w:p>
      <w:pPr>
        <w:pStyle w:val="Heading2"/>
      </w:pPr>
      <w:r>
        <w:t>Disciplina de calificación de oportunidades</w:t>
      </w:r>
    </w:p>
    <w:p>
      <w:r>
        <w:t>Preguntar: ¿existe un sponsor con P&amp;L o mandato de cambio? ¿Cuál es el costo de no resolverlo? ¿Qué resultado económico justifica USD 20k? ¿Quién decide? ¿Cuándo? ¿Podemos observar adopción y valor? ¿Tenemos capacidad y credenciales para entregar?</w:t>
      </w:r>
    </w:p>
    <w:p>
      <w:pPr>
        <w:pStyle w:val="Heading1"/>
      </w:pPr>
      <w:r>
        <w:t>09 · Go-to-market y ventas</w:t>
      </w:r>
    </w:p>
    <w:p>
      <w:pPr>
        <w:pStyle w:val="Heading2"/>
      </w:pPr>
      <w:r>
        <w:t>Estrategia comercial inicial [TRABAJADA/PROPUESTA]</w:t>
      </w:r>
    </w:p>
    <w:p>
      <w:pPr>
        <w:pStyle w:val="ListBullet"/>
      </w:pPr>
      <w:r>
        <w:t>Founder-led selling: el fundador es la principal señal de expertise y puerta de entrada.</w:t>
      </w:r>
    </w:p>
    <w:p>
      <w:pPr>
        <w:pStyle w:val="ListBullet"/>
      </w:pPr>
      <w:r>
        <w:t>LinkedIn personal crea confianza y conversación; la página PRAXIA confirma sistema y autoridad institucional.</w:t>
      </w:r>
    </w:p>
    <w:p>
      <w:pPr>
        <w:pStyle w:val="ListBullet"/>
      </w:pPr>
      <w:r>
        <w:t>Contenido orientado a dolores de CEO/COO/CHRO; CTA a diagnóstico o conversación, nunca venta genérica de cursos.</w:t>
      </w:r>
    </w:p>
    <w:p>
      <w:pPr>
        <w:pStyle w:val="ListBullet"/>
      </w:pPr>
      <w:r>
        <w:t>Prospección selectiva basada en eventos de transformación: IA, reorganización, PMO, M&amp;A, caída de productividad, nuevo liderazgo.</w:t>
      </w:r>
    </w:p>
    <w:p>
      <w:pPr>
        <w:pStyle w:val="ListBullet"/>
      </w:pPr>
      <w:r>
        <w:t>Discovery con enfoque de negocio: entender valor en juego antes de hablar de servicios.</w:t>
      </w:r>
    </w:p>
    <w:p>
      <w:pPr>
        <w:pStyle w:val="ListBullet"/>
      </w:pPr>
      <w:r>
        <w:t>Estrategia de prueba: construir un caso demostrable, idealmente con baseline y resultados, sin usar información confidencial de empleadores.</w:t>
      </w:r>
    </w:p>
    <w:p>
      <w:pPr>
        <w:pStyle w:val="Heading2"/>
      </w:pPr>
      <w:r>
        <w:t>Embudo de referencia [PROPUESTA]</w:t>
      </w:r>
    </w:p>
    <w:p>
      <w:r>
        <w:t>Insight → conversación ejecutiva → discovery → hipótesis de valor → diagnóstico pagado → implementación → medición → expansión/referencia.</w:t>
      </w:r>
    </w:p>
    <w:p>
      <w:pPr>
        <w:pStyle w:val="Heading2"/>
      </w:pPr>
      <w:r>
        <w:t>Materiales comerciales por construir</w:t>
      </w:r>
    </w:p>
    <w:p>
      <w:pPr>
        <w:pStyle w:val="ListBullet"/>
      </w:pPr>
      <w:r>
        <w:t>One-page corporate credentials y founder bio.</w:t>
      </w:r>
    </w:p>
    <w:p>
      <w:pPr>
        <w:pStyle w:val="ListBullet"/>
      </w:pPr>
      <w:r>
        <w:t>Pitch deck de 8–12 láminas orientado a problemas de negocio.</w:t>
      </w:r>
    </w:p>
    <w:p>
      <w:pPr>
        <w:pStyle w:val="ListBullet"/>
      </w:pPr>
      <w:r>
        <w:t>Ficha de diagnóstico Adoption Gap.</w:t>
      </w:r>
    </w:p>
    <w:p>
      <w:pPr>
        <w:pStyle w:val="ListBullet"/>
      </w:pPr>
      <w:r>
        <w:t>Propuesta comercial y SOW con entregables, pricing y límites claros.</w:t>
      </w:r>
    </w:p>
    <w:p>
      <w:pPr>
        <w:pStyle w:val="ListBullet"/>
      </w:pPr>
      <w:r>
        <w:t>Casos de uso anonimizados y evidencia permitida.</w:t>
      </w:r>
    </w:p>
    <w:p>
      <w:pPr>
        <w:pStyle w:val="ListBullet"/>
      </w:pPr>
      <w:r>
        <w:t>CRM ligero con pipeline, avance y seguimiento.</w:t>
      </w:r>
    </w:p>
    <w:p>
      <w:pPr>
        <w:pStyle w:val="Heading1"/>
      </w:pPr>
      <w:r>
        <w:t>10 · Pensamiento editorial y estrategia de contenidos</w:t>
      </w:r>
    </w:p>
    <w:p>
      <w:pPr>
        <w:pStyle w:val="Heading2"/>
      </w:pPr>
      <w:r>
        <w:t>Arquitectura de autoridad [TRABAJADA]</w:t>
      </w:r>
    </w:p>
    <w:tbl>
      <w:tblPr>
        <w:tblStyle w:val="LightShading-Accent1"/>
        <w:tblW w:type="auto" w:w="0"/>
        <w:jc w:val="center"/>
        <w:tblLook w:firstColumn="1" w:firstRow="1" w:lastColumn="0" w:lastRow="0" w:noHBand="0" w:noVBand="1" w:val="04A0"/>
      </w:tblPr>
      <w:tblGrid>
        <w:gridCol w:w="4867"/>
        <w:gridCol w:w="4867"/>
      </w:tblGrid>
      <w:tr>
        <w:tc>
          <w:tcPr>
            <w:tcW w:type="dxa" w:w="4867"/>
          </w:tcPr>
          <w:p>
            <w:r>
              <w:t>Pilar</w:t>
            </w:r>
          </w:p>
        </w:tc>
        <w:tc>
          <w:tcPr>
            <w:tcW w:type="dxa" w:w="4867"/>
          </w:tcPr>
          <w:p>
            <w:r>
              <w:t>Peso objetivo</w:t>
            </w:r>
          </w:p>
        </w:tc>
      </w:tr>
      <w:tr>
        <w:tc>
          <w:tcPr>
            <w:tcW w:type="dxa" w:w="4867"/>
          </w:tcPr>
          <w:p>
            <w:r>
              <w:t>Perspectivas disruptivas y tesis estratégicas</w:t>
            </w:r>
          </w:p>
        </w:tc>
        <w:tc>
          <w:tcPr>
            <w:tcW w:type="dxa" w:w="4867"/>
          </w:tcPr>
          <w:p>
            <w:r>
              <w:t>30%</w:t>
            </w:r>
          </w:p>
        </w:tc>
      </w:tr>
      <w:tr>
        <w:tc>
          <w:tcPr>
            <w:tcW w:type="dxa" w:w="4867"/>
          </w:tcPr>
          <w:p>
            <w:r>
              <w:t>Frameworks y métodos propios</w:t>
            </w:r>
          </w:p>
        </w:tc>
        <w:tc>
          <w:tcPr>
            <w:tcW w:type="dxa" w:w="4867"/>
          </w:tcPr>
          <w:p>
            <w:r>
              <w:t>25%</w:t>
            </w:r>
          </w:p>
        </w:tc>
      </w:tr>
      <w:tr>
        <w:tc>
          <w:tcPr>
            <w:tcW w:type="dxa" w:w="4867"/>
          </w:tcPr>
          <w:p>
            <w:r>
              <w:t>Diagnósticos y herramientas prácticas</w:t>
            </w:r>
          </w:p>
        </w:tc>
        <w:tc>
          <w:tcPr>
            <w:tcW w:type="dxa" w:w="4867"/>
          </w:tcPr>
          <w:p>
            <w:r>
              <w:t>20%</w:t>
            </w:r>
          </w:p>
        </w:tc>
      </w:tr>
      <w:tr>
        <w:tc>
          <w:tcPr>
            <w:tcW w:type="dxa" w:w="4867"/>
          </w:tcPr>
          <w:p>
            <w:r>
              <w:t>Experiencia y aprendizajes del fundador</w:t>
            </w:r>
          </w:p>
        </w:tc>
        <w:tc>
          <w:tcPr>
            <w:tcW w:type="dxa" w:w="4867"/>
          </w:tcPr>
          <w:p>
            <w:r>
              <w:t>15%</w:t>
            </w:r>
          </w:p>
        </w:tc>
      </w:tr>
      <w:tr>
        <w:tc>
          <w:tcPr>
            <w:tcW w:type="dxa" w:w="4867"/>
          </w:tcPr>
          <w:p>
            <w:r>
              <w:t>Oferta, invitación y conversión</w:t>
            </w:r>
          </w:p>
        </w:tc>
        <w:tc>
          <w:tcPr>
            <w:tcW w:type="dxa" w:w="4867"/>
          </w:tcPr>
          <w:p>
            <w:r>
              <w:t>10%</w:t>
            </w:r>
          </w:p>
        </w:tc>
      </w:tr>
    </w:tbl>
    <w:p/>
    <w:p>
      <w:r>
        <w:t>Cadencia propuesta: tres publicaciones por semana. Mezcla editorial 70% autoridad, 20% conversación, 10% oferta. El canal prioritario es LinkedIn con contenido orgánico de alto nivel para decisión ejecutiva. [TRABAJADO]</w:t>
      </w:r>
    </w:p>
    <w:p>
      <w:pPr>
        <w:pStyle w:val="Heading2"/>
      </w:pPr>
      <w:r>
        <w:t>Tesis y mensajes nucleares</w:t>
      </w:r>
    </w:p>
    <w:p>
      <w:pPr>
        <w:pStyle w:val="ListBullet"/>
      </w:pPr>
      <w:r>
        <w:t>La estrategia no falla en PowerPoint: falla cuando llega al sistema operativo de la organización.</w:t>
      </w:r>
    </w:p>
    <w:p>
      <w:pPr>
        <w:pStyle w:val="ListBullet"/>
      </w:pPr>
      <w:r>
        <w:t>Comunicar una estrategia no equivale a ejecutarla.</w:t>
      </w:r>
    </w:p>
    <w:p>
      <w:pPr>
        <w:pStyle w:val="ListBullet"/>
      </w:pPr>
      <w:r>
        <w:t>Capacitar en una transformación no significa que haya sido adoptada.</w:t>
      </w:r>
    </w:p>
    <w:p>
      <w:pPr>
        <w:pStyle w:val="ListBullet"/>
      </w:pPr>
      <w:r>
        <w:t>La estrategia se concreta cuando cambian decisiones, comportamientos, procesos, métricas y consecuencias.</w:t>
      </w:r>
    </w:p>
    <w:p>
      <w:pPr>
        <w:pStyle w:val="ListBullet"/>
      </w:pPr>
      <w:r>
        <w:t>Your AI is ready. Your organization may not be. (Línea creativa; no afirmación cuantitativa).</w:t>
      </w:r>
    </w:p>
    <w:p>
      <w:pPr>
        <w:pStyle w:val="ListBullet"/>
      </w:pPr>
      <w:r>
        <w:t>La medida del éxito no es el despliegue; es el cambio sostenido y su impacto.</w:t>
      </w:r>
    </w:p>
    <w:p>
      <w:pPr>
        <w:pStyle w:val="Heading2"/>
      </w:pPr>
      <w:r>
        <w:t>Formato de pieza LinkedIn</w:t>
      </w:r>
    </w:p>
    <w:p>
      <w:r>
        <w:t>Una tesis fuerte de negocio, argumento breve y útil, anclaje en una situación observable, marco práctico o pregunta ejecutiva. Visual 4:5, editorial, premium, con infografía si agrega claridad, logo y sistema PRAXIA fieles al manual. Evitar textos genéricos, citas motivacionales, sobrecarga, clichés IA y formatos de «influencer».</w:t>
      </w:r>
    </w:p>
    <w:p>
      <w:pPr>
        <w:pStyle w:val="Heading2"/>
      </w:pPr>
      <w:r>
        <w:t>Temas de series</w:t>
      </w:r>
    </w:p>
    <w:p>
      <w:pPr>
        <w:pStyle w:val="ListBullet"/>
      </w:pPr>
      <w:r>
        <w:t>The Adoption Gap: señales de una transformación que no aterriza.</w:t>
      </w:r>
    </w:p>
    <w:p>
      <w:pPr>
        <w:pStyle w:val="ListBullet"/>
      </w:pPr>
      <w:r>
        <w:t>Operating Model Reality: dónde se pierde la estrategia en decisiones cotidianas.</w:t>
      </w:r>
    </w:p>
    <w:p>
      <w:pPr>
        <w:pStyle w:val="ListBullet"/>
      </w:pPr>
      <w:r>
        <w:t>AI Value Realization: de licencias y demos a trabajo real.</w:t>
      </w:r>
    </w:p>
    <w:p>
      <w:pPr>
        <w:pStyle w:val="ListBullet"/>
      </w:pPr>
      <w:r>
        <w:t>Leadership &amp; Execution: las señales del liderazgo que condicionan la adopción.</w:t>
      </w:r>
    </w:p>
    <w:p>
      <w:pPr>
        <w:pStyle w:val="ListBullet"/>
      </w:pPr>
      <w:r>
        <w:t>Measure What Changes: scorecards, indicadores y anti-vanity metrics.</w:t>
      </w:r>
    </w:p>
    <w:p>
      <w:pPr>
        <w:pStyle w:val="ListBullet"/>
      </w:pPr>
      <w:r>
        <w:t>PRAXIA Practices: frameworks simples para decisiones complejas.</w:t>
      </w:r>
    </w:p>
    <w:p>
      <w:pPr>
        <w:pStyle w:val="Heading1"/>
      </w:pPr>
      <w:r>
        <w:t>11 · Sistema de marca — estándares oficiales</w:t>
      </w:r>
    </w:p>
    <w:p>
      <w:pPr>
        <w:pStyle w:val="Heading2"/>
      </w:pPr>
      <w:r>
        <w:t>Nombre, tagline y marca</w:t>
      </w:r>
    </w:p>
    <w:p>
      <w:r>
        <w:t>PRAXIA / Praxia. Pronunciación /ˈprak-sia/. Tagline «Turn strategy into adoption.» Categoría «Human &amp; AI Transformation Advisory». Wordmark en Space Grotesk Bold 700, tracking −3%. La x es el cruce entre estrategia y ejecución. [DEFINIDO: Brand Guidelines 2026]</w:t>
      </w:r>
    </w:p>
    <w:p>
      <w:pPr>
        <w:pStyle w:val="Heading2"/>
      </w:pPr>
      <w:r>
        <w:t>The Axis · logotipo y uso</w:t>
      </w:r>
    </w:p>
    <w:p>
      <w:r>
        <w:t>Dos anillos entrelazados: índigo = máquina/IA; clay = humano/acción; cruce = adopción. Presentaciones permitidas: símbolo + logotipo horizontal (default), símbolo solo, logotipo solo. Clearspace mínimo 1x (ancho del anillo). Wordmark nunca menos de 22 px / 8 mm de altura de la P; símbolo mínimo digital 24 px e impresión 9 mm; favicon de un anillo. No alterar proporciones ni reconstruir a ojo.</w:t>
      </w:r>
    </w:p>
    <w:p>
      <w:pPr>
        <w:pStyle w:val="Heading2"/>
      </w:pPr>
      <w:r>
        <w:t>Paleta exacta</w:t>
      </w:r>
    </w:p>
    <w:tbl>
      <w:tblPr>
        <w:tblStyle w:val="LightShading-Accent1"/>
        <w:tblW w:type="auto" w:w="0"/>
        <w:jc w:val="center"/>
        <w:tblLook w:firstColumn="1" w:firstRow="1" w:lastColumn="0" w:lastRow="0" w:noHBand="0" w:noVBand="1" w:val="04A0"/>
      </w:tblPr>
      <w:tblGrid>
        <w:gridCol w:w="3245"/>
        <w:gridCol w:w="3245"/>
        <w:gridCol w:w="3245"/>
      </w:tblGrid>
      <w:tr>
        <w:tc>
          <w:tcPr>
            <w:tcW w:type="dxa" w:w="3245"/>
          </w:tcPr>
          <w:p>
            <w:r>
              <w:t>Token</w:t>
            </w:r>
          </w:p>
        </w:tc>
        <w:tc>
          <w:tcPr>
            <w:tcW w:type="dxa" w:w="3245"/>
          </w:tcPr>
          <w:p>
            <w:r>
              <w:t>HEX</w:t>
            </w:r>
          </w:p>
        </w:tc>
        <w:tc>
          <w:tcPr>
            <w:tcW w:type="dxa" w:w="3245"/>
          </w:tcPr>
          <w:p>
            <w:r>
              <w:t>Uso</w:t>
            </w:r>
          </w:p>
        </w:tc>
      </w:tr>
      <w:tr>
        <w:tc>
          <w:tcPr>
            <w:tcW w:type="dxa" w:w="3245"/>
          </w:tcPr>
          <w:p>
            <w:r>
              <w:t>Graphite</w:t>
            </w:r>
          </w:p>
        </w:tc>
        <w:tc>
          <w:tcPr>
            <w:tcW w:type="dxa" w:w="3245"/>
          </w:tcPr>
          <w:p>
            <w:r>
              <w:t>#0C0D12</w:t>
            </w:r>
          </w:p>
        </w:tc>
        <w:tc>
          <w:tcPr>
            <w:tcW w:type="dxa" w:w="3245"/>
          </w:tcPr>
          <w:p>
            <w:r>
              <w:t>Base, autoridad, textos oscuros</w:t>
            </w:r>
          </w:p>
        </w:tc>
      </w:tr>
      <w:tr>
        <w:tc>
          <w:tcPr>
            <w:tcW w:type="dxa" w:w="3245"/>
          </w:tcPr>
          <w:p>
            <w:r>
              <w:t>Ivory</w:t>
            </w:r>
          </w:p>
        </w:tc>
        <w:tc>
          <w:tcPr>
            <w:tcW w:type="dxa" w:w="3245"/>
          </w:tcPr>
          <w:p>
            <w:r>
              <w:t>#F5F2EC</w:t>
            </w:r>
          </w:p>
        </w:tc>
        <w:tc>
          <w:tcPr>
            <w:tcW w:type="dxa" w:w="3245"/>
          </w:tcPr>
          <w:p>
            <w:r>
              <w:t>Fondos claros, contraste editorial</w:t>
            </w:r>
          </w:p>
        </w:tc>
      </w:tr>
      <w:tr>
        <w:tc>
          <w:tcPr>
            <w:tcW w:type="dxa" w:w="3245"/>
          </w:tcPr>
          <w:p>
            <w:r>
              <w:t>Indigo</w:t>
            </w:r>
          </w:p>
        </w:tc>
        <w:tc>
          <w:tcPr>
            <w:tcW w:type="dxa" w:w="3245"/>
          </w:tcPr>
          <w:p>
            <w:r>
              <w:t>#5B4BFF</w:t>
            </w:r>
          </w:p>
        </w:tc>
        <w:tc>
          <w:tcPr>
            <w:tcW w:type="dxa" w:w="3245"/>
          </w:tcPr>
          <w:p>
            <w:r>
              <w:t>IA, foco, interacción</w:t>
            </w:r>
          </w:p>
        </w:tc>
      </w:tr>
      <w:tr>
        <w:tc>
          <w:tcPr>
            <w:tcW w:type="dxa" w:w="3245"/>
          </w:tcPr>
          <w:p>
            <w:r>
              <w:t>Violet</w:t>
            </w:r>
          </w:p>
        </w:tc>
        <w:tc>
          <w:tcPr>
            <w:tcW w:type="dxa" w:w="3245"/>
          </w:tcPr>
          <w:p>
            <w:r>
              <w:t>#8B5CF6</w:t>
            </w:r>
          </w:p>
        </w:tc>
        <w:tc>
          <w:tcPr>
            <w:tcW w:type="dxa" w:w="3245"/>
          </w:tcPr>
          <w:p>
            <w:r>
              <w:t>Continuidad duotono / acento</w:t>
            </w:r>
          </w:p>
        </w:tc>
      </w:tr>
      <w:tr>
        <w:tc>
          <w:tcPr>
            <w:tcW w:type="dxa" w:w="3245"/>
          </w:tcPr>
          <w:p>
            <w:r>
              <w:t>Clay</w:t>
            </w:r>
          </w:p>
        </w:tc>
        <w:tc>
          <w:tcPr>
            <w:tcW w:type="dxa" w:w="3245"/>
          </w:tcPr>
          <w:p>
            <w:r>
              <w:t>#E9663C</w:t>
            </w:r>
          </w:p>
        </w:tc>
        <w:tc>
          <w:tcPr>
            <w:tcW w:type="dxa" w:w="3245"/>
          </w:tcPr>
          <w:p>
            <w:r>
              <w:t>Humanidad, acción, energía</w:t>
            </w:r>
          </w:p>
        </w:tc>
      </w:tr>
    </w:tbl>
    <w:p/>
    <w:p>
      <w:r>
        <w:t>El gradiente índigo→clay funciona como luz localizada (glow, borde, barrido), no como un enorme fondo arcoíris. Mantener accesibilidad: texto claro sobre grafito o viceversa; acentos preferiblemente para UI y titular grande.</w:t>
      </w:r>
    </w:p>
    <w:p>
      <w:pPr>
        <w:pStyle w:val="Heading2"/>
      </w:pPr>
      <w:r>
        <w:t>Tipografía y composición</w:t>
      </w:r>
    </w:p>
    <w:p>
      <w:r>
        <w:t>Display: Space Grotesk 600/700 (alternativa premium Clash Display). Body: Inter 400–600. Microetiquetas: Space Mono 400/700. Grid de 12 columnas, márgenes generosos, alineación izquierda y una idea dominante por superficie. La jerarquía surge de tipografía, escala y espacio, no de adornos. [DEFINIDO]</w:t>
      </w:r>
    </w:p>
    <w:p>
      <w:pPr>
        <w:pStyle w:val="Heading2"/>
      </w:pPr>
      <w:r>
        <w:t>Iconos, fotografía y motion</w:t>
      </w:r>
    </w:p>
    <w:p>
      <w:r>
        <w:t>Iconografía lineal de 1.4 pt, un mismo peso, esquinas vivas, referencia discreta a arco/rotación, máximo un acento. Fotografía de personas reales trabajando, editorial y cálida, evitar stock de apretones de manos. Tratamiento opcional duotono índigo–clay en fotografía B/N. Motion: anillos en rotación/cruce, luces suaves, ease-out y aprox. 600 ms; nunca motion ruidoso. [DEFINIDO]</w:t>
      </w:r>
    </w:p>
    <w:p>
      <w:pPr>
        <w:pStyle w:val="Heading2"/>
      </w:pPr>
      <w:r>
        <w:t>Do / Don’t</w:t>
      </w:r>
    </w:p>
    <w:p>
      <w:pPr>
        <w:pStyle w:val="ListBullet"/>
      </w:pPr>
      <w:r>
        <w:t>DO: grafito dominante; luz duotono en un solo punto focal; grandes titulares con aire; una idea por página.</w:t>
      </w:r>
    </w:p>
    <w:p>
      <w:pPr>
        <w:pStyle w:val="ListBullet"/>
      </w:pPr>
      <w:r>
        <w:t>DO: verbos directos, sustento, claridad y lenguaje de negocio.</w:t>
      </w:r>
    </w:p>
    <w:p>
      <w:pPr>
        <w:pStyle w:val="ListBullet"/>
      </w:pPr>
      <w:r>
        <w:t>DON’T: Poppins, azul corporativo genérico, arcoíris de fondo, clip art, saturación, templates sin personalidad.</w:t>
      </w:r>
    </w:p>
    <w:p>
      <w:pPr>
        <w:pStyle w:val="ListBullet"/>
      </w:pPr>
      <w:r>
        <w:t>DON’T: claims de benchmarks, ROI garantizado, métricas o estudios sin fuente verificable.</w:t>
      </w:r>
    </w:p>
    <w:p>
      <w:pPr>
        <w:pStyle w:val="Heading1"/>
      </w:pPr>
      <w:r>
        <w:t>12 · Voz, mensajes y estilo de comunicación</w:t>
      </w:r>
    </w:p>
    <w:p>
      <w:r>
        <w:t>Voz oficial: clara, sofisticada, estratégica y humana. Frases declarativas, verbos fuertes, evidencia sobre adjetivos; provocación intelectual sin hype. Vocabulario preferido: adopción, comportamiento, operating model, velocidad, decisiones, resultado. Evitar: potenciar, sinergia, journey, world-class, siguiente nivel. [DEFINIDO]</w:t>
      </w:r>
    </w:p>
    <w:p>
      <w:pPr>
        <w:pStyle w:val="Heading2"/>
      </w:pPr>
      <w:r>
        <w:t>Ejemplos de headline en línea con la marca</w:t>
      </w:r>
    </w:p>
    <w:p>
      <w:pPr>
        <w:pStyle w:val="ListBullet"/>
      </w:pPr>
      <w:r>
        <w:t>A strategy is not implemented when it is announced.</w:t>
      </w:r>
    </w:p>
    <w:p>
      <w:pPr>
        <w:pStyle w:val="ListBullet"/>
      </w:pPr>
      <w:r>
        <w:t>Your operating model is your real strategy.</w:t>
      </w:r>
    </w:p>
    <w:p>
      <w:pPr>
        <w:pStyle w:val="ListBullet"/>
      </w:pPr>
      <w:r>
        <w:t>AI investment is not AI adoption.</w:t>
      </w:r>
    </w:p>
    <w:p>
      <w:pPr>
        <w:pStyle w:val="ListBullet"/>
      </w:pPr>
      <w:r>
        <w:t>The rollout is complete. The transformation is not.</w:t>
      </w:r>
    </w:p>
    <w:p>
      <w:pPr>
        <w:pStyle w:val="ListBullet"/>
      </w:pPr>
      <w:r>
        <w:t>Turn strategic intent into observable behavior.</w:t>
      </w:r>
    </w:p>
    <w:p>
      <w:r>
        <w:t>Contenido para la audiencia: español o inglés según mercado; la marca puede operar bilingüe. El manual oficial utiliza inglés para múltiples claims. No afirmar una obligatoriedad de idioma única.</w:t>
      </w:r>
    </w:p>
    <w:p>
      <w:pPr>
        <w:pStyle w:val="Heading1"/>
      </w:pPr>
      <w:r>
        <w:t>13 · Marca fundadora y credibilidad</w:t>
      </w:r>
    </w:p>
    <w:p>
      <w:r>
        <w:t>El manual representa a Francisco Cardona como Founder &amp; Principal de PRAXIA. Se ha trabajado su posicionamiento como ejecutivo senior con experiencia internacional en talento, desarrollo organizacional y transformación. La narrativa debe demostrar autoridad operativa y de negocio, no presentarlo como coach motivacional. [DEFINIDO/TRABAJADO]</w:t>
      </w:r>
    </w:p>
    <w:p>
      <w:r>
        <w:t>Experiencia transferible conocida: liderazgo en un grupo siderúrgico multinacional; cobertura de atracción de talento, aprendizaje, OD, people analytics; exposición internacional y proyectos de transformación y productividad. Los nombres de clientes, cifras internas, iniciativas de empleador y material propietario no deben usarse comercialmente sin autorización.</w:t>
      </w:r>
    </w:p>
    <w:p>
      <w:r>
        <w:t>El posicionamiento fundador debe ser una prueba creíble de pensamiento y ejecución; PRAXIA, sin embargo, debe evolucionar a una oferta institucional que no dependa exclusivamente de una sola persona.</w:t>
      </w:r>
    </w:p>
    <w:p>
      <w:pPr>
        <w:pStyle w:val="Heading1"/>
      </w:pPr>
      <w:r>
        <w:t>14 · Productos, infraestructura y PRAXIA JUNGLE</w:t>
      </w:r>
    </w:p>
    <w:p>
      <w:r>
        <w:t>Se exploró una organización digital del negocio llamada «PRAXIA JUNGLE», una representación interactiva del proyecto y sus funciones. No es un servicio vendido ni un producto confirmado: es una forma de gestionar la actividad y construir productos. [TRABAJADO]</w:t>
      </w:r>
    </w:p>
    <w:tbl>
      <w:tblPr>
        <w:tblStyle w:val="LightShading-Accent1"/>
        <w:tblW w:type="auto" w:w="0"/>
        <w:jc w:val="center"/>
        <w:tblLook w:firstColumn="1" w:firstRow="1" w:lastColumn="0" w:lastRow="0" w:noHBand="0" w:noVBand="1" w:val="04A0"/>
      </w:tblPr>
      <w:tblGrid>
        <w:gridCol w:w="4867"/>
        <w:gridCol w:w="4867"/>
      </w:tblGrid>
      <w:tr>
        <w:tc>
          <w:tcPr>
            <w:tcW w:type="dxa" w:w="4867"/>
          </w:tcPr>
          <w:p>
            <w:r>
              <w:t>Módulo</w:t>
            </w:r>
          </w:p>
        </w:tc>
        <w:tc>
          <w:tcPr>
            <w:tcW w:type="dxa" w:w="4867"/>
          </w:tcPr>
          <w:p>
            <w:r>
              <w:t>Función</w:t>
            </w:r>
          </w:p>
        </w:tc>
      </w:tr>
      <w:tr>
        <w:tc>
          <w:tcPr>
            <w:tcW w:type="dxa" w:w="4867"/>
          </w:tcPr>
          <w:p>
            <w:r>
              <w:t>Praxia Strategy Temple</w:t>
            </w:r>
          </w:p>
        </w:tc>
        <w:tc>
          <w:tcPr>
            <w:tcW w:type="dxa" w:w="4867"/>
          </w:tcPr>
          <w:p>
            <w:r>
              <w:t>Posicionamiento, servicios, GTM, metodología, revenue</w:t>
            </w:r>
          </w:p>
        </w:tc>
      </w:tr>
      <w:tr>
        <w:tc>
          <w:tcPr>
            <w:tcW w:type="dxa" w:w="4867"/>
          </w:tcPr>
          <w:p>
            <w:r>
              <w:t>Content Studio</w:t>
            </w:r>
          </w:p>
        </w:tc>
        <w:tc>
          <w:tcPr>
            <w:tcW w:type="dxa" w:w="4867"/>
          </w:tcPr>
          <w:p>
            <w:r>
              <w:t>Calendario, thought leadership, LinkedIn, diseño</w:t>
            </w:r>
          </w:p>
        </w:tc>
      </w:tr>
      <w:tr>
        <w:tc>
          <w:tcPr>
            <w:tcW w:type="dxa" w:w="4867"/>
          </w:tcPr>
          <w:p>
            <w:r>
              <w:t>Product Lab</w:t>
            </w:r>
          </w:p>
        </w:tc>
        <w:tc>
          <w:tcPr>
            <w:tcW w:type="dxa" w:w="4867"/>
          </w:tcPr>
          <w:p>
            <w:r>
              <w:t>IP, IA aplicada, productos digitales y experiencias</w:t>
            </w:r>
          </w:p>
        </w:tc>
      </w:tr>
      <w:tr>
        <w:tc>
          <w:tcPr>
            <w:tcW w:type="dxa" w:w="4867"/>
          </w:tcPr>
          <w:p>
            <w:r>
              <w:t>Growth Observatory</w:t>
            </w:r>
          </w:p>
        </w:tc>
        <w:tc>
          <w:tcPr>
            <w:tcW w:type="dxa" w:w="4867"/>
          </w:tcPr>
          <w:p>
            <w:r>
              <w:t>Pipeline, leads, audiencia, conversiones, ingresos</w:t>
            </w:r>
          </w:p>
        </w:tc>
      </w:tr>
    </w:tbl>
    <w:p/>
    <w:p>
      <w:r>
        <w:t>Dirección de interfaz trabajada para el command center: maqueta arquitectónica premium/interactiva, microescenas operativas, espacios cutaway detallados, movimiento significativo, navegación por niveles e interfaz de poco ruido. No usar pixel art o ciudad genérica.</w:t>
      </w:r>
    </w:p>
    <w:p>
      <w:pPr>
        <w:pStyle w:val="Heading2"/>
      </w:pPr>
      <w:r>
        <w:t>Posibles activos digitales [PROPUESTA]</w:t>
      </w:r>
    </w:p>
    <w:p>
      <w:pPr>
        <w:pStyle w:val="ListBullet"/>
      </w:pPr>
      <w:r>
        <w:t>Adoption Gap diagnostic digital y reporte ejecutivo automático.</w:t>
      </w:r>
    </w:p>
    <w:p>
      <w:pPr>
        <w:pStyle w:val="ListBullet"/>
      </w:pPr>
      <w:r>
        <w:t>Scorecards de cambio y valor; dashboard de adopción por funciones.</w:t>
      </w:r>
    </w:p>
    <w:p>
      <w:pPr>
        <w:pStyle w:val="ListBullet"/>
      </w:pPr>
      <w:r>
        <w:t>Assessment ejecutivo para readiness de IA y rediseño del trabajo.</w:t>
      </w:r>
    </w:p>
    <w:p>
      <w:pPr>
        <w:pStyle w:val="ListBullet"/>
      </w:pPr>
      <w:r>
        <w:t>Biblioteca de playbooks, aceleradores y plantillas.</w:t>
      </w:r>
    </w:p>
    <w:p>
      <w:pPr>
        <w:pStyle w:val="ListBullet"/>
      </w:pPr>
      <w:r>
        <w:t>Micrositio con case studies, pensamiento y captación de leads.</w:t>
      </w:r>
    </w:p>
    <w:p>
      <w:pPr>
        <w:pStyle w:val="Heading1"/>
      </w:pPr>
      <w:r>
        <w:t>15 · Operating model interno y responsabilidades</w:t>
      </w:r>
    </w:p>
    <w:p>
      <w:r>
        <w:t>La firma necesita mantener un sistema ligero antes de escalar equipo. Rollen abajo son funciones, no contrataciones existentes. [PROPUESTA]</w:t>
      </w:r>
    </w:p>
    <w:tbl>
      <w:tblPr>
        <w:tblStyle w:val="LightShading-Accent1"/>
        <w:tblW w:type="auto" w:w="0"/>
        <w:jc w:val="center"/>
        <w:tblLook w:firstColumn="1" w:firstRow="1" w:lastColumn="0" w:lastRow="0" w:noHBand="0" w:noVBand="1" w:val="04A0"/>
      </w:tblPr>
      <w:tblGrid>
        <w:gridCol w:w="4867"/>
        <w:gridCol w:w="4867"/>
      </w:tblGrid>
      <w:tr>
        <w:tc>
          <w:tcPr>
            <w:tcW w:type="dxa" w:w="4867"/>
          </w:tcPr>
          <w:p>
            <w:r>
              <w:t>Función</w:t>
            </w:r>
          </w:p>
        </w:tc>
        <w:tc>
          <w:tcPr>
            <w:tcW w:type="dxa" w:w="4867"/>
          </w:tcPr>
          <w:p>
            <w:r>
              <w:t>Responsabilidad</w:t>
            </w:r>
          </w:p>
        </w:tc>
      </w:tr>
      <w:tr>
        <w:tc>
          <w:tcPr>
            <w:tcW w:type="dxa" w:w="4867"/>
          </w:tcPr>
          <w:p>
            <w:r>
              <w:t>Founder / Principal</w:t>
            </w:r>
          </w:p>
        </w:tc>
        <w:tc>
          <w:tcPr>
            <w:tcW w:type="dxa" w:w="4867"/>
          </w:tcPr>
          <w:p>
            <w:r>
              <w:t>Estrategia, propuestas, clientes, delivery ejecutivo, propiedad intelectual</w:t>
            </w:r>
          </w:p>
        </w:tc>
      </w:tr>
      <w:tr>
        <w:tc>
          <w:tcPr>
            <w:tcW w:type="dxa" w:w="4867"/>
          </w:tcPr>
          <w:p>
            <w:r>
              <w:t>Research &amp; Insights</w:t>
            </w:r>
          </w:p>
        </w:tc>
        <w:tc>
          <w:tcPr>
            <w:tcW w:type="dxa" w:w="4867"/>
          </w:tcPr>
          <w:p>
            <w:r>
              <w:t>Industria, benchmarks, fuentes, tesis, diagnóstico</w:t>
            </w:r>
          </w:p>
        </w:tc>
      </w:tr>
      <w:tr>
        <w:tc>
          <w:tcPr>
            <w:tcW w:type="dxa" w:w="4867"/>
          </w:tcPr>
          <w:p>
            <w:r>
              <w:t>Advisory / Delivery</w:t>
            </w:r>
          </w:p>
        </w:tc>
        <w:tc>
          <w:tcPr>
            <w:tcW w:type="dxa" w:w="4867"/>
          </w:tcPr>
          <w:p>
            <w:r>
              <w:t>Procesos, cambio, facilitación, indicadores, implementación</w:t>
            </w:r>
          </w:p>
        </w:tc>
      </w:tr>
      <w:tr>
        <w:tc>
          <w:tcPr>
            <w:tcW w:type="dxa" w:w="4867"/>
          </w:tcPr>
          <w:p>
            <w:r>
              <w:t>Brand / Content</w:t>
            </w:r>
          </w:p>
        </w:tc>
        <w:tc>
          <w:tcPr>
            <w:tcW w:type="dxa" w:w="4867"/>
          </w:tcPr>
          <w:p>
            <w:r>
              <w:t>Piezas, consistencia, editorial, campañas</w:t>
            </w:r>
          </w:p>
        </w:tc>
      </w:tr>
      <w:tr>
        <w:tc>
          <w:tcPr>
            <w:tcW w:type="dxa" w:w="4867"/>
          </w:tcPr>
          <w:p>
            <w:r>
              <w:t>Product &amp; AI</w:t>
            </w:r>
          </w:p>
        </w:tc>
        <w:tc>
          <w:tcPr>
            <w:tcW w:type="dxa" w:w="4867"/>
          </w:tcPr>
          <w:p>
            <w:r>
              <w:t>Herramientas digitales, prototipos, automatización</w:t>
            </w:r>
          </w:p>
        </w:tc>
      </w:tr>
      <w:tr>
        <w:tc>
          <w:tcPr>
            <w:tcW w:type="dxa" w:w="4867"/>
          </w:tcPr>
          <w:p>
            <w:r>
              <w:t>Revenue Operations</w:t>
            </w:r>
          </w:p>
        </w:tc>
        <w:tc>
          <w:tcPr>
            <w:tcW w:type="dxa" w:w="4867"/>
          </w:tcPr>
          <w:p>
            <w:r>
              <w:t>CRM, pipeline, pricing, cobro, métricas comerciales</w:t>
            </w:r>
          </w:p>
        </w:tc>
      </w:tr>
    </w:tbl>
    <w:p/>
    <w:p>
      <w:pPr>
        <w:pStyle w:val="Heading2"/>
      </w:pPr>
      <w:r>
        <w:t>Estándares de producción de agentes</w:t>
      </w:r>
    </w:p>
    <w:p>
      <w:pPr>
        <w:pStyle w:val="ListBullet"/>
      </w:pPr>
      <w:r>
        <w:t>Leer este documento antes de crear cualquier activo PRAXIA; respetar el manual oficial de marca.</w:t>
      </w:r>
    </w:p>
    <w:p>
      <w:pPr>
        <w:pStyle w:val="ListBullet"/>
      </w:pPr>
      <w:r>
        <w:t>Clasificar toda propuesta: aprobado, trabajado, propuesta o pendiente.</w:t>
      </w:r>
    </w:p>
    <w:p>
      <w:pPr>
        <w:pStyle w:val="ListBullet"/>
      </w:pPr>
      <w:r>
        <w:t>Construir entregables desde el problema económico del cliente hacia intervención e indicadores.</w:t>
      </w:r>
    </w:p>
    <w:p>
      <w:pPr>
        <w:pStyle w:val="ListBullet"/>
      </w:pPr>
      <w:r>
        <w:t>No inventar clientes, testimonios, ingresos, contratos, certificados, IP registrada o evidencia validada.</w:t>
      </w:r>
    </w:p>
    <w:p>
      <w:pPr>
        <w:pStyle w:val="ListBullet"/>
      </w:pPr>
      <w:r>
        <w:t>No utilizar recursos/confidencialidad de empleadores o terceros sin autorización.</w:t>
      </w:r>
    </w:p>
    <w:p>
      <w:pPr>
        <w:pStyle w:val="ListBullet"/>
      </w:pPr>
      <w:r>
        <w:t>Mantener coherencia entre voz de negocio y voz visual: preciso, editorial, premium, sin humo.</w:t>
      </w:r>
    </w:p>
    <w:p>
      <w:pPr>
        <w:pStyle w:val="ListBullet"/>
      </w:pPr>
      <w:r>
        <w:t>En dudas legales, fiscales, jurisdiccionales o de propiedad intelectual, solicitar validación especializada.</w:t>
      </w:r>
    </w:p>
    <w:p>
      <w:pPr>
        <w:pStyle w:val="Heading1"/>
      </w:pPr>
      <w:r>
        <w:t>16 · KPIs y tablero de dirección</w:t>
      </w:r>
    </w:p>
    <w:p>
      <w:pPr>
        <w:pStyle w:val="Heading2"/>
      </w:pPr>
      <w:r>
        <w:t>Resultados de negocio PRAXIA</w:t>
      </w:r>
    </w:p>
    <w:p>
      <w:pPr>
        <w:pStyle w:val="ListBullet"/>
      </w:pPr>
      <w:r>
        <w:t>Ingresos contratados / facturados / cobrados; margen de contribución; revenue mensual promedio frente al objetivo USD 10k.</w:t>
      </w:r>
    </w:p>
    <w:p>
      <w:pPr>
        <w:pStyle w:val="ListBullet"/>
      </w:pPr>
      <w:r>
        <w:t>Pipeline ponderado; valor por etapa; tasa discovery→propuesta→cierre; ciclo comercial; ticket medio.</w:t>
      </w:r>
    </w:p>
    <w:p>
      <w:pPr>
        <w:pStyle w:val="ListBullet"/>
      </w:pPr>
      <w:r>
        <w:t>Número de conversaciones ejecutivas calificadas y oportunidades con problema económico explícito.</w:t>
      </w:r>
    </w:p>
    <w:p>
      <w:pPr>
        <w:pStyle w:val="ListBullet"/>
      </w:pPr>
      <w:r>
        <w:t>Horas del fundador por proyecto y capacidad de delivery sin comprometer calidad.</w:t>
      </w:r>
    </w:p>
    <w:p>
      <w:pPr>
        <w:pStyle w:val="Heading2"/>
      </w:pPr>
      <w:r>
        <w:t>Marketing y posicionamiento</w:t>
      </w:r>
    </w:p>
    <w:p>
      <w:pPr>
        <w:pStyle w:val="ListBullet"/>
      </w:pPr>
      <w:r>
        <w:t>Publicaciones por pilar; conversaciones iniciadas con decisores; respuestas calificadas y reuniones originadas.</w:t>
      </w:r>
    </w:p>
    <w:p>
      <w:pPr>
        <w:pStyle w:val="ListBullet"/>
      </w:pPr>
      <w:r>
        <w:t>No confundir vistas, likes o seguidores con éxito económico.</w:t>
      </w:r>
    </w:p>
    <w:p>
      <w:pPr>
        <w:pStyle w:val="ListBullet"/>
      </w:pPr>
      <w:r>
        <w:t>Consistencia visual y editorial; porcentaje de piezas con tesis y CTA justificados.</w:t>
      </w:r>
    </w:p>
    <w:p>
      <w:pPr>
        <w:pStyle w:val="Heading2"/>
      </w:pPr>
      <w:r>
        <w:t>Impacto cliente</w:t>
      </w:r>
    </w:p>
    <w:p>
      <w:pPr>
        <w:pStyle w:val="ListBullet"/>
      </w:pPr>
      <w:r>
        <w:t>Adopción conductual medida según caso, baseline y período.</w:t>
      </w:r>
    </w:p>
    <w:p>
      <w:pPr>
        <w:pStyle w:val="ListBullet"/>
      </w:pPr>
      <w:r>
        <w:t>Evidencia de cambio operativo (uso, proceso, calidad, tiempo, seguridad, productividad).</w:t>
      </w:r>
    </w:p>
    <w:p>
      <w:pPr>
        <w:pStyle w:val="ListBullet"/>
      </w:pPr>
      <w:r>
        <w:t>Valor capturado en indicadores del negocio, acordado con el cliente, sin atribución causal injustificada.</w:t>
      </w:r>
    </w:p>
    <w:p>
      <w:pPr>
        <w:pStyle w:val="ListBullet"/>
      </w:pPr>
      <w:r>
        <w:t>Sostenibilidad del cambio: ownership, gobernanza y medición después de despliegue.</w:t>
      </w:r>
    </w:p>
    <w:p>
      <w:pPr>
        <w:pStyle w:val="Heading1"/>
      </w:pPr>
      <w:r>
        <w:t>17 · Roadmap sugerido de construcción</w:t>
      </w:r>
    </w:p>
    <w:tbl>
      <w:tblPr>
        <w:tblStyle w:val="LightShading-Accent1"/>
        <w:tblW w:type="auto" w:w="0"/>
        <w:jc w:val="center"/>
        <w:tblLook w:firstColumn="1" w:firstRow="1" w:lastColumn="0" w:lastRow="0" w:noHBand="0" w:noVBand="1" w:val="04A0"/>
      </w:tblPr>
      <w:tblGrid>
        <w:gridCol w:w="4867"/>
        <w:gridCol w:w="4867"/>
      </w:tblGrid>
      <w:tr>
        <w:tc>
          <w:tcPr>
            <w:tcW w:type="dxa" w:w="4867"/>
          </w:tcPr>
          <w:p>
            <w:r>
              <w:t>Horizonte</w:t>
            </w:r>
          </w:p>
        </w:tc>
        <w:tc>
          <w:tcPr>
            <w:tcW w:type="dxa" w:w="4867"/>
          </w:tcPr>
          <w:p>
            <w:r>
              <w:t>Prioridad y resultado esperado</w:t>
            </w:r>
          </w:p>
        </w:tc>
      </w:tr>
      <w:tr>
        <w:tc>
          <w:tcPr>
            <w:tcW w:type="dxa" w:w="4867"/>
          </w:tcPr>
          <w:p>
            <w:r>
              <w:t>0–30 días</w:t>
            </w:r>
          </w:p>
        </w:tc>
        <w:tc>
          <w:tcPr>
            <w:tcW w:type="dxa" w:w="4867"/>
          </w:tcPr>
          <w:p>
            <w:r>
              <w:t>Definir ICP, seleccionar 1 oferta ancla, construir one-pager, pitch y diagnóstico; publicar consistentemente.</w:t>
            </w:r>
          </w:p>
        </w:tc>
      </w:tr>
      <w:tr>
        <w:tc>
          <w:tcPr>
            <w:tcW w:type="dxa" w:w="4867"/>
          </w:tcPr>
          <w:p>
            <w:r>
              <w:t>31–60 días</w:t>
            </w:r>
          </w:p>
        </w:tc>
        <w:tc>
          <w:tcPr>
            <w:tcW w:type="dxa" w:w="4867"/>
          </w:tcPr>
          <w:p>
            <w:r>
              <w:t>Probar conversaciones con compradores, refinar dolores/presupuesto, cerrar diagnóstico piloto pagado.</w:t>
            </w:r>
          </w:p>
        </w:tc>
      </w:tr>
      <w:tr>
        <w:tc>
          <w:tcPr>
            <w:tcW w:type="dxa" w:w="4867"/>
          </w:tcPr>
          <w:p>
            <w:r>
              <w:t>61–90 días</w:t>
            </w:r>
          </w:p>
        </w:tc>
        <w:tc>
          <w:tcPr>
            <w:tcW w:type="dxa" w:w="4867"/>
          </w:tcPr>
          <w:p>
            <w:r>
              <w:t>Ejecutar, documentar evidencia autorizada, generar propuesta de expansión y caso comercial.</w:t>
            </w:r>
          </w:p>
        </w:tc>
      </w:tr>
      <w:tr>
        <w:tc>
          <w:tcPr>
            <w:tcW w:type="dxa" w:w="4867"/>
          </w:tcPr>
          <w:p>
            <w:r>
              <w:t>3–6 meses</w:t>
            </w:r>
          </w:p>
        </w:tc>
        <w:tc>
          <w:tcPr>
            <w:tcW w:type="dxa" w:w="4867"/>
          </w:tcPr>
          <w:p>
            <w:r>
              <w:t>Estandarizar delivery, testear retainer y primer activo digital; optimizar funnel.</w:t>
            </w:r>
          </w:p>
        </w:tc>
      </w:tr>
      <w:tr>
        <w:tc>
          <w:tcPr>
            <w:tcW w:type="dxa" w:w="4867"/>
          </w:tcPr>
          <w:p>
            <w:r>
              <w:t>6–12 meses</w:t>
            </w:r>
          </w:p>
        </w:tc>
        <w:tc>
          <w:tcPr>
            <w:tcW w:type="dxa" w:w="4867"/>
          </w:tcPr>
          <w:p>
            <w:r>
              <w:t>Repetibilidad, especialización sectorial, partners y IP calibrada.</w:t>
            </w:r>
          </w:p>
        </w:tc>
      </w:tr>
    </w:tbl>
    <w:p/>
    <w:p>
      <w:pPr>
        <w:pStyle w:val="Heading1"/>
      </w:pPr>
      <w:r>
        <w:t>18 · Decisiones abiertas / límites del conocimiento</w:t>
      </w:r>
    </w:p>
    <w:p>
      <w:pPr>
        <w:pStyle w:val="ListBullet"/>
      </w:pPr>
      <w:r>
        <w:t>Razón social, país de constitución, estructura fiscal y titularidad de activos: PENDIENTE.</w:t>
      </w:r>
    </w:p>
    <w:p>
      <w:pPr>
        <w:pStyle w:val="ListBullet"/>
      </w:pPr>
      <w:r>
        <w:t>Dominio praxia.com y correo hello@praxia.com aparecen como aplicaciones conceptuales del manual; NO verificar como propiedad o canales activos.</w:t>
      </w:r>
    </w:p>
    <w:p>
      <w:pPr>
        <w:pStyle w:val="ListBullet"/>
      </w:pPr>
      <w:r>
        <w:t>Trademark de PRAXIA o Adoption Gap Index™: PENDIENTE de validación jurídica.</w:t>
      </w:r>
    </w:p>
    <w:p>
      <w:pPr>
        <w:pStyle w:val="ListBullet"/>
      </w:pPr>
      <w:r>
        <w:t>Fórmula y validación externa del Adoption Gap Index: PENDIENTE.</w:t>
      </w:r>
    </w:p>
    <w:p>
      <w:pPr>
        <w:pStyle w:val="ListBullet"/>
      </w:pPr>
      <w:r>
        <w:t>Portafolio contratado, clientes activos, facturación real, testimonios y case studies aprobados: SIN DATOS CONFIRMADOS.</w:t>
      </w:r>
    </w:p>
    <w:p>
      <w:pPr>
        <w:pStyle w:val="ListBullet"/>
      </w:pPr>
      <w:r>
        <w:t>Precios, plazos, márgenes y verticales: HIPÓTESIS a validar.</w:t>
      </w:r>
    </w:p>
    <w:p>
      <w:pPr>
        <w:pStyle w:val="ListBullet"/>
      </w:pPr>
      <w:r>
        <w:t>Meta USD 10k: falta distinguir ventas brutas, cobranzas, beneficio o ingreso personal.</w:t>
      </w:r>
    </w:p>
    <w:p>
      <w:pPr>
        <w:pStyle w:val="ListBullet"/>
      </w:pPr>
      <w:r>
        <w:t>Definición final de servicios ancla y equipo operativo formal: PENDIENTE.</w:t>
      </w:r>
    </w:p>
    <w:p>
      <w:pPr>
        <w:pStyle w:val="Heading1"/>
      </w:pPr>
      <w:r>
        <w:t>19 · Instrucción maestra para una IA PRAXIA</w:t>
      </w:r>
    </w:p>
    <w:p>
      <w:r>
        <w:t>Actúa como un equipo senior integrado de estrategia, consultoría de transformación, comercialización B2B, contenido ejecutivo, diseño de marca y adopción de IA para PRAXIA. Tu misión es transformar ideas en soluciones comercializables y resultados de negocio mensurables. El posicionamiento obligatorio es «Turn strategy into adoption». Usa The Adoption Gap como categoría narrativa; evita Transformation Theater. Prioriza siempre un problema que un comprador senior financiaría y cuantifica, con supuestos explícitos, el valor en juego. No confundas capacitación, comunicación, liderazgo o IA con fines; son medios al servicio de la adopción y el desempeño. Mantén voz clara, sofisticada, estratégica y humana; diseño editorial grafito/ivory/índigo/clay con Space Grotesk/Inter/Space Mono; jamás copies la estética corporativa genérica. Antes de presentar una oferta, especifica cliente, problema, valor, mecanismo, evidencia, alcance, entregables, KPI, exclusiones y siguiente paso. Distingue hechos confirmados de conceptos, hipótesis y recomendaciones. No inventes éxito comercial, registros IP, métricas de ROI o casos cliente. Si una decisión no ha sido tomada, explica opciones y propone una predeterminada sin hacerla pasar por decisión oficial.</w:t>
      </w:r>
    </w:p>
    <w:p>
      <w:pPr>
        <w:pStyle w:val="Heading1"/>
      </w:pPr>
      <w:r>
        <w:t>20 · Fuentes y trazabilidad</w:t>
      </w:r>
    </w:p>
    <w:p>
      <w:pPr>
        <w:pStyle w:val="ListBullet"/>
      </w:pPr>
      <w:r>
        <w:t>Fuente primaria: Praxia_Brand_Guidelines (1).pdf, 18 páginas, Brand System v1.0 · 2026.</w:t>
      </w:r>
    </w:p>
    <w:p>
      <w:pPr>
        <w:pStyle w:val="ListBullet"/>
      </w:pPr>
      <w:r>
        <w:t>Contexto conversacional recuperado: PRAXIA (julio 2026), estrategia de posicionamiento, meta de monetización (7 julio), estrategia orgánica LinkedIn (29–30 julio), narrativas Adoption Gap (septiembre), publicación «La estrategia no falla en PowerPoint» (septiembre–octubre), PRAXIA JUNGLE (octubre).</w:t>
      </w:r>
    </w:p>
    <w:p>
      <w:pPr>
        <w:pStyle w:val="ListBullet"/>
      </w:pPr>
      <w:r>
        <w:t>Elementos definidos se distinguen de hipótesis comerciales, metodologías por validar y propuestas operativas.</w:t>
      </w:r>
    </w:p>
    <w:sectPr w:rsidR="00FC693F" w:rsidRPr="0006063C" w:rsidSect="00034616">
      <w:headerReference w:type="default" r:id="rId9"/>
      <w:footerReference w:type="default" r:id="rId10"/>
      <w:pgSz w:w="12240" w:h="15840"/>
      <w:pgMar w:top="1224" w:right="1253" w:bottom="1037" w:left="1253"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4"/>
      </w:rPr>
      <w:t>CONFIDENCIAL  ·  OCTUBRE 2026  ·  DOCUMENTO DE TRABAJO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B4BFF"/>
      </w:rPr>
      <w:t>P R A X I A    /    MASTER BUSINESS &amp; BRAND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C2D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C0D12"/>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Aptos Display" w:hAnsi="Aptos Display"/>
      <w:b/>
      <w:bCs/>
      <w:color w:val="5B4BFF"/>
      <w:sz w:val="24"/>
      <w:szCs w:val="26"/>
    </w:rPr>
  </w:style>
  <w:style w:type="paragraph" w:styleId="Heading3">
    <w:name w:val="heading 3"/>
    <w:basedOn w:val="Normal"/>
    <w:next w:val="Normal"/>
    <w:link w:val="Heading3Char"/>
    <w:uiPriority w:val="9"/>
    <w:unhideWhenUsed/>
    <w:qFormat/>
    <w:rsid w:val="00FC693F"/>
    <w:pPr>
      <w:keepNext/>
      <w:keepLines/>
      <w:spacing w:before="300" w:after="120"/>
      <w:outlineLvl w:val="2"/>
    </w:pPr>
    <w:rPr>
      <w:rFonts w:asciiTheme="majorHAnsi" w:eastAsiaTheme="majorEastAsia" w:hAnsiTheme="majorHAnsi" w:cstheme="majorBidi" w:ascii="Aptos Display" w:hAnsi="Aptos Display"/>
      <w:b/>
      <w:bCs/>
      <w:color w:val="0C0D1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300"/>
      <w:contextualSpacing/>
    </w:pPr>
    <w:rPr>
      <w:rFonts w:asciiTheme="majorHAnsi" w:eastAsiaTheme="majorEastAsia" w:hAnsiTheme="majorHAnsi" w:cstheme="majorBidi" w:ascii="Aptos Display" w:hAnsi="Aptos Display"/>
      <w:b/>
      <w:color w:val="0C0D1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