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UNIVERSIDAD PRIVADA DE TACNA</w:t>
      </w:r>
    </w:p>
    <w:p>
      <w:pPr>
        <w:jc w:val="center"/>
      </w:pPr>
      <w:r>
        <w:t>FACULTAD DE INGENIERÍA</w:t>
        <w:br/>
        <w:t>ESCUELA PROFESIONAL DE INGENIERÍA DE SISTEMAS</w:t>
      </w:r>
    </w:p>
    <w:p/>
    <w:p>
      <w:pPr>
        <w:jc w:val="center"/>
      </w:pPr>
      <w:r>
        <w:rPr>
          <w:b/>
          <w:sz w:val="36"/>
        </w:rPr>
        <w:t>PLAN DE AUDITORÍA DE SEGURIDAD DEL CANAL DIGITAL</w:t>
        <w:br/>
        <w:t>CLÍNICA SANTA LUCÍA</w:t>
      </w:r>
    </w:p>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2232"/>
            <w:vAlign w:val="center"/>
            <w:shd w:fill="D9EAF7"/>
          </w:tcPr>
          <w:p>
            <w:pPr>
              <w:spacing w:after="20"/>
            </w:pPr>
            <w:r/>
            <w:r>
              <w:rPr>
                <w:rFonts w:ascii="Arial" w:hAnsi="Arial"/>
                <w:b/>
                <w:sz w:val="20"/>
              </w:rPr>
              <w:t>Dato</w:t>
            </w:r>
          </w:p>
        </w:tc>
        <w:tc>
          <w:tcPr>
            <w:tcW w:type="dxa" w:w="8136"/>
            <w:vAlign w:val="center"/>
            <w:shd w:fill="D9EAF7"/>
          </w:tcPr>
          <w:p>
            <w:pPr>
              <w:spacing w:after="20"/>
            </w:pPr>
            <w:r/>
            <w:r>
              <w:rPr>
                <w:rFonts w:ascii="Arial" w:hAnsi="Arial"/>
                <w:b/>
                <w:sz w:val="20"/>
              </w:rPr>
              <w:t>Información</w:t>
            </w:r>
          </w:p>
        </w:tc>
      </w:tr>
      <w:tr>
        <w:tc>
          <w:tcPr>
            <w:tcW w:type="dxa" w:w="2232"/>
            <w:vAlign w:val="center"/>
          </w:tcPr>
          <w:p>
            <w:pPr>
              <w:spacing w:after="20"/>
            </w:pPr>
            <w:r/>
            <w:r>
              <w:rPr>
                <w:rFonts w:ascii="Arial" w:hAnsi="Arial"/>
                <w:b w:val="0"/>
                <w:sz w:val="20"/>
              </w:rPr>
              <w:t>Curso</w:t>
            </w:r>
          </w:p>
        </w:tc>
        <w:tc>
          <w:tcPr>
            <w:tcW w:type="dxa" w:w="8136"/>
            <w:vAlign w:val="center"/>
          </w:tcPr>
          <w:p>
            <w:pPr>
              <w:spacing w:after="20"/>
            </w:pPr>
            <w:r/>
            <w:r>
              <w:rPr>
                <w:rFonts w:ascii="Arial" w:hAnsi="Arial"/>
                <w:b w:val="0"/>
                <w:sz w:val="20"/>
              </w:rPr>
              <w:t>Auditoría de Sistemas</w:t>
            </w:r>
          </w:p>
        </w:tc>
      </w:tr>
      <w:tr>
        <w:tc>
          <w:tcPr>
            <w:tcW w:type="dxa" w:w="2232"/>
            <w:vAlign w:val="center"/>
            <w:shd w:fill="F7FBFE"/>
          </w:tcPr>
          <w:p>
            <w:pPr>
              <w:spacing w:after="20"/>
            </w:pPr>
            <w:r/>
            <w:r>
              <w:rPr>
                <w:rFonts w:ascii="Arial" w:hAnsi="Arial"/>
                <w:b w:val="0"/>
                <w:sz w:val="20"/>
              </w:rPr>
              <w:t>Evaluación</w:t>
            </w:r>
          </w:p>
        </w:tc>
        <w:tc>
          <w:tcPr>
            <w:tcW w:type="dxa" w:w="8136"/>
            <w:vAlign w:val="center"/>
            <w:shd w:fill="F7FBFE"/>
          </w:tcPr>
          <w:p>
            <w:pPr>
              <w:spacing w:after="20"/>
            </w:pPr>
            <w:r/>
            <w:r>
              <w:rPr>
                <w:rFonts w:ascii="Arial" w:hAnsi="Arial"/>
                <w:b w:val="0"/>
                <w:sz w:val="20"/>
              </w:rPr>
              <w:t>Examen práctico de Unidad II</w:t>
            </w:r>
          </w:p>
        </w:tc>
      </w:tr>
      <w:tr>
        <w:tc>
          <w:tcPr>
            <w:tcW w:type="dxa" w:w="2232"/>
            <w:vAlign w:val="center"/>
          </w:tcPr>
          <w:p>
            <w:pPr>
              <w:spacing w:after="20"/>
            </w:pPr>
            <w:r/>
            <w:r>
              <w:rPr>
                <w:rFonts w:ascii="Arial" w:hAnsi="Arial"/>
                <w:b w:val="0"/>
                <w:sz w:val="20"/>
              </w:rPr>
              <w:t>Estudiante</w:t>
            </w:r>
          </w:p>
        </w:tc>
        <w:tc>
          <w:tcPr>
            <w:tcW w:type="dxa" w:w="8136"/>
            <w:vAlign w:val="center"/>
          </w:tcPr>
          <w:p>
            <w:pPr>
              <w:spacing w:after="20"/>
            </w:pPr>
            <w:r/>
            <w:r>
              <w:rPr>
                <w:rFonts w:ascii="Arial" w:hAnsi="Arial"/>
                <w:b w:val="0"/>
                <w:sz w:val="20"/>
              </w:rPr>
              <w:t>[COMPLETAR APELLIDOS Y NOMBRES]</w:t>
            </w:r>
          </w:p>
        </w:tc>
      </w:tr>
      <w:tr>
        <w:tc>
          <w:tcPr>
            <w:tcW w:type="dxa" w:w="2232"/>
            <w:vAlign w:val="center"/>
            <w:shd w:fill="F7FBFE"/>
          </w:tcPr>
          <w:p>
            <w:pPr>
              <w:spacing w:after="20"/>
            </w:pPr>
            <w:r/>
            <w:r>
              <w:rPr>
                <w:rFonts w:ascii="Arial" w:hAnsi="Arial"/>
                <w:b w:val="0"/>
                <w:sz w:val="20"/>
              </w:rPr>
              <w:t>Código</w:t>
            </w:r>
          </w:p>
        </w:tc>
        <w:tc>
          <w:tcPr>
            <w:tcW w:type="dxa" w:w="8136"/>
            <w:vAlign w:val="center"/>
            <w:shd w:fill="F7FBFE"/>
          </w:tcPr>
          <w:p>
            <w:pPr>
              <w:spacing w:after="20"/>
            </w:pPr>
            <w:r/>
            <w:r>
              <w:rPr>
                <w:rFonts w:ascii="Arial" w:hAnsi="Arial"/>
                <w:b w:val="0"/>
                <w:sz w:val="20"/>
              </w:rPr>
              <w:t>[COMPLETAR CÓDIGO DE ESTUDIANTE]</w:t>
            </w:r>
          </w:p>
        </w:tc>
      </w:tr>
      <w:tr>
        <w:tc>
          <w:tcPr>
            <w:tcW w:type="dxa" w:w="2232"/>
            <w:vAlign w:val="center"/>
          </w:tcPr>
          <w:p>
            <w:pPr>
              <w:spacing w:after="20"/>
            </w:pPr>
            <w:r/>
            <w:r>
              <w:rPr>
                <w:rFonts w:ascii="Arial" w:hAnsi="Arial"/>
                <w:b w:val="0"/>
                <w:sz w:val="20"/>
              </w:rPr>
              <w:t>URL del repositorio</w:t>
            </w:r>
          </w:p>
        </w:tc>
        <w:tc>
          <w:tcPr>
            <w:tcW w:type="dxa" w:w="8136"/>
            <w:vAlign w:val="center"/>
          </w:tcPr>
          <w:p>
            <w:pPr>
              <w:spacing w:after="20"/>
            </w:pPr>
            <w:r/>
            <w:r>
              <w:rPr>
                <w:rFonts w:ascii="Arial" w:hAnsi="Arial"/>
                <w:b w:val="0"/>
                <w:sz w:val="20"/>
              </w:rPr>
              <w:t>[COMPLETAR URL DE GITHUB EN LA RAMA examen-u2]</w:t>
            </w:r>
          </w:p>
        </w:tc>
      </w:tr>
      <w:tr>
        <w:tc>
          <w:tcPr>
            <w:tcW w:type="dxa" w:w="2232"/>
            <w:vAlign w:val="center"/>
            <w:shd w:fill="F7FBFE"/>
          </w:tcPr>
          <w:p>
            <w:pPr>
              <w:spacing w:after="20"/>
            </w:pPr>
            <w:r/>
            <w:r>
              <w:rPr>
                <w:rFonts w:ascii="Arial" w:hAnsi="Arial"/>
                <w:b w:val="0"/>
                <w:sz w:val="20"/>
              </w:rPr>
              <w:t>Docente</w:t>
            </w:r>
          </w:p>
        </w:tc>
        <w:tc>
          <w:tcPr>
            <w:tcW w:type="dxa" w:w="8136"/>
            <w:vAlign w:val="center"/>
            <w:shd w:fill="F7FBFE"/>
          </w:tcPr>
          <w:p>
            <w:pPr>
              <w:spacing w:after="20"/>
            </w:pPr>
            <w:r/>
            <w:r>
              <w:rPr>
                <w:rFonts w:ascii="Arial" w:hAnsi="Arial"/>
                <w:b w:val="0"/>
                <w:sz w:val="20"/>
              </w:rPr>
              <w:t>Dr. Oscar Juan Jimenez Flores</w:t>
            </w:r>
          </w:p>
        </w:tc>
      </w:tr>
      <w:tr>
        <w:tc>
          <w:tcPr>
            <w:tcW w:type="dxa" w:w="2232"/>
            <w:vAlign w:val="center"/>
          </w:tcPr>
          <w:p>
            <w:pPr>
              <w:spacing w:after="20"/>
            </w:pPr>
            <w:r/>
            <w:r>
              <w:rPr>
                <w:rFonts w:ascii="Arial" w:hAnsi="Arial"/>
                <w:b w:val="0"/>
                <w:sz w:val="20"/>
              </w:rPr>
              <w:t>Fecha</w:t>
            </w:r>
          </w:p>
        </w:tc>
        <w:tc>
          <w:tcPr>
            <w:tcW w:type="dxa" w:w="8136"/>
            <w:vAlign w:val="center"/>
          </w:tcPr>
          <w:p>
            <w:pPr>
              <w:spacing w:after="20"/>
            </w:pPr>
            <w:r/>
            <w:r>
              <w:rPr>
                <w:rFonts w:ascii="Arial" w:hAnsi="Arial"/>
                <w:b w:val="0"/>
                <w:sz w:val="20"/>
              </w:rPr>
              <w:t>28 de octubre de 2026</w:t>
            </w:r>
          </w:p>
        </w:tc>
      </w:tr>
    </w:tbl>
    <w:p/>
    <w:p/>
    <w:p>
      <w:pPr>
        <w:jc w:val="center"/>
      </w:pPr>
      <w:r>
        <w:t>Tacna - Perú</w:t>
      </w:r>
    </w:p>
    <w:p>
      <w:r>
        <w:br w:type="page"/>
      </w:r>
    </w:p>
    <w:p>
      <w:pPr>
        <w:pStyle w:val="Heading1"/>
        <w:spacing w:before="200" w:after="80"/>
      </w:pPr>
      <w:r>
        <w:t>II. INFORMACIÓN DE LA ENTIDAD AUDITADA Y CONOCIMIENTO PREVIO</w:t>
      </w:r>
    </w:p>
    <w:p>
      <w:pPr>
        <w:ind w:firstLine="288"/>
      </w:pPr>
      <w:r>
        <w:t>La Clínica Santa Lucía S.A.C. es una institución prestadora de servicios de salud de nivel II-1, ubicada en Tacna y supervisada por SUSALUD y por la Autoridad Nacional de Protección de Datos Personales. En 2025 reportó ingresos de S/ 18 600 000 y cuenta con 162 trabajadores, de los cuales tres integran el área de sistemas. Su canal digital ofrece reserva de citas, consulta de resultados de laboratorio y recepción de postulaciones. Atiende aproximadamente 3 850 citas mensuales, mantiene 12 400 cuentas de pacientes y recibió 214 postulaciones con currículum durante 2026.</w:t>
      </w:r>
    </w:p>
    <w:p>
      <w:pPr>
        <w:ind w:firstLine="288"/>
      </w:pPr>
      <w:r>
        <w:t>Como parte de la planificación, la comisión ejecutó el reconocimiento autorizado con la sección 4.1 de OWASP WSTG 4.2 y con observación pasiva de configuración. El cuadro 1 contrasta los resultados observados contra las declaraciones entregadas por WebSur S.A.C. Las evidencias se encuentran en la carpeta evidencias del repositorio y sus huellas de integridad fueron registradas en SHA256SUMS.txt.</w:t>
      </w:r>
    </w:p>
    <w:p>
      <w:r>
        <w:rPr>
          <w:b/>
        </w:rPr>
        <w:t>Cuadro 1. Declaraciones del proveedor frente a lo observado en el reconocimiento</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80"/>
        <w:gridCol w:w="1680"/>
        <w:gridCol w:w="1680"/>
        <w:gridCol w:w="1680"/>
        <w:gridCol w:w="1680"/>
        <w:gridCol w:w="1680"/>
      </w:tblGrid>
      <w:tr>
        <w:tc>
          <w:tcPr>
            <w:tcW w:type="dxa" w:w="547"/>
            <w:vAlign w:val="center"/>
            <w:shd w:fill="D9EAF7"/>
          </w:tcPr>
          <w:p>
            <w:pPr>
              <w:spacing w:after="20"/>
            </w:pPr>
            <w:r/>
            <w:r>
              <w:rPr>
                <w:rFonts w:ascii="Arial" w:hAnsi="Arial"/>
                <w:b/>
                <w:sz w:val="14"/>
              </w:rPr>
              <w:t>Prueba</w:t>
            </w:r>
          </w:p>
        </w:tc>
        <w:tc>
          <w:tcPr>
            <w:tcW w:type="dxa" w:w="1080"/>
            <w:vAlign w:val="center"/>
            <w:shd w:fill="D9EAF7"/>
          </w:tcPr>
          <w:p>
            <w:pPr>
              <w:spacing w:after="20"/>
            </w:pPr>
            <w:r/>
            <w:r>
              <w:rPr>
                <w:rFonts w:ascii="Arial" w:hAnsi="Arial"/>
                <w:b/>
                <w:sz w:val="14"/>
              </w:rPr>
              <w:t>WSTG</w:t>
            </w:r>
          </w:p>
        </w:tc>
        <w:tc>
          <w:tcPr>
            <w:tcW w:type="dxa" w:w="3240"/>
            <w:vAlign w:val="center"/>
            <w:shd w:fill="D9EAF7"/>
          </w:tcPr>
          <w:p>
            <w:pPr>
              <w:spacing w:after="20"/>
            </w:pPr>
            <w:r/>
            <w:r>
              <w:rPr>
                <w:rFonts w:ascii="Arial" w:hAnsi="Arial"/>
                <w:b/>
                <w:sz w:val="14"/>
              </w:rPr>
              <w:t>Lo observado</w:t>
            </w:r>
          </w:p>
        </w:tc>
        <w:tc>
          <w:tcPr>
            <w:tcW w:type="dxa" w:w="720"/>
            <w:vAlign w:val="center"/>
            <w:shd w:fill="D9EAF7"/>
          </w:tcPr>
          <w:p>
            <w:pPr>
              <w:spacing w:after="20"/>
            </w:pPr>
            <w:r/>
            <w:r>
              <w:rPr>
                <w:rFonts w:ascii="Arial" w:hAnsi="Arial"/>
                <w:b/>
                <w:sz w:val="14"/>
              </w:rPr>
              <w:t>Declaración</w:t>
            </w:r>
          </w:p>
        </w:tc>
        <w:tc>
          <w:tcPr>
            <w:tcW w:type="dxa" w:w="792"/>
            <w:vAlign w:val="center"/>
            <w:shd w:fill="D9EAF7"/>
          </w:tcPr>
          <w:p>
            <w:pPr>
              <w:spacing w:after="20"/>
            </w:pPr>
            <w:r/>
            <w:r>
              <w:rPr>
                <w:rFonts w:ascii="Arial" w:hAnsi="Arial"/>
                <w:b/>
                <w:sz w:val="14"/>
              </w:rPr>
              <w:t>¿Coincide?</w:t>
            </w:r>
          </w:p>
        </w:tc>
        <w:tc>
          <w:tcPr>
            <w:tcW w:type="dxa" w:w="1440"/>
            <w:vAlign w:val="center"/>
            <w:shd w:fill="D9EAF7"/>
          </w:tcPr>
          <w:p>
            <w:pPr>
              <w:spacing w:after="20"/>
            </w:pPr>
            <w:r/>
            <w:r>
              <w:rPr>
                <w:rFonts w:ascii="Arial" w:hAnsi="Arial"/>
                <w:b/>
                <w:sz w:val="14"/>
              </w:rPr>
              <w:t>Evidencia</w:t>
            </w:r>
          </w:p>
        </w:tc>
      </w:tr>
      <w:tr>
        <w:tc>
          <w:tcPr>
            <w:tcW w:type="dxa" w:w="547"/>
            <w:vAlign w:val="center"/>
          </w:tcPr>
          <w:p>
            <w:pPr>
              <w:spacing w:after="20"/>
            </w:pPr>
            <w:r/>
            <w:r>
              <w:rPr>
                <w:rFonts w:ascii="Arial" w:hAnsi="Arial"/>
                <w:b w:val="0"/>
                <w:sz w:val="14"/>
              </w:rPr>
              <w:t>E1</w:t>
            </w:r>
          </w:p>
        </w:tc>
        <w:tc>
          <w:tcPr>
            <w:tcW w:type="dxa" w:w="1080"/>
            <w:vAlign w:val="center"/>
          </w:tcPr>
          <w:p>
            <w:pPr>
              <w:spacing w:after="20"/>
            </w:pPr>
            <w:r/>
            <w:r>
              <w:rPr>
                <w:rFonts w:ascii="Arial" w:hAnsi="Arial"/>
                <w:b w:val="0"/>
                <w:sz w:val="14"/>
              </w:rPr>
              <w:t>WSTG-INFO-04</w:t>
            </w:r>
          </w:p>
        </w:tc>
        <w:tc>
          <w:tcPr>
            <w:tcW w:type="dxa" w:w="3240"/>
            <w:vAlign w:val="center"/>
          </w:tcPr>
          <w:p>
            <w:pPr>
              <w:spacing w:after="20"/>
            </w:pPr>
            <w:r/>
            <w:r>
              <w:rPr>
                <w:rFonts w:ascii="Arial" w:hAnsi="Arial"/>
                <w:b w:val="0"/>
                <w:sz w:val="14"/>
              </w:rPr>
              <w:t>Se identificaron 3 servicios publicados: portal 8080, pruebas 8081 y API 8088.</w:t>
            </w:r>
          </w:p>
        </w:tc>
        <w:tc>
          <w:tcPr>
            <w:tcW w:type="dxa" w:w="720"/>
            <w:vAlign w:val="center"/>
          </w:tcPr>
          <w:p>
            <w:pPr>
              <w:spacing w:after="20"/>
            </w:pPr>
            <w:r/>
            <w:r>
              <w:rPr>
                <w:rFonts w:ascii="Arial" w:hAnsi="Arial"/>
                <w:b w:val="0"/>
                <w:sz w:val="14"/>
              </w:rPr>
              <w:t>D1</w:t>
            </w:r>
          </w:p>
        </w:tc>
        <w:tc>
          <w:tcPr>
            <w:tcW w:type="dxa" w:w="792"/>
            <w:vAlign w:val="center"/>
          </w:tcPr>
          <w:p>
            <w:pPr>
              <w:spacing w:after="20"/>
            </w:pPr>
            <w:r/>
            <w:r>
              <w:rPr>
                <w:rFonts w:ascii="Arial" w:hAnsi="Arial"/>
                <w:b w:val="0"/>
                <w:sz w:val="14"/>
              </w:rPr>
              <w:t>No</w:t>
            </w:r>
          </w:p>
        </w:tc>
        <w:tc>
          <w:tcPr>
            <w:tcW w:type="dxa" w:w="1440"/>
            <w:vAlign w:val="center"/>
          </w:tcPr>
          <w:p>
            <w:pPr>
              <w:spacing w:after="20"/>
            </w:pPr>
            <w:r/>
            <w:r>
              <w:rPr>
                <w:rFonts w:ascii="Arial" w:hAnsi="Arial"/>
                <w:b w:val="0"/>
                <w:sz w:val="14"/>
              </w:rPr>
              <w:t>E1_aplicaciones.txt</w:t>
            </w:r>
          </w:p>
        </w:tc>
      </w:tr>
      <w:tr>
        <w:tc>
          <w:tcPr>
            <w:tcW w:type="dxa" w:w="547"/>
            <w:vAlign w:val="center"/>
            <w:shd w:fill="F7FBFE"/>
          </w:tcPr>
          <w:p>
            <w:pPr>
              <w:spacing w:after="20"/>
            </w:pPr>
            <w:r/>
            <w:r>
              <w:rPr>
                <w:rFonts w:ascii="Arial" w:hAnsi="Arial"/>
                <w:b w:val="0"/>
                <w:sz w:val="14"/>
              </w:rPr>
              <w:t>E2</w:t>
            </w:r>
          </w:p>
        </w:tc>
        <w:tc>
          <w:tcPr>
            <w:tcW w:type="dxa" w:w="1080"/>
            <w:vAlign w:val="center"/>
            <w:shd w:fill="F7FBFE"/>
          </w:tcPr>
          <w:p>
            <w:pPr>
              <w:spacing w:after="20"/>
            </w:pPr>
            <w:r/>
            <w:r>
              <w:rPr>
                <w:rFonts w:ascii="Arial" w:hAnsi="Arial"/>
                <w:b w:val="0"/>
                <w:sz w:val="14"/>
              </w:rPr>
              <w:t>WSTG-INFO-02</w:t>
            </w:r>
          </w:p>
        </w:tc>
        <w:tc>
          <w:tcPr>
            <w:tcW w:type="dxa" w:w="3240"/>
            <w:vAlign w:val="center"/>
            <w:shd w:fill="F7FBFE"/>
          </w:tcPr>
          <w:p>
            <w:pPr>
              <w:spacing w:after="20"/>
            </w:pPr>
            <w:r/>
            <w:r>
              <w:rPr>
                <w:rFonts w:ascii="Arial" w:hAnsi="Arial"/>
                <w:b w:val="0"/>
                <w:sz w:val="14"/>
              </w:rPr>
              <w:t>Se expusieron nginx/1.20.2 y PHP/7.4.3 en portal y pruebas; API reveló Express.</w:t>
            </w:r>
          </w:p>
        </w:tc>
        <w:tc>
          <w:tcPr>
            <w:tcW w:type="dxa" w:w="720"/>
            <w:vAlign w:val="center"/>
            <w:shd w:fill="F7FBFE"/>
          </w:tcPr>
          <w:p>
            <w:pPr>
              <w:spacing w:after="20"/>
            </w:pPr>
            <w:r/>
            <w:r>
              <w:rPr>
                <w:rFonts w:ascii="Arial" w:hAnsi="Arial"/>
                <w:b w:val="0"/>
                <w:sz w:val="14"/>
              </w:rPr>
              <w:t>D2</w:t>
            </w:r>
          </w:p>
        </w:tc>
        <w:tc>
          <w:tcPr>
            <w:tcW w:type="dxa" w:w="792"/>
            <w:vAlign w:val="center"/>
            <w:shd w:fill="F7FBFE"/>
          </w:tcPr>
          <w:p>
            <w:pPr>
              <w:spacing w:after="20"/>
            </w:pPr>
            <w:r/>
            <w:r>
              <w:rPr>
                <w:rFonts w:ascii="Arial" w:hAnsi="Arial"/>
                <w:b w:val="0"/>
                <w:sz w:val="14"/>
              </w:rPr>
              <w:t>No</w:t>
            </w:r>
          </w:p>
        </w:tc>
        <w:tc>
          <w:tcPr>
            <w:tcW w:type="dxa" w:w="1440"/>
            <w:vAlign w:val="center"/>
            <w:shd w:fill="F7FBFE"/>
          </w:tcPr>
          <w:p>
            <w:pPr>
              <w:spacing w:after="20"/>
            </w:pPr>
            <w:r/>
            <w:r>
              <w:rPr>
                <w:rFonts w:ascii="Arial" w:hAnsi="Arial"/>
                <w:b w:val="0"/>
                <w:sz w:val="14"/>
              </w:rPr>
              <w:t>E2_servidor.txt</w:t>
            </w:r>
          </w:p>
        </w:tc>
      </w:tr>
      <w:tr>
        <w:tc>
          <w:tcPr>
            <w:tcW w:type="dxa" w:w="547"/>
            <w:vAlign w:val="center"/>
          </w:tcPr>
          <w:p>
            <w:pPr>
              <w:spacing w:after="20"/>
            </w:pPr>
            <w:r/>
            <w:r>
              <w:rPr>
                <w:rFonts w:ascii="Arial" w:hAnsi="Arial"/>
                <w:b w:val="0"/>
                <w:sz w:val="14"/>
              </w:rPr>
              <w:t>E3</w:t>
            </w:r>
          </w:p>
        </w:tc>
        <w:tc>
          <w:tcPr>
            <w:tcW w:type="dxa" w:w="1080"/>
            <w:vAlign w:val="center"/>
          </w:tcPr>
          <w:p>
            <w:pPr>
              <w:spacing w:after="20"/>
            </w:pPr>
            <w:r/>
            <w:r>
              <w:rPr>
                <w:rFonts w:ascii="Arial" w:hAnsi="Arial"/>
                <w:b w:val="0"/>
                <w:sz w:val="14"/>
              </w:rPr>
              <w:t>WSTG-INFO-03</w:t>
            </w:r>
          </w:p>
        </w:tc>
        <w:tc>
          <w:tcPr>
            <w:tcW w:type="dxa" w:w="3240"/>
            <w:vAlign w:val="center"/>
          </w:tcPr>
          <w:p>
            <w:pPr>
              <w:spacing w:after="20"/>
            </w:pPr>
            <w:r/>
            <w:r>
              <w:rPr>
                <w:rFonts w:ascii="Arial" w:hAnsi="Arial"/>
                <w:b w:val="0"/>
                <w:sz w:val="14"/>
              </w:rPr>
              <w:t>robots.txt y sitemap.xml revelaron /admin/, /respaldos/, /resultados/, /citas/ y /postula/.</w:t>
            </w:r>
          </w:p>
        </w:tc>
        <w:tc>
          <w:tcPr>
            <w:tcW w:type="dxa" w:w="720"/>
            <w:vAlign w:val="center"/>
          </w:tcPr>
          <w:p>
            <w:pPr>
              <w:spacing w:after="20"/>
            </w:pPr>
            <w:r/>
            <w:r>
              <w:rPr>
                <w:rFonts w:ascii="Arial" w:hAnsi="Arial"/>
                <w:b w:val="0"/>
                <w:sz w:val="14"/>
              </w:rPr>
              <w:t>-</w:t>
            </w:r>
          </w:p>
        </w:tc>
        <w:tc>
          <w:tcPr>
            <w:tcW w:type="dxa" w:w="792"/>
            <w:vAlign w:val="center"/>
          </w:tcPr>
          <w:p>
            <w:pPr>
              <w:spacing w:after="20"/>
            </w:pPr>
            <w:r/>
            <w:r>
              <w:rPr>
                <w:rFonts w:ascii="Arial" w:hAnsi="Arial"/>
                <w:b w:val="0"/>
                <w:sz w:val="14"/>
              </w:rPr>
              <w:t>-</w:t>
            </w:r>
          </w:p>
        </w:tc>
        <w:tc>
          <w:tcPr>
            <w:tcW w:type="dxa" w:w="1440"/>
            <w:vAlign w:val="center"/>
          </w:tcPr>
          <w:p>
            <w:pPr>
              <w:spacing w:after="20"/>
            </w:pPr>
            <w:r/>
            <w:r>
              <w:rPr>
                <w:rFonts w:ascii="Arial" w:hAnsi="Arial"/>
                <w:b w:val="0"/>
                <w:sz w:val="14"/>
              </w:rPr>
              <w:t>E3_metarchivos.txt</w:t>
            </w:r>
          </w:p>
        </w:tc>
      </w:tr>
      <w:tr>
        <w:tc>
          <w:tcPr>
            <w:tcW w:type="dxa" w:w="547"/>
            <w:vAlign w:val="center"/>
            <w:shd w:fill="F7FBFE"/>
          </w:tcPr>
          <w:p>
            <w:pPr>
              <w:spacing w:after="20"/>
            </w:pPr>
            <w:r/>
            <w:r>
              <w:rPr>
                <w:rFonts w:ascii="Arial" w:hAnsi="Arial"/>
                <w:b w:val="0"/>
                <w:sz w:val="14"/>
              </w:rPr>
              <w:t>E4</w:t>
            </w:r>
          </w:p>
        </w:tc>
        <w:tc>
          <w:tcPr>
            <w:tcW w:type="dxa" w:w="1080"/>
            <w:vAlign w:val="center"/>
            <w:shd w:fill="F7FBFE"/>
          </w:tcPr>
          <w:p>
            <w:pPr>
              <w:spacing w:after="20"/>
            </w:pPr>
            <w:r/>
            <w:r>
              <w:rPr>
                <w:rFonts w:ascii="Arial" w:hAnsi="Arial"/>
                <w:b w:val="0"/>
                <w:sz w:val="14"/>
              </w:rPr>
              <w:t>WSTG-INFO-05</w:t>
            </w:r>
          </w:p>
        </w:tc>
        <w:tc>
          <w:tcPr>
            <w:tcW w:type="dxa" w:w="3240"/>
            <w:vAlign w:val="center"/>
            <w:shd w:fill="F7FBFE"/>
          </w:tcPr>
          <w:p>
            <w:pPr>
              <w:spacing w:after="20"/>
            </w:pPr>
            <w:r/>
            <w:r>
              <w:rPr>
                <w:rFonts w:ascii="Arial" w:hAnsi="Arial"/>
                <w:b w:val="0"/>
                <w:sz w:val="14"/>
              </w:rPr>
              <w:t>El HTML reveló admin_pruebas, soporte@websur.test y la IP interna 10.20.0.15:8090.</w:t>
            </w:r>
          </w:p>
        </w:tc>
        <w:tc>
          <w:tcPr>
            <w:tcW w:type="dxa" w:w="720"/>
            <w:vAlign w:val="center"/>
            <w:shd w:fill="F7FBFE"/>
          </w:tcPr>
          <w:p>
            <w:pPr>
              <w:spacing w:after="20"/>
            </w:pPr>
            <w:r/>
            <w:r>
              <w:rPr>
                <w:rFonts w:ascii="Arial" w:hAnsi="Arial"/>
                <w:b w:val="0"/>
                <w:sz w:val="14"/>
              </w:rPr>
              <w:t>D8</w:t>
            </w:r>
          </w:p>
        </w:tc>
        <w:tc>
          <w:tcPr>
            <w:tcW w:type="dxa" w:w="792"/>
            <w:vAlign w:val="center"/>
            <w:shd w:fill="F7FBFE"/>
          </w:tcPr>
          <w:p>
            <w:pPr>
              <w:spacing w:after="20"/>
            </w:pPr>
            <w:r/>
            <w:r>
              <w:rPr>
                <w:rFonts w:ascii="Arial" w:hAnsi="Arial"/>
                <w:b w:val="0"/>
                <w:sz w:val="14"/>
              </w:rPr>
              <w:t>No</w:t>
            </w:r>
          </w:p>
        </w:tc>
        <w:tc>
          <w:tcPr>
            <w:tcW w:type="dxa" w:w="1440"/>
            <w:vAlign w:val="center"/>
            <w:shd w:fill="F7FBFE"/>
          </w:tcPr>
          <w:p>
            <w:pPr>
              <w:spacing w:after="20"/>
            </w:pPr>
            <w:r/>
            <w:r>
              <w:rPr>
                <w:rFonts w:ascii="Arial" w:hAnsi="Arial"/>
                <w:b w:val="0"/>
                <w:sz w:val="14"/>
              </w:rPr>
              <w:t>E4_contenido.txt</w:t>
            </w:r>
          </w:p>
        </w:tc>
      </w:tr>
      <w:tr>
        <w:tc>
          <w:tcPr>
            <w:tcW w:type="dxa" w:w="547"/>
            <w:vAlign w:val="center"/>
          </w:tcPr>
          <w:p>
            <w:pPr>
              <w:spacing w:after="20"/>
            </w:pPr>
            <w:r/>
            <w:r>
              <w:rPr>
                <w:rFonts w:ascii="Arial" w:hAnsi="Arial"/>
                <w:b w:val="0"/>
                <w:sz w:val="14"/>
              </w:rPr>
              <w:t>E5</w:t>
            </w:r>
          </w:p>
        </w:tc>
        <w:tc>
          <w:tcPr>
            <w:tcW w:type="dxa" w:w="1080"/>
            <w:vAlign w:val="center"/>
          </w:tcPr>
          <w:p>
            <w:pPr>
              <w:spacing w:after="20"/>
            </w:pPr>
            <w:r/>
            <w:r>
              <w:rPr>
                <w:rFonts w:ascii="Arial" w:hAnsi="Arial"/>
                <w:b w:val="0"/>
                <w:sz w:val="14"/>
              </w:rPr>
              <w:t>WSTG-INFO-08</w:t>
            </w:r>
          </w:p>
        </w:tc>
        <w:tc>
          <w:tcPr>
            <w:tcW w:type="dxa" w:w="3240"/>
            <w:vAlign w:val="center"/>
          </w:tcPr>
          <w:p>
            <w:pPr>
              <w:spacing w:after="20"/>
            </w:pPr>
            <w:r/>
            <w:r>
              <w:rPr>
                <w:rFonts w:ascii="Arial" w:hAnsi="Arial"/>
                <w:b w:val="0"/>
                <w:sz w:val="14"/>
              </w:rPr>
              <w:t>Se observó WordPress 5.8.1, Contact Form 7 5.3.1, jQuery 3.4.1 y WP File Manager 6.8.</w:t>
            </w:r>
          </w:p>
        </w:tc>
        <w:tc>
          <w:tcPr>
            <w:tcW w:type="dxa" w:w="720"/>
            <w:vAlign w:val="center"/>
          </w:tcPr>
          <w:p>
            <w:pPr>
              <w:spacing w:after="20"/>
            </w:pPr>
            <w:r/>
            <w:r>
              <w:rPr>
                <w:rFonts w:ascii="Arial" w:hAnsi="Arial"/>
                <w:b w:val="0"/>
                <w:sz w:val="14"/>
              </w:rPr>
              <w:t>D3</w:t>
            </w:r>
          </w:p>
        </w:tc>
        <w:tc>
          <w:tcPr>
            <w:tcW w:type="dxa" w:w="792"/>
            <w:vAlign w:val="center"/>
          </w:tcPr>
          <w:p>
            <w:pPr>
              <w:spacing w:after="20"/>
            </w:pPr>
            <w:r/>
            <w:r>
              <w:rPr>
                <w:rFonts w:ascii="Arial" w:hAnsi="Arial"/>
                <w:b w:val="0"/>
                <w:sz w:val="14"/>
              </w:rPr>
              <w:t>No</w:t>
            </w:r>
          </w:p>
        </w:tc>
        <w:tc>
          <w:tcPr>
            <w:tcW w:type="dxa" w:w="1440"/>
            <w:vAlign w:val="center"/>
          </w:tcPr>
          <w:p>
            <w:pPr>
              <w:spacing w:after="20"/>
            </w:pPr>
            <w:r/>
            <w:r>
              <w:rPr>
                <w:rFonts w:ascii="Arial" w:hAnsi="Arial"/>
                <w:b w:val="0"/>
                <w:sz w:val="14"/>
              </w:rPr>
              <w:t>E5_componentes.txt</w:t>
            </w:r>
          </w:p>
        </w:tc>
      </w:tr>
      <w:tr>
        <w:tc>
          <w:tcPr>
            <w:tcW w:type="dxa" w:w="547"/>
            <w:vAlign w:val="center"/>
            <w:shd w:fill="F7FBFE"/>
          </w:tcPr>
          <w:p>
            <w:pPr>
              <w:spacing w:after="20"/>
            </w:pPr>
            <w:r/>
            <w:r>
              <w:rPr>
                <w:rFonts w:ascii="Arial" w:hAnsi="Arial"/>
                <w:b w:val="0"/>
                <w:sz w:val="14"/>
              </w:rPr>
              <w:t>E6</w:t>
            </w:r>
          </w:p>
        </w:tc>
        <w:tc>
          <w:tcPr>
            <w:tcW w:type="dxa" w:w="1080"/>
            <w:vAlign w:val="center"/>
            <w:shd w:fill="F7FBFE"/>
          </w:tcPr>
          <w:p>
            <w:pPr>
              <w:spacing w:after="20"/>
            </w:pPr>
            <w:r/>
            <w:r>
              <w:rPr>
                <w:rFonts w:ascii="Arial" w:hAnsi="Arial"/>
                <w:b w:val="0"/>
                <w:sz w:val="14"/>
              </w:rPr>
              <w:t>WSTG-INFO-06</w:t>
            </w:r>
          </w:p>
        </w:tc>
        <w:tc>
          <w:tcPr>
            <w:tcW w:type="dxa" w:w="3240"/>
            <w:vAlign w:val="center"/>
            <w:shd w:fill="F7FBFE"/>
          </w:tcPr>
          <w:p>
            <w:pPr>
              <w:spacing w:after="20"/>
            </w:pPr>
            <w:r/>
            <w:r>
              <w:rPr>
                <w:rFonts w:ascii="Arial" w:hAnsi="Arial"/>
                <w:b w:val="0"/>
                <w:sz w:val="14"/>
              </w:rPr>
              <w:t>Citas usa GET y solicita DNI, nacimiento, teléfono, correo y síntomas; resultados solicita DNI y clave.</w:t>
            </w:r>
          </w:p>
        </w:tc>
        <w:tc>
          <w:tcPr>
            <w:tcW w:type="dxa" w:w="720"/>
            <w:vAlign w:val="center"/>
            <w:shd w:fill="F7FBFE"/>
          </w:tcPr>
          <w:p>
            <w:pPr>
              <w:spacing w:after="20"/>
            </w:pPr>
            <w:r/>
            <w:r>
              <w:rPr>
                <w:rFonts w:ascii="Arial" w:hAnsi="Arial"/>
                <w:b w:val="0"/>
                <w:sz w:val="14"/>
              </w:rPr>
              <w:t>D7</w:t>
            </w:r>
          </w:p>
        </w:tc>
        <w:tc>
          <w:tcPr>
            <w:tcW w:type="dxa" w:w="792"/>
            <w:vAlign w:val="center"/>
            <w:shd w:fill="F7FBFE"/>
          </w:tcPr>
          <w:p>
            <w:pPr>
              <w:spacing w:after="20"/>
            </w:pPr>
            <w:r/>
            <w:r>
              <w:rPr>
                <w:rFonts w:ascii="Arial" w:hAnsi="Arial"/>
                <w:b w:val="0"/>
                <w:sz w:val="14"/>
              </w:rPr>
              <w:t>No</w:t>
            </w:r>
          </w:p>
        </w:tc>
        <w:tc>
          <w:tcPr>
            <w:tcW w:type="dxa" w:w="1440"/>
            <w:vAlign w:val="center"/>
            <w:shd w:fill="F7FBFE"/>
          </w:tcPr>
          <w:p>
            <w:pPr>
              <w:spacing w:after="20"/>
            </w:pPr>
            <w:r/>
            <w:r>
              <w:rPr>
                <w:rFonts w:ascii="Arial" w:hAnsi="Arial"/>
                <w:b w:val="0"/>
                <w:sz w:val="14"/>
              </w:rPr>
              <w:t>E6_entradas.txt</w:t>
            </w:r>
          </w:p>
        </w:tc>
      </w:tr>
      <w:tr>
        <w:tc>
          <w:tcPr>
            <w:tcW w:type="dxa" w:w="547"/>
            <w:vAlign w:val="center"/>
          </w:tcPr>
          <w:p>
            <w:pPr>
              <w:spacing w:after="20"/>
            </w:pPr>
            <w:r/>
            <w:r>
              <w:rPr>
                <w:rFonts w:ascii="Arial" w:hAnsi="Arial"/>
                <w:b w:val="0"/>
                <w:sz w:val="14"/>
              </w:rPr>
              <w:t>E7</w:t>
            </w:r>
          </w:p>
        </w:tc>
        <w:tc>
          <w:tcPr>
            <w:tcW w:type="dxa" w:w="1080"/>
            <w:vAlign w:val="center"/>
          </w:tcPr>
          <w:p>
            <w:pPr>
              <w:spacing w:after="20"/>
            </w:pPr>
            <w:r/>
            <w:r>
              <w:rPr>
                <w:rFonts w:ascii="Arial" w:hAnsi="Arial"/>
                <w:b w:val="0"/>
                <w:sz w:val="14"/>
              </w:rPr>
              <w:t>WSTG-CONF-04 / 05</w:t>
            </w:r>
          </w:p>
        </w:tc>
        <w:tc>
          <w:tcPr>
            <w:tcW w:type="dxa" w:w="3240"/>
            <w:vAlign w:val="center"/>
          </w:tcPr>
          <w:p>
            <w:pPr>
              <w:spacing w:after="20"/>
            </w:pPr>
            <w:r/>
            <w:r>
              <w:rPr>
                <w:rFonts w:ascii="Arial" w:hAnsi="Arial"/>
                <w:b w:val="0"/>
                <w:sz w:val="14"/>
              </w:rPr>
              <w:t>El panel /admin/ es público y /respaldos/ lista 4 archivos, incluidos .sql.gz, .csv y wp-config.php.bak.</w:t>
            </w:r>
          </w:p>
        </w:tc>
        <w:tc>
          <w:tcPr>
            <w:tcW w:type="dxa" w:w="720"/>
            <w:vAlign w:val="center"/>
          </w:tcPr>
          <w:p>
            <w:pPr>
              <w:spacing w:after="20"/>
            </w:pPr>
            <w:r/>
            <w:r>
              <w:rPr>
                <w:rFonts w:ascii="Arial" w:hAnsi="Arial"/>
                <w:b w:val="0"/>
                <w:sz w:val="14"/>
              </w:rPr>
              <w:t>D5 / D6</w:t>
            </w:r>
          </w:p>
        </w:tc>
        <w:tc>
          <w:tcPr>
            <w:tcW w:type="dxa" w:w="792"/>
            <w:vAlign w:val="center"/>
          </w:tcPr>
          <w:p>
            <w:pPr>
              <w:spacing w:after="20"/>
            </w:pPr>
            <w:r/>
            <w:r>
              <w:rPr>
                <w:rFonts w:ascii="Arial" w:hAnsi="Arial"/>
                <w:b w:val="0"/>
                <w:sz w:val="14"/>
              </w:rPr>
              <w:t>No</w:t>
            </w:r>
          </w:p>
        </w:tc>
        <w:tc>
          <w:tcPr>
            <w:tcW w:type="dxa" w:w="1440"/>
            <w:vAlign w:val="center"/>
          </w:tcPr>
          <w:p>
            <w:pPr>
              <w:spacing w:after="20"/>
            </w:pPr>
            <w:r/>
            <w:r>
              <w:rPr>
                <w:rFonts w:ascii="Arial" w:hAnsi="Arial"/>
                <w:b w:val="0"/>
                <w:sz w:val="14"/>
              </w:rPr>
              <w:t>E7_expuestos.txt</w:t>
            </w:r>
          </w:p>
        </w:tc>
      </w:tr>
      <w:tr>
        <w:tc>
          <w:tcPr>
            <w:tcW w:type="dxa" w:w="547"/>
            <w:vAlign w:val="center"/>
            <w:shd w:fill="F7FBFE"/>
          </w:tcPr>
          <w:p>
            <w:pPr>
              <w:spacing w:after="20"/>
            </w:pPr>
            <w:r/>
            <w:r>
              <w:rPr>
                <w:rFonts w:ascii="Arial" w:hAnsi="Arial"/>
                <w:b w:val="0"/>
                <w:sz w:val="14"/>
              </w:rPr>
              <w:t>E8</w:t>
            </w:r>
          </w:p>
        </w:tc>
        <w:tc>
          <w:tcPr>
            <w:tcW w:type="dxa" w:w="1080"/>
            <w:vAlign w:val="center"/>
            <w:shd w:fill="F7FBFE"/>
          </w:tcPr>
          <w:p>
            <w:pPr>
              <w:spacing w:after="20"/>
            </w:pPr>
            <w:r/>
            <w:r>
              <w:rPr>
                <w:rFonts w:ascii="Arial" w:hAnsi="Arial"/>
                <w:b w:val="0"/>
                <w:sz w:val="14"/>
              </w:rPr>
              <w:t>WSTG-CONF-07 / 12; WSTG-SESS-02</w:t>
            </w:r>
          </w:p>
        </w:tc>
        <w:tc>
          <w:tcPr>
            <w:tcW w:type="dxa" w:w="3240"/>
            <w:vAlign w:val="center"/>
            <w:shd w:fill="F7FBFE"/>
          </w:tcPr>
          <w:p>
            <w:pPr>
              <w:spacing w:after="20"/>
            </w:pPr>
            <w:r/>
            <w:r>
              <w:rPr>
                <w:rFonts w:ascii="Arial" w:hAnsi="Arial"/>
                <w:b w:val="0"/>
                <w:sz w:val="14"/>
              </w:rPr>
              <w:t>Se observó HTTP, cookie PHPSESSID sin atributos Secure, HttpOnly ni SameSite, y CORS *.</w:t>
            </w:r>
          </w:p>
        </w:tc>
        <w:tc>
          <w:tcPr>
            <w:tcW w:type="dxa" w:w="720"/>
            <w:vAlign w:val="center"/>
            <w:shd w:fill="F7FBFE"/>
          </w:tcPr>
          <w:p>
            <w:pPr>
              <w:spacing w:after="20"/>
            </w:pPr>
            <w:r/>
            <w:r>
              <w:rPr>
                <w:rFonts w:ascii="Arial" w:hAnsi="Arial"/>
                <w:b w:val="0"/>
                <w:sz w:val="14"/>
              </w:rPr>
              <w:t>D4</w:t>
            </w:r>
          </w:p>
        </w:tc>
        <w:tc>
          <w:tcPr>
            <w:tcW w:type="dxa" w:w="792"/>
            <w:vAlign w:val="center"/>
            <w:shd w:fill="F7FBFE"/>
          </w:tcPr>
          <w:p>
            <w:pPr>
              <w:spacing w:after="20"/>
            </w:pPr>
            <w:r/>
            <w:r>
              <w:rPr>
                <w:rFonts w:ascii="Arial" w:hAnsi="Arial"/>
                <w:b w:val="0"/>
                <w:sz w:val="14"/>
              </w:rPr>
              <w:t>No</w:t>
            </w:r>
          </w:p>
        </w:tc>
        <w:tc>
          <w:tcPr>
            <w:tcW w:type="dxa" w:w="1440"/>
            <w:vAlign w:val="center"/>
            <w:shd w:fill="F7FBFE"/>
          </w:tcPr>
          <w:p>
            <w:pPr>
              <w:spacing w:after="20"/>
            </w:pPr>
            <w:r/>
            <w:r>
              <w:rPr>
                <w:rFonts w:ascii="Arial" w:hAnsi="Arial"/>
                <w:b w:val="0"/>
                <w:sz w:val="14"/>
              </w:rPr>
              <w:t>E8_cabeceras.txt</w:t>
            </w:r>
          </w:p>
        </w:tc>
      </w:tr>
    </w:tbl>
    <w:p/>
    <w:p>
      <w:pPr>
        <w:ind w:firstLine="288"/>
      </w:pPr>
      <w:r>
        <w:t>El reconocimiento no sostuvo ninguna de las ocho declaraciones contrastadas del proveedor. La existencia de tres servicios frente al único activo declarado, la publicación de componentes desactualizados, las rutas sensibles reveladas y los respaldos accesibles disminuyen la confianza que la comisión puede depositar en WebSur para efectos de planificación. El hallazgo más vinculado con el incidente del 08/09/2026 es el acceso a resultados mediante un formulario basado en DNI y contraseña inicial predecible, además de la referencia a resultados por parámetro orden; ambos aspectos justifican una prueba posterior de autorización sobre la réplica aprobada.</w:t>
      </w:r>
    </w:p>
    <w:p>
      <w:pPr>
        <w:pStyle w:val="Heading1"/>
        <w:spacing w:before="200" w:after="80"/>
      </w:pPr>
      <w:r>
        <w:t>III. DENOMINACIÓN DE LA MATERIA DE CONTROL</w:t>
      </w:r>
    </w:p>
    <w:p>
      <w:pPr>
        <w:ind w:firstLine="288"/>
      </w:pPr>
      <w:r>
        <w:t>La materia de control será la seguridad de la confidencialidad, integridad y disponibilidad del canal digital de la Clínica Santa Lucía durante el periodo del 01/01/2026 al 30/09/2026. La auditoría se concentrará en los servicios que procesan o pueden exponer datos personales y datos de salud: portal, resultados de laboratorio, citas, postulaciones, entorno de pruebas y API publicada. Esta materia se prioriza porque el reconocimiento identificó tres servicios no declarados, respaldos accesibles y mecanismos de autenticación débiles, condiciones que se relacionan directamente con el incidente del 08/09/2026 de visualización de un hemograma ajeno.</w:t>
      </w:r>
    </w:p>
    <w:p>
      <w:pPr>
        <w:pStyle w:val="Heading1"/>
        <w:spacing w:before="200" w:after="80"/>
      </w:pPr>
      <w:r>
        <w:t>IV. ALCANCE</w:t>
      </w:r>
    </w:p>
    <w:p>
      <w:pPr>
        <w:pStyle w:val="Heading2"/>
        <w:spacing w:before="200" w:after="80"/>
      </w:pPr>
      <w:r>
        <w:t>IV.1 Incluye</w:t>
      </w:r>
    </w:p>
    <w:p>
      <w:pPr>
        <w:ind w:firstLine="288"/>
      </w:pPr>
      <w:r>
        <w:t>La auditoría incluirá el portal institucional en http://127.0.0.1:8080, que contiene reserva de citas para aproximadamente 3 850 citas mensuales, consulta de resultados para 12 400 pacientes con cuenta y postulaciones que recibieron 214 CV durante 2026. También incluirá el entorno de pruebas publicado en http://127.0.0.1:8081 y la API publicada en http://127.0.0.1:8088, en tanto constituyen activos expuestos identificados durante el reconocimiento.</w:t>
      </w:r>
    </w:p>
    <w:p>
      <w:pPr>
        <w:pStyle w:val="Heading2"/>
        <w:spacing w:before="200" w:after="80"/>
      </w:pPr>
      <w:r>
        <w:t>IV.2 Periodo auditado</w:t>
      </w:r>
    </w:p>
    <w:p>
      <w:pPr>
        <w:ind w:firstLine="288"/>
      </w:pPr>
      <w:r>
        <w:t>El periodo auditado comprenderá del 01/01/2026 al 30/09/2026. Este intervalo corresponde al periodo solicitado por Gerencia General e incluye el incidente comunicado el 08/09/2026, por lo que permitirá evaluar los controles que debieron proteger la información de pacientes durante el hecho reportado.</w:t>
      </w:r>
    </w:p>
    <w:p>
      <w:pPr>
        <w:pStyle w:val="Heading2"/>
        <w:spacing w:before="200" w:after="80"/>
      </w:pPr>
      <w:r>
        <w:t>IV.3 Exclusiones</w:t>
      </w:r>
    </w:p>
    <w:p>
      <w:pPr>
        <w:ind w:firstLine="288"/>
      </w:pPr>
      <w:r>
        <w:t>Se excluirán las redes internas, equipos de usuarios, sistemas clínicos no expuestos, infraestructura del proveedor no publicada y la información de pacientes distinta de la estrictamente necesaria en la réplica autorizada. También se excluirán pruebas de denegación de servicio, fuerza bruta, fuzzing y explotación destructiva, porque no fueron autorizadas y podrían alterar la disponibilidad o confidencialidad de los activos.</w:t>
      </w:r>
    </w:p>
    <w:p>
      <w:pPr>
        <w:pStyle w:val="Heading2"/>
        <w:spacing w:before="200" w:after="80"/>
      </w:pPr>
      <w:r>
        <w:t>IV.4 Limitaciones inherentes</w:t>
      </w:r>
    </w:p>
    <w:p>
      <w:pPr>
        <w:ind w:firstLine="288"/>
      </w:pPr>
      <w:r>
        <w:t>La auditoría proporcionará seguridad razonable y no absoluta. La comisión no podrá demostrar la ausencia total de vulnerabilidades ni evaluar controles que no estén disponibles en la réplica autorizada. Los resultados dependerán de la integridad de los registros, la configuración proporcionada por la Clínica y WebSur, y del acceso que se autorice para ejecutar los procedimientos de la Unidad III.</w:t>
      </w:r>
    </w:p>
    <w:p>
      <w:pPr>
        <w:pStyle w:val="Heading1"/>
        <w:spacing w:before="200" w:after="80"/>
      </w:pPr>
      <w:r>
        <w:t>V. OBJETIVOS</w:t>
      </w:r>
    </w:p>
    <w:p>
      <w:pPr>
        <w:ind w:firstLine="288"/>
      </w:pPr>
      <w:r>
        <w:t>Objetivo general. Determinar si los controles de seguridad del canal digital de la Clínica Santa Lucía protegen los datos personales y de salud durante el periodo auditado, conforme a OWASP WSTG 4.2, OWASP ASVS 4.0.3 y NTP-ISO/IEC 27001:2022.</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648"/>
            <w:vAlign w:val="center"/>
            <w:shd w:fill="D9EAF7"/>
          </w:tcPr>
          <w:p>
            <w:pPr>
              <w:spacing w:after="20"/>
            </w:pPr>
            <w:r/>
            <w:r>
              <w:rPr>
                <w:rFonts w:ascii="Arial" w:hAnsi="Arial"/>
                <w:b/>
                <w:sz w:val="16"/>
              </w:rPr>
              <w:t>N.º</w:t>
            </w:r>
          </w:p>
        </w:tc>
        <w:tc>
          <w:tcPr>
            <w:tcW w:type="dxa" w:w="4968"/>
            <w:vAlign w:val="center"/>
            <w:shd w:fill="D9EAF7"/>
          </w:tcPr>
          <w:p>
            <w:pPr>
              <w:spacing w:after="20"/>
            </w:pPr>
            <w:r/>
            <w:r>
              <w:rPr>
                <w:rFonts w:ascii="Arial" w:hAnsi="Arial"/>
                <w:b/>
                <w:sz w:val="16"/>
              </w:rPr>
              <w:t>Objetivo específico</w:t>
            </w:r>
          </w:p>
        </w:tc>
        <w:tc>
          <w:tcPr>
            <w:tcW w:type="dxa" w:w="4536"/>
            <w:vAlign w:val="center"/>
            <w:shd w:fill="D9EAF7"/>
          </w:tcPr>
          <w:p>
            <w:pPr>
              <w:spacing w:after="20"/>
            </w:pPr>
            <w:r/>
            <w:r>
              <w:rPr>
                <w:rFonts w:ascii="Arial" w:hAnsi="Arial"/>
                <w:b/>
                <w:sz w:val="16"/>
              </w:rPr>
              <w:t>Pregunta de auditoría</w:t>
            </w:r>
          </w:p>
        </w:tc>
      </w:tr>
      <w:tr>
        <w:tc>
          <w:tcPr>
            <w:tcW w:type="dxa" w:w="648"/>
            <w:vAlign w:val="center"/>
          </w:tcPr>
          <w:p>
            <w:pPr>
              <w:spacing w:after="20"/>
            </w:pPr>
            <w:r/>
            <w:r>
              <w:rPr>
                <w:rFonts w:ascii="Arial" w:hAnsi="Arial"/>
                <w:b w:val="0"/>
                <w:sz w:val="16"/>
              </w:rPr>
              <w:t>OE1</w:t>
            </w:r>
          </w:p>
        </w:tc>
        <w:tc>
          <w:tcPr>
            <w:tcW w:type="dxa" w:w="4968"/>
            <w:vAlign w:val="center"/>
          </w:tcPr>
          <w:p>
            <w:pPr>
              <w:spacing w:after="20"/>
            </w:pPr>
            <w:r/>
            <w:r>
              <w:rPr>
                <w:rFonts w:ascii="Arial" w:hAnsi="Arial"/>
                <w:b w:val="0"/>
                <w:sz w:val="16"/>
              </w:rPr>
              <w:t>Evaluar la exposición de activos, información técnica y respaldos frente a WSTG-INFO y WSTG-CONF, ASVS V14 y NTP-ISO/IEC 27001:2022 A.8.8.</w:t>
            </w:r>
          </w:p>
        </w:tc>
        <w:tc>
          <w:tcPr>
            <w:tcW w:type="dxa" w:w="4536"/>
            <w:vAlign w:val="center"/>
          </w:tcPr>
          <w:p>
            <w:pPr>
              <w:spacing w:after="20"/>
            </w:pPr>
            <w:r/>
            <w:r>
              <w:rPr>
                <w:rFonts w:ascii="Arial" w:hAnsi="Arial"/>
                <w:b w:val="0"/>
                <w:sz w:val="16"/>
              </w:rPr>
              <w:t>¿Los activos, rutas sensibles, componentes y respaldos del canal digital están identificados, restringidos y protegidos?</w:t>
            </w:r>
          </w:p>
        </w:tc>
      </w:tr>
      <w:tr>
        <w:tc>
          <w:tcPr>
            <w:tcW w:type="dxa" w:w="648"/>
            <w:vAlign w:val="center"/>
            <w:shd w:fill="F7FBFE"/>
          </w:tcPr>
          <w:p>
            <w:pPr>
              <w:spacing w:after="20"/>
            </w:pPr>
            <w:r/>
            <w:r>
              <w:rPr>
                <w:rFonts w:ascii="Arial" w:hAnsi="Arial"/>
                <w:b w:val="0"/>
                <w:sz w:val="16"/>
              </w:rPr>
              <w:t>OE2</w:t>
            </w:r>
          </w:p>
        </w:tc>
        <w:tc>
          <w:tcPr>
            <w:tcW w:type="dxa" w:w="4968"/>
            <w:vAlign w:val="center"/>
            <w:shd w:fill="F7FBFE"/>
          </w:tcPr>
          <w:p>
            <w:pPr>
              <w:spacing w:after="20"/>
            </w:pPr>
            <w:r/>
            <w:r>
              <w:rPr>
                <w:rFonts w:ascii="Arial" w:hAnsi="Arial"/>
                <w:b w:val="0"/>
                <w:sz w:val="16"/>
              </w:rPr>
              <w:t>Verificar los controles de autenticación, sesión y autorización de resultados de laboratorio conforme a WSTG-ATHZ, WSTG-SESS, ASVS V2, V3 y V4 y NTP-ISO/IEC 27001:2022 A.5.15.</w:t>
            </w:r>
          </w:p>
        </w:tc>
        <w:tc>
          <w:tcPr>
            <w:tcW w:type="dxa" w:w="4536"/>
            <w:vAlign w:val="center"/>
            <w:shd w:fill="F7FBFE"/>
          </w:tcPr>
          <w:p>
            <w:pPr>
              <w:spacing w:after="20"/>
            </w:pPr>
            <w:r/>
            <w:r>
              <w:rPr>
                <w:rFonts w:ascii="Arial" w:hAnsi="Arial"/>
                <w:b w:val="0"/>
                <w:sz w:val="16"/>
              </w:rPr>
              <w:t>¿Un paciente puede acceder únicamente a sus propios resultados de laboratorio, evitando la repetición del incidente del 08/09/2026?</w:t>
            </w:r>
          </w:p>
        </w:tc>
      </w:tr>
      <w:tr>
        <w:tc>
          <w:tcPr>
            <w:tcW w:type="dxa" w:w="648"/>
            <w:vAlign w:val="center"/>
          </w:tcPr>
          <w:p>
            <w:pPr>
              <w:spacing w:after="20"/>
            </w:pPr>
            <w:r/>
            <w:r>
              <w:rPr>
                <w:rFonts w:ascii="Arial" w:hAnsi="Arial"/>
                <w:b w:val="0"/>
                <w:sz w:val="16"/>
              </w:rPr>
              <w:t>OE3</w:t>
            </w:r>
          </w:p>
        </w:tc>
        <w:tc>
          <w:tcPr>
            <w:tcW w:type="dxa" w:w="4968"/>
            <w:vAlign w:val="center"/>
          </w:tcPr>
          <w:p>
            <w:pPr>
              <w:spacing w:after="20"/>
            </w:pPr>
            <w:r/>
            <w:r>
              <w:rPr>
                <w:rFonts w:ascii="Arial" w:hAnsi="Arial"/>
                <w:b w:val="0"/>
                <w:sz w:val="16"/>
              </w:rPr>
              <w:t>Evaluar la protección de datos recibidos por citas y postulaciones conforme a WSTG-INPV, ASVS V5 y V13 y NTP-ISO/IEC 27001:2022 A.8.24.</w:t>
            </w:r>
          </w:p>
        </w:tc>
        <w:tc>
          <w:tcPr>
            <w:tcW w:type="dxa" w:w="4536"/>
            <w:vAlign w:val="center"/>
          </w:tcPr>
          <w:p>
            <w:pPr>
              <w:spacing w:after="20"/>
            </w:pPr>
            <w:r/>
            <w:r>
              <w:rPr>
                <w:rFonts w:ascii="Arial" w:hAnsi="Arial"/>
                <w:b w:val="0"/>
                <w:sz w:val="16"/>
              </w:rPr>
              <w:t>¿Los formularios y comunicaciones del canal digital protegen adecuadamente los datos personales y de salud que recopilan?</w:t>
            </w:r>
          </w:p>
        </w:tc>
      </w:tr>
    </w:tbl>
    <w:p/>
    <w:p>
      <w:pPr>
        <w:pStyle w:val="Heading1"/>
        <w:spacing w:before="200" w:after="80"/>
      </w:pPr>
      <w:r>
        <w:t>VI. ENFOQUE, MATERIALIDAD Y RIESGO DE AUDITORÍA</w:t>
      </w:r>
    </w:p>
    <w:p>
      <w:pPr>
        <w:pStyle w:val="Heading2"/>
        <w:spacing w:before="200" w:after="80"/>
      </w:pPr>
      <w:r>
        <w:t>VI.1 Enfoque</w:t>
      </w:r>
    </w:p>
    <w:p>
      <w:pPr>
        <w:ind w:firstLine="288"/>
      </w:pPr>
      <w:r>
        <w:t>La comisión aplicará un enfoque sustantivo reforzado por evaluación de diseño de controles. El reconocimiento mostró que los controles declarados no coinciden con la exposición observada: existen tres servicios, respaldos visibles, HTTP, una cookie sin atributos de seguridad y componentes desactualizados. Debido a que un control inexistente o no evidenciado no admite prueba de eficacia operativa, la comisión obtendrá evidencia directa mediante revisión de configuración, muestras autorizadas y pruebas controladas en la Unidad III.</w:t>
      </w:r>
    </w:p>
    <w:p>
      <w:pPr>
        <w:pStyle w:val="Heading2"/>
        <w:spacing w:before="200" w:after="80"/>
      </w:pPr>
      <w:r>
        <w:t>VI.2 Materialidad</w:t>
      </w:r>
    </w:p>
    <w:p>
      <w:pPr>
        <w:ind w:firstLine="288"/>
      </w:pPr>
      <w:r>
        <w:t>La materialidad cuantitativa se establecerá tomando como referencia los ingresos 2025 de S/ 18 600 000 y el volumen operativo de 3 850 citas mensuales, 12 400 pacientes con cuenta y 214 postulaciones. La materialidad cualitativa será alta: cualquier acceso no autorizado, divulgación, pérdida o alteración de datos de salud será material sin considerar su monto, por afectar datos sensibles protegidos por la Ley 29733 y por comprometer la atención y confianza de los pacientes.</w:t>
      </w:r>
    </w:p>
    <w:p>
      <w:pPr>
        <w:pStyle w:val="Heading2"/>
        <w:spacing w:before="200" w:after="80"/>
      </w:pPr>
      <w:r>
        <w:t>VI.3 Riesgo de auditoría</w:t>
      </w:r>
    </w:p>
    <w:p>
      <w:pPr>
        <w:ind w:firstLine="288"/>
      </w:pPr>
      <w:r>
        <w:t>El riesgo inherente se califica como alto porque se procesan datos de salud y se reportó un incidente de exposición. El riesgo de control también es alto debido a respaldos publicados, autenticación predecible, comunicaciones sin HTTPS y diferencias entre las declaraciones y la realidad observada. El riesgo de detección se califica como medio, ya que la auditoría estará limitada a una réplica y a procedimientos autorizados; se mitigará con seis procedimientos trazables, evidencia documental y revisión de muestras.</w:t>
      </w:r>
    </w:p>
    <w:p>
      <w:pPr>
        <w:pStyle w:val="Heading1"/>
        <w:spacing w:before="200" w:after="80"/>
      </w:pPr>
      <w:r>
        <w:t>VII. PROCEDIMIENTOS DE AUDITORÍA</w:t>
      </w:r>
    </w:p>
    <w:p>
      <w:pPr>
        <w:ind w:firstLine="288"/>
      </w:pPr>
      <w:r>
        <w:t>El programa contiene seis procedimientos que cubren los tres objetivos específicos. La comisión los ejecutará en la Unidad III sobre la réplica autorizada, documentará cada excepción y preservará la evidencia obtenida de forma íntegra.</w:t>
      </w:r>
    </w:p>
    <w:p>
      <w:pPr>
        <w:pStyle w:val="Heading2"/>
        <w:spacing w:before="200" w:after="80"/>
      </w:pPr>
      <w:r>
        <w:t>P-01 Inventario y exposición de activos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2376"/>
            <w:vAlign w:val="center"/>
            <w:shd w:fill="D9EAF7"/>
          </w:tcPr>
          <w:p>
            <w:pPr>
              <w:spacing w:after="20"/>
            </w:pPr>
            <w:r/>
            <w:r>
              <w:rPr>
                <w:rFonts w:ascii="Arial" w:hAnsi="Arial"/>
                <w:b/>
                <w:sz w:val="16"/>
              </w:rPr>
              <w:t>Campo</w:t>
            </w:r>
          </w:p>
        </w:tc>
        <w:tc>
          <w:tcPr>
            <w:tcW w:type="dxa" w:w="8568"/>
            <w:vAlign w:val="center"/>
            <w:shd w:fill="D9EAF7"/>
          </w:tcPr>
          <w:p>
            <w:pPr>
              <w:spacing w:after="20"/>
            </w:pPr>
            <w:r/>
            <w:r>
              <w:rPr>
                <w:rFonts w:ascii="Arial" w:hAnsi="Arial"/>
                <w:b/>
                <w:sz w:val="16"/>
              </w:rPr>
              <w:t>Contenido</w:t>
            </w:r>
          </w:p>
        </w:tc>
      </w:tr>
      <w:tr>
        <w:tc>
          <w:tcPr>
            <w:tcW w:type="dxa" w:w="2376"/>
            <w:vAlign w:val="center"/>
          </w:tcPr>
          <w:p>
            <w:pPr>
              <w:spacing w:after="20"/>
            </w:pPr>
            <w:r/>
            <w:r>
              <w:rPr>
                <w:rFonts w:ascii="Arial" w:hAnsi="Arial"/>
                <w:b w:val="0"/>
                <w:sz w:val="16"/>
              </w:rPr>
              <w:t>Objetivo específico</w:t>
            </w:r>
          </w:p>
        </w:tc>
        <w:tc>
          <w:tcPr>
            <w:tcW w:type="dxa" w:w="8568"/>
            <w:vAlign w:val="center"/>
          </w:tcPr>
          <w:p>
            <w:pPr>
              <w:spacing w:after="20"/>
            </w:pPr>
            <w:r/>
            <w:r>
              <w:rPr>
                <w:rFonts w:ascii="Arial" w:hAnsi="Arial"/>
                <w:b w:val="0"/>
                <w:sz w:val="16"/>
              </w:rPr>
              <w:t>OE1</w:t>
            </w:r>
          </w:p>
        </w:tc>
      </w:tr>
      <w:tr>
        <w:tc>
          <w:tcPr>
            <w:tcW w:type="dxa" w:w="2376"/>
            <w:vAlign w:val="center"/>
            <w:shd w:fill="F7FBFE"/>
          </w:tcPr>
          <w:p>
            <w:pPr>
              <w:spacing w:after="20"/>
            </w:pPr>
            <w:r/>
            <w:r>
              <w:rPr>
                <w:rFonts w:ascii="Arial" w:hAnsi="Arial"/>
                <w:b w:val="0"/>
                <w:sz w:val="16"/>
              </w:rPr>
              <w:t>Origen en el reconocimiento</w:t>
            </w:r>
          </w:p>
        </w:tc>
        <w:tc>
          <w:tcPr>
            <w:tcW w:type="dxa" w:w="8568"/>
            <w:vAlign w:val="center"/>
            <w:shd w:fill="F7FBFE"/>
          </w:tcPr>
          <w:p>
            <w:pPr>
              <w:spacing w:after="20"/>
            </w:pPr>
            <w:r/>
            <w:r>
              <w:rPr>
                <w:rFonts w:ascii="Arial" w:hAnsi="Arial"/>
                <w:b w:val="0"/>
                <w:sz w:val="16"/>
              </w:rPr>
              <w:t>E1 y E3: tres servicios publicados y rutas reveladas.</w:t>
            </w:r>
          </w:p>
        </w:tc>
      </w:tr>
      <w:tr>
        <w:tc>
          <w:tcPr>
            <w:tcW w:type="dxa" w:w="2376"/>
            <w:vAlign w:val="center"/>
          </w:tcPr>
          <w:p>
            <w:pPr>
              <w:spacing w:after="20"/>
            </w:pPr>
            <w:r/>
            <w:r>
              <w:rPr>
                <w:rFonts w:ascii="Arial" w:hAnsi="Arial"/>
                <w:b w:val="0"/>
                <w:sz w:val="16"/>
              </w:rPr>
              <w:t>Riesgo que cubre</w:t>
            </w:r>
          </w:p>
        </w:tc>
        <w:tc>
          <w:tcPr>
            <w:tcW w:type="dxa" w:w="8568"/>
            <w:vAlign w:val="center"/>
          </w:tcPr>
          <w:p>
            <w:pPr>
              <w:spacing w:after="20"/>
            </w:pPr>
            <w:r/>
            <w:r>
              <w:rPr>
                <w:rFonts w:ascii="Arial" w:hAnsi="Arial"/>
                <w:b w:val="0"/>
                <w:sz w:val="16"/>
              </w:rPr>
              <w:t>Activos no autorizados o no inventariados expuestos a Internet.</w:t>
            </w:r>
          </w:p>
        </w:tc>
      </w:tr>
      <w:tr>
        <w:tc>
          <w:tcPr>
            <w:tcW w:type="dxa" w:w="2376"/>
            <w:vAlign w:val="center"/>
            <w:shd w:fill="F7FBFE"/>
          </w:tcPr>
          <w:p>
            <w:pPr>
              <w:spacing w:after="20"/>
            </w:pPr>
            <w:r/>
            <w:r>
              <w:rPr>
                <w:rFonts w:ascii="Arial" w:hAnsi="Arial"/>
                <w:b w:val="0"/>
                <w:sz w:val="16"/>
              </w:rPr>
              <w:t>Criterio</w:t>
            </w:r>
          </w:p>
        </w:tc>
        <w:tc>
          <w:tcPr>
            <w:tcW w:type="dxa" w:w="8568"/>
            <w:vAlign w:val="center"/>
            <w:shd w:fill="F7FBFE"/>
          </w:tcPr>
          <w:p>
            <w:pPr>
              <w:spacing w:after="20"/>
            </w:pPr>
            <w:r/>
            <w:r>
              <w:rPr>
                <w:rFonts w:ascii="Arial" w:hAnsi="Arial"/>
                <w:b w:val="0"/>
                <w:sz w:val="16"/>
              </w:rPr>
              <w:t>WSTG-INFO-04, WSTG-INFO-03; ASVS V14; NTP-ISO/IEC 27001:2022 A.5.9.</w:t>
            </w:r>
          </w:p>
        </w:tc>
      </w:tr>
      <w:tr>
        <w:tc>
          <w:tcPr>
            <w:tcW w:type="dxa" w:w="2376"/>
            <w:vAlign w:val="center"/>
          </w:tcPr>
          <w:p>
            <w:pPr>
              <w:spacing w:after="20"/>
            </w:pPr>
            <w:r/>
            <w:r>
              <w:rPr>
                <w:rFonts w:ascii="Arial" w:hAnsi="Arial"/>
                <w:b w:val="0"/>
                <w:sz w:val="16"/>
              </w:rPr>
              <w:t>Tipo de prueba</w:t>
            </w:r>
          </w:p>
        </w:tc>
        <w:tc>
          <w:tcPr>
            <w:tcW w:type="dxa" w:w="8568"/>
            <w:vAlign w:val="center"/>
          </w:tcPr>
          <w:p>
            <w:pPr>
              <w:spacing w:after="20"/>
            </w:pPr>
            <w:r/>
            <w:r>
              <w:rPr>
                <w:rFonts w:ascii="Arial" w:hAnsi="Arial"/>
                <w:b w:val="0"/>
                <w:sz w:val="16"/>
              </w:rPr>
              <w:t>Inspección y revisión de configuración.</w:t>
            </w:r>
          </w:p>
        </w:tc>
      </w:tr>
      <w:tr>
        <w:tc>
          <w:tcPr>
            <w:tcW w:type="dxa" w:w="2376"/>
            <w:vAlign w:val="center"/>
            <w:shd w:fill="F7FBFE"/>
          </w:tcPr>
          <w:p>
            <w:pPr>
              <w:spacing w:after="20"/>
            </w:pPr>
            <w:r/>
            <w:r>
              <w:rPr>
                <w:rFonts w:ascii="Arial" w:hAnsi="Arial"/>
                <w:b w:val="0"/>
                <w:sz w:val="16"/>
              </w:rPr>
              <w:t>Población y muestra</w:t>
            </w:r>
          </w:p>
        </w:tc>
        <w:tc>
          <w:tcPr>
            <w:tcW w:type="dxa" w:w="8568"/>
            <w:vAlign w:val="center"/>
            <w:shd w:fill="F7FBFE"/>
          </w:tcPr>
          <w:p>
            <w:pPr>
              <w:spacing w:after="20"/>
            </w:pPr>
            <w:r/>
            <w:r>
              <w:rPr>
                <w:rFonts w:ascii="Arial" w:hAnsi="Arial"/>
                <w:b w:val="0"/>
                <w:sz w:val="16"/>
              </w:rPr>
              <w:t>Los tres servicios portal, pruebas y API; muestra: 100% de servicios y rutas divulgadas.</w:t>
            </w:r>
          </w:p>
        </w:tc>
      </w:tr>
      <w:tr>
        <w:tc>
          <w:tcPr>
            <w:tcW w:type="dxa" w:w="2376"/>
            <w:vAlign w:val="center"/>
          </w:tcPr>
          <w:p>
            <w:pPr>
              <w:spacing w:after="20"/>
            </w:pPr>
            <w:r/>
            <w:r>
              <w:rPr>
                <w:rFonts w:ascii="Arial" w:hAnsi="Arial"/>
                <w:b w:val="0"/>
                <w:sz w:val="16"/>
              </w:rPr>
              <w:t>Procedimiento</w:t>
            </w:r>
          </w:p>
        </w:tc>
        <w:tc>
          <w:tcPr>
            <w:tcW w:type="dxa" w:w="8568"/>
            <w:vAlign w:val="center"/>
          </w:tcPr>
          <w:p>
            <w:pPr>
              <w:spacing w:after="20"/>
            </w:pPr>
            <w:r/>
            <w:r>
              <w:rPr>
                <w:rFonts w:ascii="Arial" w:hAnsi="Arial"/>
                <w:b w:val="0"/>
                <w:sz w:val="16"/>
              </w:rPr>
              <w:t>Obtenga el inventario aprobado de activos. Compare el inventario con portal, pruebas y API. Verifique propietario, finalidad, exposición y aprobación de cada activo. Registre toda diferencia.</w:t>
            </w:r>
          </w:p>
        </w:tc>
      </w:tr>
      <w:tr>
        <w:tc>
          <w:tcPr>
            <w:tcW w:type="dxa" w:w="2376"/>
            <w:vAlign w:val="center"/>
            <w:shd w:fill="F7FBFE"/>
          </w:tcPr>
          <w:p>
            <w:pPr>
              <w:spacing w:after="20"/>
            </w:pPr>
            <w:r/>
            <w:r>
              <w:rPr>
                <w:rFonts w:ascii="Arial" w:hAnsi="Arial"/>
                <w:b w:val="0"/>
                <w:sz w:val="16"/>
              </w:rPr>
              <w:t>Evidencia a obtener</w:t>
            </w:r>
          </w:p>
        </w:tc>
        <w:tc>
          <w:tcPr>
            <w:tcW w:type="dxa" w:w="8568"/>
            <w:vAlign w:val="center"/>
            <w:shd w:fill="F7FBFE"/>
          </w:tcPr>
          <w:p>
            <w:pPr>
              <w:spacing w:after="20"/>
            </w:pPr>
            <w:r/>
            <w:r>
              <w:rPr>
                <w:rFonts w:ascii="Arial" w:hAnsi="Arial"/>
                <w:b w:val="0"/>
                <w:sz w:val="16"/>
              </w:rPr>
              <w:t>Inventario aprobado, capturas de configuración, matriz de conciliación y registro de excepciones.</w:t>
            </w:r>
          </w:p>
        </w:tc>
      </w:tr>
      <w:tr>
        <w:tc>
          <w:tcPr>
            <w:tcW w:type="dxa" w:w="2376"/>
            <w:vAlign w:val="center"/>
          </w:tcPr>
          <w:p>
            <w:pPr>
              <w:spacing w:after="20"/>
            </w:pPr>
            <w:r/>
            <w:r>
              <w:rPr>
                <w:rFonts w:ascii="Arial" w:hAnsi="Arial"/>
                <w:b w:val="0"/>
                <w:sz w:val="16"/>
              </w:rPr>
              <w:t>Definición de excepción</w:t>
            </w:r>
          </w:p>
        </w:tc>
        <w:tc>
          <w:tcPr>
            <w:tcW w:type="dxa" w:w="8568"/>
            <w:vAlign w:val="center"/>
          </w:tcPr>
          <w:p>
            <w:pPr>
              <w:spacing w:after="20"/>
            </w:pPr>
            <w:r/>
            <w:r>
              <w:rPr>
                <w:rFonts w:ascii="Arial" w:hAnsi="Arial"/>
                <w:b w:val="0"/>
                <w:sz w:val="16"/>
              </w:rPr>
              <w:t>Activo publicado sin inventario, propietario o autorización.</w:t>
            </w:r>
          </w:p>
        </w:tc>
      </w:tr>
      <w:tr>
        <w:tc>
          <w:tcPr>
            <w:tcW w:type="dxa" w:w="2376"/>
            <w:vAlign w:val="center"/>
            <w:shd w:fill="F7FBFE"/>
          </w:tcPr>
          <w:p>
            <w:pPr>
              <w:spacing w:after="20"/>
            </w:pPr>
            <w:r/>
            <w:r>
              <w:rPr>
                <w:rFonts w:ascii="Arial" w:hAnsi="Arial"/>
                <w:b w:val="0"/>
                <w:sz w:val="16"/>
              </w:rPr>
              <w:t>Horas estimadas</w:t>
            </w:r>
          </w:p>
        </w:tc>
        <w:tc>
          <w:tcPr>
            <w:tcW w:type="dxa" w:w="8568"/>
            <w:vAlign w:val="center"/>
            <w:shd w:fill="F7FBFE"/>
          </w:tcPr>
          <w:p>
            <w:pPr>
              <w:spacing w:after="20"/>
            </w:pPr>
            <w:r/>
            <w:r>
              <w:rPr>
                <w:rFonts w:ascii="Arial" w:hAnsi="Arial"/>
                <w:b w:val="0"/>
                <w:sz w:val="16"/>
              </w:rPr>
              <w:t>4</w:t>
            </w:r>
          </w:p>
        </w:tc>
      </w:tr>
    </w:tbl>
    <w:p/>
    <w:p>
      <w:pPr>
        <w:pStyle w:val="Heading2"/>
        <w:spacing w:before="200" w:after="80"/>
      </w:pPr>
      <w:r>
        <w:t>P-02 Gestión de componentes y divulgación técnica</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2376"/>
            <w:vAlign w:val="center"/>
            <w:shd w:fill="D9EAF7"/>
          </w:tcPr>
          <w:p>
            <w:pPr>
              <w:spacing w:after="20"/>
            </w:pPr>
            <w:r/>
            <w:r>
              <w:rPr>
                <w:rFonts w:ascii="Arial" w:hAnsi="Arial"/>
                <w:b/>
                <w:sz w:val="16"/>
              </w:rPr>
              <w:t>Campo</w:t>
            </w:r>
          </w:p>
        </w:tc>
        <w:tc>
          <w:tcPr>
            <w:tcW w:type="dxa" w:w="8568"/>
            <w:vAlign w:val="center"/>
            <w:shd w:fill="D9EAF7"/>
          </w:tcPr>
          <w:p>
            <w:pPr>
              <w:spacing w:after="20"/>
            </w:pPr>
            <w:r/>
            <w:r>
              <w:rPr>
                <w:rFonts w:ascii="Arial" w:hAnsi="Arial"/>
                <w:b/>
                <w:sz w:val="16"/>
              </w:rPr>
              <w:t>Contenido</w:t>
            </w:r>
          </w:p>
        </w:tc>
      </w:tr>
      <w:tr>
        <w:tc>
          <w:tcPr>
            <w:tcW w:type="dxa" w:w="2376"/>
            <w:vAlign w:val="center"/>
          </w:tcPr>
          <w:p>
            <w:pPr>
              <w:spacing w:after="20"/>
            </w:pPr>
            <w:r/>
            <w:r>
              <w:rPr>
                <w:rFonts w:ascii="Arial" w:hAnsi="Arial"/>
                <w:b w:val="0"/>
                <w:sz w:val="16"/>
              </w:rPr>
              <w:t>Objetivo específico</w:t>
            </w:r>
          </w:p>
        </w:tc>
        <w:tc>
          <w:tcPr>
            <w:tcW w:type="dxa" w:w="8568"/>
            <w:vAlign w:val="center"/>
          </w:tcPr>
          <w:p>
            <w:pPr>
              <w:spacing w:after="20"/>
            </w:pPr>
            <w:r/>
            <w:r>
              <w:rPr>
                <w:rFonts w:ascii="Arial" w:hAnsi="Arial"/>
                <w:b w:val="0"/>
                <w:sz w:val="16"/>
              </w:rPr>
              <w:t>OE1</w:t>
            </w:r>
          </w:p>
        </w:tc>
      </w:tr>
      <w:tr>
        <w:tc>
          <w:tcPr>
            <w:tcW w:type="dxa" w:w="2376"/>
            <w:vAlign w:val="center"/>
            <w:shd w:fill="F7FBFE"/>
          </w:tcPr>
          <w:p>
            <w:pPr>
              <w:spacing w:after="20"/>
            </w:pPr>
            <w:r/>
            <w:r>
              <w:rPr>
                <w:rFonts w:ascii="Arial" w:hAnsi="Arial"/>
                <w:b w:val="0"/>
                <w:sz w:val="16"/>
              </w:rPr>
              <w:t>Origen en el reconocimiento</w:t>
            </w:r>
          </w:p>
        </w:tc>
        <w:tc>
          <w:tcPr>
            <w:tcW w:type="dxa" w:w="8568"/>
            <w:vAlign w:val="center"/>
            <w:shd w:fill="F7FBFE"/>
          </w:tcPr>
          <w:p>
            <w:pPr>
              <w:spacing w:after="20"/>
            </w:pPr>
            <w:r/>
            <w:r>
              <w:rPr>
                <w:rFonts w:ascii="Arial" w:hAnsi="Arial"/>
                <w:b w:val="0"/>
                <w:sz w:val="16"/>
              </w:rPr>
              <w:t>E2, E4 y E5: versiones de nginx, PHP, WordPress, plugins y comentarios internos expuestos.</w:t>
            </w:r>
          </w:p>
        </w:tc>
      </w:tr>
      <w:tr>
        <w:tc>
          <w:tcPr>
            <w:tcW w:type="dxa" w:w="2376"/>
            <w:vAlign w:val="center"/>
          </w:tcPr>
          <w:p>
            <w:pPr>
              <w:spacing w:after="20"/>
            </w:pPr>
            <w:r/>
            <w:r>
              <w:rPr>
                <w:rFonts w:ascii="Arial" w:hAnsi="Arial"/>
                <w:b w:val="0"/>
                <w:sz w:val="16"/>
              </w:rPr>
              <w:t>Riesgo que cubre</w:t>
            </w:r>
          </w:p>
        </w:tc>
        <w:tc>
          <w:tcPr>
            <w:tcW w:type="dxa" w:w="8568"/>
            <w:vAlign w:val="center"/>
          </w:tcPr>
          <w:p>
            <w:pPr>
              <w:spacing w:after="20"/>
            </w:pPr>
            <w:r/>
            <w:r>
              <w:rPr>
                <w:rFonts w:ascii="Arial" w:hAnsi="Arial"/>
                <w:b w:val="0"/>
                <w:sz w:val="16"/>
              </w:rPr>
              <w:t>Explotación de componentes obsoletos y divulgación de información sensible.</w:t>
            </w:r>
          </w:p>
        </w:tc>
      </w:tr>
      <w:tr>
        <w:tc>
          <w:tcPr>
            <w:tcW w:type="dxa" w:w="2376"/>
            <w:vAlign w:val="center"/>
            <w:shd w:fill="F7FBFE"/>
          </w:tcPr>
          <w:p>
            <w:pPr>
              <w:spacing w:after="20"/>
            </w:pPr>
            <w:r/>
            <w:r>
              <w:rPr>
                <w:rFonts w:ascii="Arial" w:hAnsi="Arial"/>
                <w:b w:val="0"/>
                <w:sz w:val="16"/>
              </w:rPr>
              <w:t>Criterio</w:t>
            </w:r>
          </w:p>
        </w:tc>
        <w:tc>
          <w:tcPr>
            <w:tcW w:type="dxa" w:w="8568"/>
            <w:vAlign w:val="center"/>
            <w:shd w:fill="F7FBFE"/>
          </w:tcPr>
          <w:p>
            <w:pPr>
              <w:spacing w:after="20"/>
            </w:pPr>
            <w:r/>
            <w:r>
              <w:rPr>
                <w:rFonts w:ascii="Arial" w:hAnsi="Arial"/>
                <w:b w:val="0"/>
                <w:sz w:val="16"/>
              </w:rPr>
              <w:t>WSTG-INFO-02, WSTG-INFO-05, WSTG-INFO-08; ASVS V14.1; NTP-ISO/IEC 27001:2022 A.8.8.</w:t>
            </w:r>
          </w:p>
        </w:tc>
      </w:tr>
      <w:tr>
        <w:tc>
          <w:tcPr>
            <w:tcW w:type="dxa" w:w="2376"/>
            <w:vAlign w:val="center"/>
          </w:tcPr>
          <w:p>
            <w:pPr>
              <w:spacing w:after="20"/>
            </w:pPr>
            <w:r/>
            <w:r>
              <w:rPr>
                <w:rFonts w:ascii="Arial" w:hAnsi="Arial"/>
                <w:b w:val="0"/>
                <w:sz w:val="16"/>
              </w:rPr>
              <w:t>Tipo de prueba</w:t>
            </w:r>
          </w:p>
        </w:tc>
        <w:tc>
          <w:tcPr>
            <w:tcW w:type="dxa" w:w="8568"/>
            <w:vAlign w:val="center"/>
          </w:tcPr>
          <w:p>
            <w:pPr>
              <w:spacing w:after="20"/>
            </w:pPr>
            <w:r/>
            <w:r>
              <w:rPr>
                <w:rFonts w:ascii="Arial" w:hAnsi="Arial"/>
                <w:b w:val="0"/>
                <w:sz w:val="16"/>
              </w:rPr>
              <w:t>Inspección de configuración y revisión documental.</w:t>
            </w:r>
          </w:p>
        </w:tc>
      </w:tr>
      <w:tr>
        <w:tc>
          <w:tcPr>
            <w:tcW w:type="dxa" w:w="2376"/>
            <w:vAlign w:val="center"/>
            <w:shd w:fill="F7FBFE"/>
          </w:tcPr>
          <w:p>
            <w:pPr>
              <w:spacing w:after="20"/>
            </w:pPr>
            <w:r/>
            <w:r>
              <w:rPr>
                <w:rFonts w:ascii="Arial" w:hAnsi="Arial"/>
                <w:b w:val="0"/>
                <w:sz w:val="16"/>
              </w:rPr>
              <w:t>Población y muestra</w:t>
            </w:r>
          </w:p>
        </w:tc>
        <w:tc>
          <w:tcPr>
            <w:tcW w:type="dxa" w:w="8568"/>
            <w:vAlign w:val="center"/>
            <w:shd w:fill="F7FBFE"/>
          </w:tcPr>
          <w:p>
            <w:pPr>
              <w:spacing w:after="20"/>
            </w:pPr>
            <w:r/>
            <w:r>
              <w:rPr>
                <w:rFonts w:ascii="Arial" w:hAnsi="Arial"/>
                <w:b w:val="0"/>
                <w:sz w:val="16"/>
              </w:rPr>
              <w:t>100% de componentes identificados en E2, E4 y E5.</w:t>
            </w:r>
          </w:p>
        </w:tc>
      </w:tr>
      <w:tr>
        <w:tc>
          <w:tcPr>
            <w:tcW w:type="dxa" w:w="2376"/>
            <w:vAlign w:val="center"/>
          </w:tcPr>
          <w:p>
            <w:pPr>
              <w:spacing w:after="20"/>
            </w:pPr>
            <w:r/>
            <w:r>
              <w:rPr>
                <w:rFonts w:ascii="Arial" w:hAnsi="Arial"/>
                <w:b w:val="0"/>
                <w:sz w:val="16"/>
              </w:rPr>
              <w:t>Procedimiento</w:t>
            </w:r>
          </w:p>
        </w:tc>
        <w:tc>
          <w:tcPr>
            <w:tcW w:type="dxa" w:w="8568"/>
            <w:vAlign w:val="center"/>
          </w:tcPr>
          <w:p>
            <w:pPr>
              <w:spacing w:after="20"/>
            </w:pPr>
            <w:r/>
            <w:r>
              <w:rPr>
                <w:rFonts w:ascii="Arial" w:hAnsi="Arial"/>
                <w:b w:val="0"/>
                <w:sz w:val="16"/>
              </w:rPr>
              <w:t>Revise la lista de componentes, versiones y fechas de actualización. Compare con el procedimiento de gestión de vulnerabilidades. Verifique que comentarios, cabeceras y metadatos no revelen información interna. Clasifique las versiones sin soporte.</w:t>
            </w:r>
          </w:p>
        </w:tc>
      </w:tr>
      <w:tr>
        <w:tc>
          <w:tcPr>
            <w:tcW w:type="dxa" w:w="2376"/>
            <w:vAlign w:val="center"/>
            <w:shd w:fill="F7FBFE"/>
          </w:tcPr>
          <w:p>
            <w:pPr>
              <w:spacing w:after="20"/>
            </w:pPr>
            <w:r/>
            <w:r>
              <w:rPr>
                <w:rFonts w:ascii="Arial" w:hAnsi="Arial"/>
                <w:b w:val="0"/>
                <w:sz w:val="16"/>
              </w:rPr>
              <w:t>Evidencia a obtener</w:t>
            </w:r>
          </w:p>
        </w:tc>
        <w:tc>
          <w:tcPr>
            <w:tcW w:type="dxa" w:w="8568"/>
            <w:vAlign w:val="center"/>
            <w:shd w:fill="F7FBFE"/>
          </w:tcPr>
          <w:p>
            <w:pPr>
              <w:spacing w:after="20"/>
            </w:pPr>
            <w:r/>
            <w:r>
              <w:rPr>
                <w:rFonts w:ascii="Arial" w:hAnsi="Arial"/>
                <w:b w:val="0"/>
                <w:sz w:val="16"/>
              </w:rPr>
              <w:t>Inventario de software, bitácoras de actualización, HTML y cabeceras capturadas.</w:t>
            </w:r>
          </w:p>
        </w:tc>
      </w:tr>
      <w:tr>
        <w:tc>
          <w:tcPr>
            <w:tcW w:type="dxa" w:w="2376"/>
            <w:vAlign w:val="center"/>
          </w:tcPr>
          <w:p>
            <w:pPr>
              <w:spacing w:after="20"/>
            </w:pPr>
            <w:r/>
            <w:r>
              <w:rPr>
                <w:rFonts w:ascii="Arial" w:hAnsi="Arial"/>
                <w:b w:val="0"/>
                <w:sz w:val="16"/>
              </w:rPr>
              <w:t>Definición de excepción</w:t>
            </w:r>
          </w:p>
        </w:tc>
        <w:tc>
          <w:tcPr>
            <w:tcW w:type="dxa" w:w="8568"/>
            <w:vAlign w:val="center"/>
          </w:tcPr>
          <w:p>
            <w:pPr>
              <w:spacing w:after="20"/>
            </w:pPr>
            <w:r/>
            <w:r>
              <w:rPr>
                <w:rFonts w:ascii="Arial" w:hAnsi="Arial"/>
                <w:b w:val="0"/>
                <w:sz w:val="16"/>
              </w:rPr>
              <w:t>Componente sin inventario, sin actualización o información interna divulgada.</w:t>
            </w:r>
          </w:p>
        </w:tc>
      </w:tr>
      <w:tr>
        <w:tc>
          <w:tcPr>
            <w:tcW w:type="dxa" w:w="2376"/>
            <w:vAlign w:val="center"/>
            <w:shd w:fill="F7FBFE"/>
          </w:tcPr>
          <w:p>
            <w:pPr>
              <w:spacing w:after="20"/>
            </w:pPr>
            <w:r/>
            <w:r>
              <w:rPr>
                <w:rFonts w:ascii="Arial" w:hAnsi="Arial"/>
                <w:b w:val="0"/>
                <w:sz w:val="16"/>
              </w:rPr>
              <w:t>Horas estimadas</w:t>
            </w:r>
          </w:p>
        </w:tc>
        <w:tc>
          <w:tcPr>
            <w:tcW w:type="dxa" w:w="8568"/>
            <w:vAlign w:val="center"/>
            <w:shd w:fill="F7FBFE"/>
          </w:tcPr>
          <w:p>
            <w:pPr>
              <w:spacing w:after="20"/>
            </w:pPr>
            <w:r/>
            <w:r>
              <w:rPr>
                <w:rFonts w:ascii="Arial" w:hAnsi="Arial"/>
                <w:b w:val="0"/>
                <w:sz w:val="16"/>
              </w:rPr>
              <w:t>5</w:t>
            </w:r>
          </w:p>
        </w:tc>
      </w:tr>
    </w:tbl>
    <w:p/>
    <w:p>
      <w:pPr>
        <w:pStyle w:val="Heading2"/>
        <w:spacing w:before="200" w:after="80"/>
      </w:pPr>
      <w:r>
        <w:t>P-03 Restricción de administración y respaldos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2376"/>
            <w:vAlign w:val="center"/>
            <w:shd w:fill="D9EAF7"/>
          </w:tcPr>
          <w:p>
            <w:pPr>
              <w:spacing w:after="20"/>
            </w:pPr>
            <w:r/>
            <w:r>
              <w:rPr>
                <w:rFonts w:ascii="Arial" w:hAnsi="Arial"/>
                <w:b/>
                <w:sz w:val="16"/>
              </w:rPr>
              <w:t>Campo</w:t>
            </w:r>
          </w:p>
        </w:tc>
        <w:tc>
          <w:tcPr>
            <w:tcW w:type="dxa" w:w="8568"/>
            <w:vAlign w:val="center"/>
            <w:shd w:fill="D9EAF7"/>
          </w:tcPr>
          <w:p>
            <w:pPr>
              <w:spacing w:after="20"/>
            </w:pPr>
            <w:r/>
            <w:r>
              <w:rPr>
                <w:rFonts w:ascii="Arial" w:hAnsi="Arial"/>
                <w:b/>
                <w:sz w:val="16"/>
              </w:rPr>
              <w:t>Contenido</w:t>
            </w:r>
          </w:p>
        </w:tc>
      </w:tr>
      <w:tr>
        <w:tc>
          <w:tcPr>
            <w:tcW w:type="dxa" w:w="2376"/>
            <w:vAlign w:val="center"/>
          </w:tcPr>
          <w:p>
            <w:pPr>
              <w:spacing w:after="20"/>
            </w:pPr>
            <w:r/>
            <w:r>
              <w:rPr>
                <w:rFonts w:ascii="Arial" w:hAnsi="Arial"/>
                <w:b w:val="0"/>
                <w:sz w:val="16"/>
              </w:rPr>
              <w:t>Objetivo específico</w:t>
            </w:r>
          </w:p>
        </w:tc>
        <w:tc>
          <w:tcPr>
            <w:tcW w:type="dxa" w:w="8568"/>
            <w:vAlign w:val="center"/>
          </w:tcPr>
          <w:p>
            <w:pPr>
              <w:spacing w:after="20"/>
            </w:pPr>
            <w:r/>
            <w:r>
              <w:rPr>
                <w:rFonts w:ascii="Arial" w:hAnsi="Arial"/>
                <w:b w:val="0"/>
                <w:sz w:val="16"/>
              </w:rPr>
              <w:t>OE1</w:t>
            </w:r>
          </w:p>
        </w:tc>
      </w:tr>
      <w:tr>
        <w:tc>
          <w:tcPr>
            <w:tcW w:type="dxa" w:w="2376"/>
            <w:vAlign w:val="center"/>
            <w:shd w:fill="F7FBFE"/>
          </w:tcPr>
          <w:p>
            <w:pPr>
              <w:spacing w:after="20"/>
            </w:pPr>
            <w:r/>
            <w:r>
              <w:rPr>
                <w:rFonts w:ascii="Arial" w:hAnsi="Arial"/>
                <w:b w:val="0"/>
                <w:sz w:val="16"/>
              </w:rPr>
              <w:t>Origen en el reconocimiento</w:t>
            </w:r>
          </w:p>
        </w:tc>
        <w:tc>
          <w:tcPr>
            <w:tcW w:type="dxa" w:w="8568"/>
            <w:vAlign w:val="center"/>
            <w:shd w:fill="F7FBFE"/>
          </w:tcPr>
          <w:p>
            <w:pPr>
              <w:spacing w:after="20"/>
            </w:pPr>
            <w:r/>
            <w:r>
              <w:rPr>
                <w:rFonts w:ascii="Arial" w:hAnsi="Arial"/>
                <w:b w:val="0"/>
                <w:sz w:val="16"/>
              </w:rPr>
              <w:t>E7: /admin/ público y listado de cuatro respaldos.</w:t>
            </w:r>
          </w:p>
        </w:tc>
      </w:tr>
      <w:tr>
        <w:tc>
          <w:tcPr>
            <w:tcW w:type="dxa" w:w="2376"/>
            <w:vAlign w:val="center"/>
          </w:tcPr>
          <w:p>
            <w:pPr>
              <w:spacing w:after="20"/>
            </w:pPr>
            <w:r/>
            <w:r>
              <w:rPr>
                <w:rFonts w:ascii="Arial" w:hAnsi="Arial"/>
                <w:b w:val="0"/>
                <w:sz w:val="16"/>
              </w:rPr>
              <w:t>Riesgo que cubre</w:t>
            </w:r>
          </w:p>
        </w:tc>
        <w:tc>
          <w:tcPr>
            <w:tcW w:type="dxa" w:w="8568"/>
            <w:vAlign w:val="center"/>
          </w:tcPr>
          <w:p>
            <w:pPr>
              <w:spacing w:after="20"/>
            </w:pPr>
            <w:r/>
            <w:r>
              <w:rPr>
                <w:rFonts w:ascii="Arial" w:hAnsi="Arial"/>
                <w:b w:val="0"/>
                <w:sz w:val="16"/>
              </w:rPr>
              <w:t>Acceso no autorizado a administración, bases de datos o archivos de configuración.</w:t>
            </w:r>
          </w:p>
        </w:tc>
      </w:tr>
      <w:tr>
        <w:tc>
          <w:tcPr>
            <w:tcW w:type="dxa" w:w="2376"/>
            <w:vAlign w:val="center"/>
            <w:shd w:fill="F7FBFE"/>
          </w:tcPr>
          <w:p>
            <w:pPr>
              <w:spacing w:after="20"/>
            </w:pPr>
            <w:r/>
            <w:r>
              <w:rPr>
                <w:rFonts w:ascii="Arial" w:hAnsi="Arial"/>
                <w:b w:val="0"/>
                <w:sz w:val="16"/>
              </w:rPr>
              <w:t>Criterio</w:t>
            </w:r>
          </w:p>
        </w:tc>
        <w:tc>
          <w:tcPr>
            <w:tcW w:type="dxa" w:w="8568"/>
            <w:vAlign w:val="center"/>
            <w:shd w:fill="F7FBFE"/>
          </w:tcPr>
          <w:p>
            <w:pPr>
              <w:spacing w:after="20"/>
            </w:pPr>
            <w:r/>
            <w:r>
              <w:rPr>
                <w:rFonts w:ascii="Arial" w:hAnsi="Arial"/>
                <w:b w:val="0"/>
                <w:sz w:val="16"/>
              </w:rPr>
              <w:t>WSTG-CONF-04, WSTG-CONF-05; ASVS V14.2; NTP-ISO/IEC 27001:2022 A.8.13.</w:t>
            </w:r>
          </w:p>
        </w:tc>
      </w:tr>
      <w:tr>
        <w:tc>
          <w:tcPr>
            <w:tcW w:type="dxa" w:w="2376"/>
            <w:vAlign w:val="center"/>
          </w:tcPr>
          <w:p>
            <w:pPr>
              <w:spacing w:after="20"/>
            </w:pPr>
            <w:r/>
            <w:r>
              <w:rPr>
                <w:rFonts w:ascii="Arial" w:hAnsi="Arial"/>
                <w:b w:val="0"/>
                <w:sz w:val="16"/>
              </w:rPr>
              <w:t>Tipo de prueba</w:t>
            </w:r>
          </w:p>
        </w:tc>
        <w:tc>
          <w:tcPr>
            <w:tcW w:type="dxa" w:w="8568"/>
            <w:vAlign w:val="center"/>
          </w:tcPr>
          <w:p>
            <w:pPr>
              <w:spacing w:after="20"/>
            </w:pPr>
            <w:r/>
            <w:r>
              <w:rPr>
                <w:rFonts w:ascii="Arial" w:hAnsi="Arial"/>
                <w:b w:val="0"/>
                <w:sz w:val="16"/>
              </w:rPr>
              <w:t>Prueba de configuración y revisión de acceso.</w:t>
            </w:r>
          </w:p>
        </w:tc>
      </w:tr>
      <w:tr>
        <w:tc>
          <w:tcPr>
            <w:tcW w:type="dxa" w:w="2376"/>
            <w:vAlign w:val="center"/>
            <w:shd w:fill="F7FBFE"/>
          </w:tcPr>
          <w:p>
            <w:pPr>
              <w:spacing w:after="20"/>
            </w:pPr>
            <w:r/>
            <w:r>
              <w:rPr>
                <w:rFonts w:ascii="Arial" w:hAnsi="Arial"/>
                <w:b w:val="0"/>
                <w:sz w:val="16"/>
              </w:rPr>
              <w:t>Población y muestra</w:t>
            </w:r>
          </w:p>
        </w:tc>
        <w:tc>
          <w:tcPr>
            <w:tcW w:type="dxa" w:w="8568"/>
            <w:vAlign w:val="center"/>
            <w:shd w:fill="F7FBFE"/>
          </w:tcPr>
          <w:p>
            <w:pPr>
              <w:spacing w:after="20"/>
            </w:pPr>
            <w:r/>
            <w:r>
              <w:rPr>
                <w:rFonts w:ascii="Arial" w:hAnsi="Arial"/>
                <w:b w:val="0"/>
                <w:sz w:val="16"/>
              </w:rPr>
              <w:t>100% de rutas /admin/ y /respaldos/; muestra: los cuatro nombres listados.</w:t>
            </w:r>
          </w:p>
        </w:tc>
      </w:tr>
      <w:tr>
        <w:tc>
          <w:tcPr>
            <w:tcW w:type="dxa" w:w="2376"/>
            <w:vAlign w:val="center"/>
          </w:tcPr>
          <w:p>
            <w:pPr>
              <w:spacing w:after="20"/>
            </w:pPr>
            <w:r/>
            <w:r>
              <w:rPr>
                <w:rFonts w:ascii="Arial" w:hAnsi="Arial"/>
                <w:b w:val="0"/>
                <w:sz w:val="16"/>
              </w:rPr>
              <w:t>Procedimiento</w:t>
            </w:r>
          </w:p>
        </w:tc>
        <w:tc>
          <w:tcPr>
            <w:tcW w:type="dxa" w:w="8568"/>
            <w:vAlign w:val="center"/>
          </w:tcPr>
          <w:p>
            <w:pPr>
              <w:spacing w:after="20"/>
            </w:pPr>
            <w:r/>
            <w:r>
              <w:rPr>
                <w:rFonts w:ascii="Arial" w:hAnsi="Arial"/>
                <w:b w:val="0"/>
                <w:sz w:val="16"/>
              </w:rPr>
              <w:t>Verifique en la réplica autorizada las reglas de acceso a administración y respaldos. Confirme que los respaldos no sean servidos por el web server. Revise permisos, ubicación, cifrado y retención, sin descargar archivos no autorizados.</w:t>
            </w:r>
          </w:p>
        </w:tc>
      </w:tr>
      <w:tr>
        <w:tc>
          <w:tcPr>
            <w:tcW w:type="dxa" w:w="2376"/>
            <w:vAlign w:val="center"/>
            <w:shd w:fill="F7FBFE"/>
          </w:tcPr>
          <w:p>
            <w:pPr>
              <w:spacing w:after="20"/>
            </w:pPr>
            <w:r/>
            <w:r>
              <w:rPr>
                <w:rFonts w:ascii="Arial" w:hAnsi="Arial"/>
                <w:b w:val="0"/>
                <w:sz w:val="16"/>
              </w:rPr>
              <w:t>Evidencia a obtener</w:t>
            </w:r>
          </w:p>
        </w:tc>
        <w:tc>
          <w:tcPr>
            <w:tcW w:type="dxa" w:w="8568"/>
            <w:vAlign w:val="center"/>
            <w:shd w:fill="F7FBFE"/>
          </w:tcPr>
          <w:p>
            <w:pPr>
              <w:spacing w:after="20"/>
            </w:pPr>
            <w:r/>
            <w:r>
              <w:rPr>
                <w:rFonts w:ascii="Arial" w:hAnsi="Arial"/>
                <w:b w:val="0"/>
                <w:sz w:val="16"/>
              </w:rPr>
              <w:t>Configuración web, listado de respaldos, permisos, política y registro de acceso.</w:t>
            </w:r>
          </w:p>
        </w:tc>
      </w:tr>
      <w:tr>
        <w:tc>
          <w:tcPr>
            <w:tcW w:type="dxa" w:w="2376"/>
            <w:vAlign w:val="center"/>
          </w:tcPr>
          <w:p>
            <w:pPr>
              <w:spacing w:after="20"/>
            </w:pPr>
            <w:r/>
            <w:r>
              <w:rPr>
                <w:rFonts w:ascii="Arial" w:hAnsi="Arial"/>
                <w:b w:val="0"/>
                <w:sz w:val="16"/>
              </w:rPr>
              <w:t>Definición de excepción</w:t>
            </w:r>
          </w:p>
        </w:tc>
        <w:tc>
          <w:tcPr>
            <w:tcW w:type="dxa" w:w="8568"/>
            <w:vAlign w:val="center"/>
          </w:tcPr>
          <w:p>
            <w:pPr>
              <w:spacing w:after="20"/>
            </w:pPr>
            <w:r/>
            <w:r>
              <w:rPr>
                <w:rFonts w:ascii="Arial" w:hAnsi="Arial"/>
                <w:b w:val="0"/>
                <w:sz w:val="16"/>
              </w:rPr>
              <w:t>Panel o respaldo accesible desde una red no autorizada.</w:t>
            </w:r>
          </w:p>
        </w:tc>
      </w:tr>
      <w:tr>
        <w:tc>
          <w:tcPr>
            <w:tcW w:type="dxa" w:w="2376"/>
            <w:vAlign w:val="center"/>
            <w:shd w:fill="F7FBFE"/>
          </w:tcPr>
          <w:p>
            <w:pPr>
              <w:spacing w:after="20"/>
            </w:pPr>
            <w:r/>
            <w:r>
              <w:rPr>
                <w:rFonts w:ascii="Arial" w:hAnsi="Arial"/>
                <w:b w:val="0"/>
                <w:sz w:val="16"/>
              </w:rPr>
              <w:t>Horas estimadas</w:t>
            </w:r>
          </w:p>
        </w:tc>
        <w:tc>
          <w:tcPr>
            <w:tcW w:type="dxa" w:w="8568"/>
            <w:vAlign w:val="center"/>
            <w:shd w:fill="F7FBFE"/>
          </w:tcPr>
          <w:p>
            <w:pPr>
              <w:spacing w:after="20"/>
            </w:pPr>
            <w:r/>
            <w:r>
              <w:rPr>
                <w:rFonts w:ascii="Arial" w:hAnsi="Arial"/>
                <w:b w:val="0"/>
                <w:sz w:val="16"/>
              </w:rPr>
              <w:t>5</w:t>
            </w:r>
          </w:p>
        </w:tc>
      </w:tr>
    </w:tbl>
    <w:p/>
    <w:p>
      <w:pPr>
        <w:pStyle w:val="Heading2"/>
        <w:spacing w:before="200" w:after="80"/>
      </w:pPr>
      <w:r>
        <w:t>P-04 Autenticación y sesiones de pacientes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2376"/>
            <w:vAlign w:val="center"/>
            <w:shd w:fill="D9EAF7"/>
          </w:tcPr>
          <w:p>
            <w:pPr>
              <w:spacing w:after="20"/>
            </w:pPr>
            <w:r/>
            <w:r>
              <w:rPr>
                <w:rFonts w:ascii="Arial" w:hAnsi="Arial"/>
                <w:b/>
                <w:sz w:val="16"/>
              </w:rPr>
              <w:t>Campo</w:t>
            </w:r>
          </w:p>
        </w:tc>
        <w:tc>
          <w:tcPr>
            <w:tcW w:type="dxa" w:w="8568"/>
            <w:vAlign w:val="center"/>
            <w:shd w:fill="D9EAF7"/>
          </w:tcPr>
          <w:p>
            <w:pPr>
              <w:spacing w:after="20"/>
            </w:pPr>
            <w:r/>
            <w:r>
              <w:rPr>
                <w:rFonts w:ascii="Arial" w:hAnsi="Arial"/>
                <w:b/>
                <w:sz w:val="16"/>
              </w:rPr>
              <w:t>Contenido</w:t>
            </w:r>
          </w:p>
        </w:tc>
      </w:tr>
      <w:tr>
        <w:tc>
          <w:tcPr>
            <w:tcW w:type="dxa" w:w="2376"/>
            <w:vAlign w:val="center"/>
          </w:tcPr>
          <w:p>
            <w:pPr>
              <w:spacing w:after="20"/>
            </w:pPr>
            <w:r/>
            <w:r>
              <w:rPr>
                <w:rFonts w:ascii="Arial" w:hAnsi="Arial"/>
                <w:b w:val="0"/>
                <w:sz w:val="16"/>
              </w:rPr>
              <w:t>Objetivo específico</w:t>
            </w:r>
          </w:p>
        </w:tc>
        <w:tc>
          <w:tcPr>
            <w:tcW w:type="dxa" w:w="8568"/>
            <w:vAlign w:val="center"/>
          </w:tcPr>
          <w:p>
            <w:pPr>
              <w:spacing w:after="20"/>
            </w:pPr>
            <w:r/>
            <w:r>
              <w:rPr>
                <w:rFonts w:ascii="Arial" w:hAnsi="Arial"/>
                <w:b w:val="0"/>
                <w:sz w:val="16"/>
              </w:rPr>
              <w:t>OE2</w:t>
            </w:r>
          </w:p>
        </w:tc>
      </w:tr>
      <w:tr>
        <w:tc>
          <w:tcPr>
            <w:tcW w:type="dxa" w:w="2376"/>
            <w:vAlign w:val="center"/>
            <w:shd w:fill="F7FBFE"/>
          </w:tcPr>
          <w:p>
            <w:pPr>
              <w:spacing w:after="20"/>
            </w:pPr>
            <w:r/>
            <w:r>
              <w:rPr>
                <w:rFonts w:ascii="Arial" w:hAnsi="Arial"/>
                <w:b w:val="0"/>
                <w:sz w:val="16"/>
              </w:rPr>
              <w:t>Origen en el reconocimiento</w:t>
            </w:r>
          </w:p>
        </w:tc>
        <w:tc>
          <w:tcPr>
            <w:tcW w:type="dxa" w:w="8568"/>
            <w:vAlign w:val="center"/>
            <w:shd w:fill="F7FBFE"/>
          </w:tcPr>
          <w:p>
            <w:pPr>
              <w:spacing w:after="20"/>
            </w:pPr>
            <w:r/>
            <w:r>
              <w:rPr>
                <w:rFonts w:ascii="Arial" w:hAnsi="Arial"/>
                <w:b w:val="0"/>
                <w:sz w:val="16"/>
              </w:rPr>
              <w:t>E6 y E8: contraseña inicial basada en fecha de nacimiento y cookie sin atributos de seguridad.</w:t>
            </w:r>
          </w:p>
        </w:tc>
      </w:tr>
      <w:tr>
        <w:tc>
          <w:tcPr>
            <w:tcW w:type="dxa" w:w="2376"/>
            <w:vAlign w:val="center"/>
          </w:tcPr>
          <w:p>
            <w:pPr>
              <w:spacing w:after="20"/>
            </w:pPr>
            <w:r/>
            <w:r>
              <w:rPr>
                <w:rFonts w:ascii="Arial" w:hAnsi="Arial"/>
                <w:b w:val="0"/>
                <w:sz w:val="16"/>
              </w:rPr>
              <w:t>Riesgo que cubre</w:t>
            </w:r>
          </w:p>
        </w:tc>
        <w:tc>
          <w:tcPr>
            <w:tcW w:type="dxa" w:w="8568"/>
            <w:vAlign w:val="center"/>
          </w:tcPr>
          <w:p>
            <w:pPr>
              <w:spacing w:after="20"/>
            </w:pPr>
            <w:r/>
            <w:r>
              <w:rPr>
                <w:rFonts w:ascii="Arial" w:hAnsi="Arial"/>
                <w:b w:val="0"/>
                <w:sz w:val="16"/>
              </w:rPr>
              <w:t>Suplantación de pacientes y secuestro de sesión.</w:t>
            </w:r>
          </w:p>
        </w:tc>
      </w:tr>
      <w:tr>
        <w:tc>
          <w:tcPr>
            <w:tcW w:type="dxa" w:w="2376"/>
            <w:vAlign w:val="center"/>
            <w:shd w:fill="F7FBFE"/>
          </w:tcPr>
          <w:p>
            <w:pPr>
              <w:spacing w:after="20"/>
            </w:pPr>
            <w:r/>
            <w:r>
              <w:rPr>
                <w:rFonts w:ascii="Arial" w:hAnsi="Arial"/>
                <w:b w:val="0"/>
                <w:sz w:val="16"/>
              </w:rPr>
              <w:t>Criterio</w:t>
            </w:r>
          </w:p>
        </w:tc>
        <w:tc>
          <w:tcPr>
            <w:tcW w:type="dxa" w:w="8568"/>
            <w:vAlign w:val="center"/>
            <w:shd w:fill="F7FBFE"/>
          </w:tcPr>
          <w:p>
            <w:pPr>
              <w:spacing w:after="20"/>
            </w:pPr>
            <w:r/>
            <w:r>
              <w:rPr>
                <w:rFonts w:ascii="Arial" w:hAnsi="Arial"/>
                <w:b w:val="0"/>
                <w:sz w:val="16"/>
              </w:rPr>
              <w:t>WSTG-ATHN; WSTG-SESS-02; ASVS V2 y V3; NTP-ISO/IEC 27001:2022 A.5.17.</w:t>
            </w:r>
          </w:p>
        </w:tc>
      </w:tr>
      <w:tr>
        <w:tc>
          <w:tcPr>
            <w:tcW w:type="dxa" w:w="2376"/>
            <w:vAlign w:val="center"/>
          </w:tcPr>
          <w:p>
            <w:pPr>
              <w:spacing w:after="20"/>
            </w:pPr>
            <w:r/>
            <w:r>
              <w:rPr>
                <w:rFonts w:ascii="Arial" w:hAnsi="Arial"/>
                <w:b w:val="0"/>
                <w:sz w:val="16"/>
              </w:rPr>
              <w:t>Tipo de prueba</w:t>
            </w:r>
          </w:p>
        </w:tc>
        <w:tc>
          <w:tcPr>
            <w:tcW w:type="dxa" w:w="8568"/>
            <w:vAlign w:val="center"/>
          </w:tcPr>
          <w:p>
            <w:pPr>
              <w:spacing w:after="20"/>
            </w:pPr>
            <w:r/>
            <w:r>
              <w:rPr>
                <w:rFonts w:ascii="Arial" w:hAnsi="Arial"/>
                <w:b w:val="0"/>
                <w:sz w:val="16"/>
              </w:rPr>
              <w:t>Prueba sustantiva controlada y revisión de configuración.</w:t>
            </w:r>
          </w:p>
        </w:tc>
      </w:tr>
      <w:tr>
        <w:tc>
          <w:tcPr>
            <w:tcW w:type="dxa" w:w="2376"/>
            <w:vAlign w:val="center"/>
            <w:shd w:fill="F7FBFE"/>
          </w:tcPr>
          <w:p>
            <w:pPr>
              <w:spacing w:after="20"/>
            </w:pPr>
            <w:r/>
            <w:r>
              <w:rPr>
                <w:rFonts w:ascii="Arial" w:hAnsi="Arial"/>
                <w:b w:val="0"/>
                <w:sz w:val="16"/>
              </w:rPr>
              <w:t>Población y muestra</w:t>
            </w:r>
          </w:p>
        </w:tc>
        <w:tc>
          <w:tcPr>
            <w:tcW w:type="dxa" w:w="8568"/>
            <w:vAlign w:val="center"/>
            <w:shd w:fill="F7FBFE"/>
          </w:tcPr>
          <w:p>
            <w:pPr>
              <w:spacing w:after="20"/>
            </w:pPr>
            <w:r/>
            <w:r>
              <w:rPr>
                <w:rFonts w:ascii="Arial" w:hAnsi="Arial"/>
                <w:b w:val="0"/>
                <w:sz w:val="16"/>
              </w:rPr>
              <w:t>Muestra dirigida de 10 cuentas ficticias o autorizadas de la réplica.</w:t>
            </w:r>
          </w:p>
        </w:tc>
      </w:tr>
      <w:tr>
        <w:tc>
          <w:tcPr>
            <w:tcW w:type="dxa" w:w="2376"/>
            <w:vAlign w:val="center"/>
          </w:tcPr>
          <w:p>
            <w:pPr>
              <w:spacing w:after="20"/>
            </w:pPr>
            <w:r/>
            <w:r>
              <w:rPr>
                <w:rFonts w:ascii="Arial" w:hAnsi="Arial"/>
                <w:b w:val="0"/>
                <w:sz w:val="16"/>
              </w:rPr>
              <w:t>Procedimiento</w:t>
            </w:r>
          </w:p>
        </w:tc>
        <w:tc>
          <w:tcPr>
            <w:tcW w:type="dxa" w:w="8568"/>
            <w:vAlign w:val="center"/>
          </w:tcPr>
          <w:p>
            <w:pPr>
              <w:spacing w:after="20"/>
            </w:pPr>
            <w:r/>
            <w:r>
              <w:rPr>
                <w:rFonts w:ascii="Arial" w:hAnsi="Arial"/>
                <w:b w:val="0"/>
                <w:sz w:val="16"/>
              </w:rPr>
              <w:t>Obtenga cuentas ficticias autorizadas. Verifique requisitos de contraseña, cambio de contraseña inicial, bloqueo, recuperación y cierre de sesión. Inspeccione atributos Secure, HttpOnly y SameSite de cookies. Documente resultados sin utilizar cuentas reales.</w:t>
            </w:r>
          </w:p>
        </w:tc>
      </w:tr>
      <w:tr>
        <w:tc>
          <w:tcPr>
            <w:tcW w:type="dxa" w:w="2376"/>
            <w:vAlign w:val="center"/>
            <w:shd w:fill="F7FBFE"/>
          </w:tcPr>
          <w:p>
            <w:pPr>
              <w:spacing w:after="20"/>
            </w:pPr>
            <w:r/>
            <w:r>
              <w:rPr>
                <w:rFonts w:ascii="Arial" w:hAnsi="Arial"/>
                <w:b w:val="0"/>
                <w:sz w:val="16"/>
              </w:rPr>
              <w:t>Evidencia a obtener</w:t>
            </w:r>
          </w:p>
        </w:tc>
        <w:tc>
          <w:tcPr>
            <w:tcW w:type="dxa" w:w="8568"/>
            <w:vAlign w:val="center"/>
            <w:shd w:fill="F7FBFE"/>
          </w:tcPr>
          <w:p>
            <w:pPr>
              <w:spacing w:after="20"/>
            </w:pPr>
            <w:r/>
            <w:r>
              <w:rPr>
                <w:rFonts w:ascii="Arial" w:hAnsi="Arial"/>
                <w:b w:val="0"/>
                <w:sz w:val="16"/>
              </w:rPr>
              <w:t>Resultados de pruebas, política de credenciales, configuración de sesión y registro de excepciones.</w:t>
            </w:r>
          </w:p>
        </w:tc>
      </w:tr>
      <w:tr>
        <w:tc>
          <w:tcPr>
            <w:tcW w:type="dxa" w:w="2376"/>
            <w:vAlign w:val="center"/>
          </w:tcPr>
          <w:p>
            <w:pPr>
              <w:spacing w:after="20"/>
            </w:pPr>
            <w:r/>
            <w:r>
              <w:rPr>
                <w:rFonts w:ascii="Arial" w:hAnsi="Arial"/>
                <w:b w:val="0"/>
                <w:sz w:val="16"/>
              </w:rPr>
              <w:t>Definición de excepción</w:t>
            </w:r>
          </w:p>
        </w:tc>
        <w:tc>
          <w:tcPr>
            <w:tcW w:type="dxa" w:w="8568"/>
            <w:vAlign w:val="center"/>
          </w:tcPr>
          <w:p>
            <w:pPr>
              <w:spacing w:after="20"/>
            </w:pPr>
            <w:r/>
            <w:r>
              <w:rPr>
                <w:rFonts w:ascii="Arial" w:hAnsi="Arial"/>
                <w:b w:val="0"/>
                <w:sz w:val="16"/>
              </w:rPr>
              <w:t>Contraseña predecible aceptada, falta de bloqueo o cookie sin atributos requeridos.</w:t>
            </w:r>
          </w:p>
        </w:tc>
      </w:tr>
      <w:tr>
        <w:tc>
          <w:tcPr>
            <w:tcW w:type="dxa" w:w="2376"/>
            <w:vAlign w:val="center"/>
            <w:shd w:fill="F7FBFE"/>
          </w:tcPr>
          <w:p>
            <w:pPr>
              <w:spacing w:after="20"/>
            </w:pPr>
            <w:r/>
            <w:r>
              <w:rPr>
                <w:rFonts w:ascii="Arial" w:hAnsi="Arial"/>
                <w:b w:val="0"/>
                <w:sz w:val="16"/>
              </w:rPr>
              <w:t>Horas estimadas</w:t>
            </w:r>
          </w:p>
        </w:tc>
        <w:tc>
          <w:tcPr>
            <w:tcW w:type="dxa" w:w="8568"/>
            <w:vAlign w:val="center"/>
            <w:shd w:fill="F7FBFE"/>
          </w:tcPr>
          <w:p>
            <w:pPr>
              <w:spacing w:after="20"/>
            </w:pPr>
            <w:r/>
            <w:r>
              <w:rPr>
                <w:rFonts w:ascii="Arial" w:hAnsi="Arial"/>
                <w:b w:val="0"/>
                <w:sz w:val="16"/>
              </w:rPr>
              <w:t>6</w:t>
            </w:r>
          </w:p>
        </w:tc>
      </w:tr>
    </w:tbl>
    <w:p/>
    <w:p>
      <w:pPr>
        <w:pStyle w:val="Heading2"/>
        <w:spacing w:before="200" w:after="80"/>
      </w:pPr>
      <w:r>
        <w:t>P-05 Autorización de resultados de laboratorio</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2376"/>
            <w:vAlign w:val="center"/>
            <w:shd w:fill="D9EAF7"/>
          </w:tcPr>
          <w:p>
            <w:pPr>
              <w:spacing w:after="20"/>
            </w:pPr>
            <w:r/>
            <w:r>
              <w:rPr>
                <w:rFonts w:ascii="Arial" w:hAnsi="Arial"/>
                <w:b/>
                <w:sz w:val="16"/>
              </w:rPr>
              <w:t>Campo</w:t>
            </w:r>
          </w:p>
        </w:tc>
        <w:tc>
          <w:tcPr>
            <w:tcW w:type="dxa" w:w="8568"/>
            <w:vAlign w:val="center"/>
            <w:shd w:fill="D9EAF7"/>
          </w:tcPr>
          <w:p>
            <w:pPr>
              <w:spacing w:after="20"/>
            </w:pPr>
            <w:r/>
            <w:r>
              <w:rPr>
                <w:rFonts w:ascii="Arial" w:hAnsi="Arial"/>
                <w:b/>
                <w:sz w:val="16"/>
              </w:rPr>
              <w:t>Contenido</w:t>
            </w:r>
          </w:p>
        </w:tc>
      </w:tr>
      <w:tr>
        <w:tc>
          <w:tcPr>
            <w:tcW w:type="dxa" w:w="2376"/>
            <w:vAlign w:val="center"/>
          </w:tcPr>
          <w:p>
            <w:pPr>
              <w:spacing w:after="20"/>
            </w:pPr>
            <w:r/>
            <w:r>
              <w:rPr>
                <w:rFonts w:ascii="Arial" w:hAnsi="Arial"/>
                <w:b w:val="0"/>
                <w:sz w:val="16"/>
              </w:rPr>
              <w:t>Objetivo específico</w:t>
            </w:r>
          </w:p>
        </w:tc>
        <w:tc>
          <w:tcPr>
            <w:tcW w:type="dxa" w:w="8568"/>
            <w:vAlign w:val="center"/>
          </w:tcPr>
          <w:p>
            <w:pPr>
              <w:spacing w:after="20"/>
            </w:pPr>
            <w:r/>
            <w:r>
              <w:rPr>
                <w:rFonts w:ascii="Arial" w:hAnsi="Arial"/>
                <w:b w:val="0"/>
                <w:sz w:val="16"/>
              </w:rPr>
              <w:t>OE2</w:t>
            </w:r>
          </w:p>
        </w:tc>
      </w:tr>
      <w:tr>
        <w:tc>
          <w:tcPr>
            <w:tcW w:type="dxa" w:w="2376"/>
            <w:vAlign w:val="center"/>
            <w:shd w:fill="F7FBFE"/>
          </w:tcPr>
          <w:p>
            <w:pPr>
              <w:spacing w:after="20"/>
            </w:pPr>
            <w:r/>
            <w:r>
              <w:rPr>
                <w:rFonts w:ascii="Arial" w:hAnsi="Arial"/>
                <w:b w:val="0"/>
                <w:sz w:val="16"/>
              </w:rPr>
              <w:t>Origen en el reconocimiento</w:t>
            </w:r>
          </w:p>
        </w:tc>
        <w:tc>
          <w:tcPr>
            <w:tcW w:type="dxa" w:w="8568"/>
            <w:vAlign w:val="center"/>
            <w:shd w:fill="F7FBFE"/>
          </w:tcPr>
          <w:p>
            <w:pPr>
              <w:spacing w:after="20"/>
            </w:pPr>
            <w:r/>
            <w:r>
              <w:rPr>
                <w:rFonts w:ascii="Arial" w:hAnsi="Arial"/>
                <w:b w:val="0"/>
                <w:sz w:val="16"/>
              </w:rPr>
              <w:t>Solicitud e incidente del 08/09/2026: paciente visualizó hemograma ajeno; E6 revela referencia por orden.</w:t>
            </w:r>
          </w:p>
        </w:tc>
      </w:tr>
      <w:tr>
        <w:tc>
          <w:tcPr>
            <w:tcW w:type="dxa" w:w="2376"/>
            <w:vAlign w:val="center"/>
          </w:tcPr>
          <w:p>
            <w:pPr>
              <w:spacing w:after="20"/>
            </w:pPr>
            <w:r/>
            <w:r>
              <w:rPr>
                <w:rFonts w:ascii="Arial" w:hAnsi="Arial"/>
                <w:b w:val="0"/>
                <w:sz w:val="16"/>
              </w:rPr>
              <w:t>Riesgo que cubre</w:t>
            </w:r>
          </w:p>
        </w:tc>
        <w:tc>
          <w:tcPr>
            <w:tcW w:type="dxa" w:w="8568"/>
            <w:vAlign w:val="center"/>
          </w:tcPr>
          <w:p>
            <w:pPr>
              <w:spacing w:after="20"/>
            </w:pPr>
            <w:r/>
            <w:r>
              <w:rPr>
                <w:rFonts w:ascii="Arial" w:hAnsi="Arial"/>
                <w:b w:val="0"/>
                <w:sz w:val="16"/>
              </w:rPr>
              <w:t>Divulgación de resultados de laboratorio entre pacientes.</w:t>
            </w:r>
          </w:p>
        </w:tc>
      </w:tr>
      <w:tr>
        <w:tc>
          <w:tcPr>
            <w:tcW w:type="dxa" w:w="2376"/>
            <w:vAlign w:val="center"/>
            <w:shd w:fill="F7FBFE"/>
          </w:tcPr>
          <w:p>
            <w:pPr>
              <w:spacing w:after="20"/>
            </w:pPr>
            <w:r/>
            <w:r>
              <w:rPr>
                <w:rFonts w:ascii="Arial" w:hAnsi="Arial"/>
                <w:b w:val="0"/>
                <w:sz w:val="16"/>
              </w:rPr>
              <w:t>Criterio</w:t>
            </w:r>
          </w:p>
        </w:tc>
        <w:tc>
          <w:tcPr>
            <w:tcW w:type="dxa" w:w="8568"/>
            <w:vAlign w:val="center"/>
            <w:shd w:fill="F7FBFE"/>
          </w:tcPr>
          <w:p>
            <w:pPr>
              <w:spacing w:after="20"/>
            </w:pPr>
            <w:r/>
            <w:r>
              <w:rPr>
                <w:rFonts w:ascii="Arial" w:hAnsi="Arial"/>
                <w:b w:val="0"/>
                <w:sz w:val="16"/>
              </w:rPr>
              <w:t>WSTG-ATHZ; ASVS V4; NTP-ISO/IEC 27001:2022 A.5.15 y A.5.18.</w:t>
            </w:r>
          </w:p>
        </w:tc>
      </w:tr>
      <w:tr>
        <w:tc>
          <w:tcPr>
            <w:tcW w:type="dxa" w:w="2376"/>
            <w:vAlign w:val="center"/>
          </w:tcPr>
          <w:p>
            <w:pPr>
              <w:spacing w:after="20"/>
            </w:pPr>
            <w:r/>
            <w:r>
              <w:rPr>
                <w:rFonts w:ascii="Arial" w:hAnsi="Arial"/>
                <w:b w:val="0"/>
                <w:sz w:val="16"/>
              </w:rPr>
              <w:t>Tipo de prueba</w:t>
            </w:r>
          </w:p>
        </w:tc>
        <w:tc>
          <w:tcPr>
            <w:tcW w:type="dxa" w:w="8568"/>
            <w:vAlign w:val="center"/>
          </w:tcPr>
          <w:p>
            <w:pPr>
              <w:spacing w:after="20"/>
            </w:pPr>
            <w:r/>
            <w:r>
              <w:rPr>
                <w:rFonts w:ascii="Arial" w:hAnsi="Arial"/>
                <w:b w:val="0"/>
                <w:sz w:val="16"/>
              </w:rPr>
              <w:t>Prueba sustantiva de autorización sobre réplica.</w:t>
            </w:r>
          </w:p>
        </w:tc>
      </w:tr>
      <w:tr>
        <w:tc>
          <w:tcPr>
            <w:tcW w:type="dxa" w:w="2376"/>
            <w:vAlign w:val="center"/>
            <w:shd w:fill="F7FBFE"/>
          </w:tcPr>
          <w:p>
            <w:pPr>
              <w:spacing w:after="20"/>
            </w:pPr>
            <w:r/>
            <w:r>
              <w:rPr>
                <w:rFonts w:ascii="Arial" w:hAnsi="Arial"/>
                <w:b w:val="0"/>
                <w:sz w:val="16"/>
              </w:rPr>
              <w:t>Población y muestra</w:t>
            </w:r>
          </w:p>
        </w:tc>
        <w:tc>
          <w:tcPr>
            <w:tcW w:type="dxa" w:w="8568"/>
            <w:vAlign w:val="center"/>
            <w:shd w:fill="F7FBFE"/>
          </w:tcPr>
          <w:p>
            <w:pPr>
              <w:spacing w:after="20"/>
            </w:pPr>
            <w:r/>
            <w:r>
              <w:rPr>
                <w:rFonts w:ascii="Arial" w:hAnsi="Arial"/>
                <w:b w:val="0"/>
                <w:sz w:val="16"/>
              </w:rPr>
              <w:t>Muestra dirigida de 10 resultados ficticios: cinco por cada uno de dos pacientes ficticios.</w:t>
            </w:r>
          </w:p>
        </w:tc>
      </w:tr>
      <w:tr>
        <w:tc>
          <w:tcPr>
            <w:tcW w:type="dxa" w:w="2376"/>
            <w:vAlign w:val="center"/>
          </w:tcPr>
          <w:p>
            <w:pPr>
              <w:spacing w:after="20"/>
            </w:pPr>
            <w:r/>
            <w:r>
              <w:rPr>
                <w:rFonts w:ascii="Arial" w:hAnsi="Arial"/>
                <w:b w:val="0"/>
                <w:sz w:val="16"/>
              </w:rPr>
              <w:t>Procedimiento</w:t>
            </w:r>
          </w:p>
        </w:tc>
        <w:tc>
          <w:tcPr>
            <w:tcW w:type="dxa" w:w="8568"/>
            <w:vAlign w:val="center"/>
          </w:tcPr>
          <w:p>
            <w:pPr>
              <w:spacing w:after="20"/>
            </w:pPr>
            <w:r/>
            <w:r>
              <w:rPr>
                <w:rFonts w:ascii="Arial" w:hAnsi="Arial"/>
                <w:b w:val="0"/>
                <w:sz w:val="16"/>
              </w:rPr>
              <w:t>Cree o use dos pacientes ficticios autorizados en la réplica. Inicie sesión con cada paciente. Intente acceder únicamente a resultados propios y verifique que las referencias de orden no permitan mostrar resultados ajenos. Revise trazabilidad y alertas de acceso.</w:t>
            </w:r>
          </w:p>
        </w:tc>
      </w:tr>
      <w:tr>
        <w:tc>
          <w:tcPr>
            <w:tcW w:type="dxa" w:w="2376"/>
            <w:vAlign w:val="center"/>
            <w:shd w:fill="F7FBFE"/>
          </w:tcPr>
          <w:p>
            <w:pPr>
              <w:spacing w:after="20"/>
            </w:pPr>
            <w:r/>
            <w:r>
              <w:rPr>
                <w:rFonts w:ascii="Arial" w:hAnsi="Arial"/>
                <w:b w:val="0"/>
                <w:sz w:val="16"/>
              </w:rPr>
              <w:t>Evidencia a obtener</w:t>
            </w:r>
          </w:p>
        </w:tc>
        <w:tc>
          <w:tcPr>
            <w:tcW w:type="dxa" w:w="8568"/>
            <w:vAlign w:val="center"/>
            <w:shd w:fill="F7FBFE"/>
          </w:tcPr>
          <w:p>
            <w:pPr>
              <w:spacing w:after="20"/>
            </w:pPr>
            <w:r/>
            <w:r>
              <w:rPr>
                <w:rFonts w:ascii="Arial" w:hAnsi="Arial"/>
                <w:b w:val="0"/>
                <w:sz w:val="16"/>
              </w:rPr>
              <w:t>Registro de pruebas, capturas sin datos reales, trazas de auditoría y reglas de autorización.</w:t>
            </w:r>
          </w:p>
        </w:tc>
      </w:tr>
      <w:tr>
        <w:tc>
          <w:tcPr>
            <w:tcW w:type="dxa" w:w="2376"/>
            <w:vAlign w:val="center"/>
          </w:tcPr>
          <w:p>
            <w:pPr>
              <w:spacing w:after="20"/>
            </w:pPr>
            <w:r/>
            <w:r>
              <w:rPr>
                <w:rFonts w:ascii="Arial" w:hAnsi="Arial"/>
                <w:b w:val="0"/>
                <w:sz w:val="16"/>
              </w:rPr>
              <w:t>Definición de excepción</w:t>
            </w:r>
          </w:p>
        </w:tc>
        <w:tc>
          <w:tcPr>
            <w:tcW w:type="dxa" w:w="8568"/>
            <w:vAlign w:val="center"/>
          </w:tcPr>
          <w:p>
            <w:pPr>
              <w:spacing w:after="20"/>
            </w:pPr>
            <w:r/>
            <w:r>
              <w:rPr>
                <w:rFonts w:ascii="Arial" w:hAnsi="Arial"/>
                <w:b w:val="0"/>
                <w:sz w:val="16"/>
              </w:rPr>
              <w:t>Un paciente puede consultar, modificar o descargar el resultado de otro paciente.</w:t>
            </w:r>
          </w:p>
        </w:tc>
      </w:tr>
      <w:tr>
        <w:tc>
          <w:tcPr>
            <w:tcW w:type="dxa" w:w="2376"/>
            <w:vAlign w:val="center"/>
            <w:shd w:fill="F7FBFE"/>
          </w:tcPr>
          <w:p>
            <w:pPr>
              <w:spacing w:after="20"/>
            </w:pPr>
            <w:r/>
            <w:r>
              <w:rPr>
                <w:rFonts w:ascii="Arial" w:hAnsi="Arial"/>
                <w:b w:val="0"/>
                <w:sz w:val="16"/>
              </w:rPr>
              <w:t>Horas estimadas</w:t>
            </w:r>
          </w:p>
        </w:tc>
        <w:tc>
          <w:tcPr>
            <w:tcW w:type="dxa" w:w="8568"/>
            <w:vAlign w:val="center"/>
            <w:shd w:fill="F7FBFE"/>
          </w:tcPr>
          <w:p>
            <w:pPr>
              <w:spacing w:after="20"/>
            </w:pPr>
            <w:r/>
            <w:r>
              <w:rPr>
                <w:rFonts w:ascii="Arial" w:hAnsi="Arial"/>
                <w:b w:val="0"/>
                <w:sz w:val="16"/>
              </w:rPr>
              <w:t>7</w:t>
            </w:r>
          </w:p>
        </w:tc>
      </w:tr>
    </w:tbl>
    <w:p/>
    <w:p>
      <w:pPr>
        <w:pStyle w:val="Heading2"/>
        <w:spacing w:before="200" w:after="80"/>
      </w:pPr>
      <w:r>
        <w:t>P-06 Protección de formularios y comunicaciones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2376"/>
            <w:vAlign w:val="center"/>
            <w:shd w:fill="D9EAF7"/>
          </w:tcPr>
          <w:p>
            <w:pPr>
              <w:spacing w:after="20"/>
            </w:pPr>
            <w:r/>
            <w:r>
              <w:rPr>
                <w:rFonts w:ascii="Arial" w:hAnsi="Arial"/>
                <w:b/>
                <w:sz w:val="16"/>
              </w:rPr>
              <w:t>Campo</w:t>
            </w:r>
          </w:p>
        </w:tc>
        <w:tc>
          <w:tcPr>
            <w:tcW w:type="dxa" w:w="8568"/>
            <w:vAlign w:val="center"/>
            <w:shd w:fill="D9EAF7"/>
          </w:tcPr>
          <w:p>
            <w:pPr>
              <w:spacing w:after="20"/>
            </w:pPr>
            <w:r/>
            <w:r>
              <w:rPr>
                <w:rFonts w:ascii="Arial" w:hAnsi="Arial"/>
                <w:b/>
                <w:sz w:val="16"/>
              </w:rPr>
              <w:t>Contenido</w:t>
            </w:r>
          </w:p>
        </w:tc>
      </w:tr>
      <w:tr>
        <w:tc>
          <w:tcPr>
            <w:tcW w:type="dxa" w:w="2376"/>
            <w:vAlign w:val="center"/>
          </w:tcPr>
          <w:p>
            <w:pPr>
              <w:spacing w:after="20"/>
            </w:pPr>
            <w:r/>
            <w:r>
              <w:rPr>
                <w:rFonts w:ascii="Arial" w:hAnsi="Arial"/>
                <w:b w:val="0"/>
                <w:sz w:val="16"/>
              </w:rPr>
              <w:t>Objetivo específico</w:t>
            </w:r>
          </w:p>
        </w:tc>
        <w:tc>
          <w:tcPr>
            <w:tcW w:type="dxa" w:w="8568"/>
            <w:vAlign w:val="center"/>
          </w:tcPr>
          <w:p>
            <w:pPr>
              <w:spacing w:after="20"/>
            </w:pPr>
            <w:r/>
            <w:r>
              <w:rPr>
                <w:rFonts w:ascii="Arial" w:hAnsi="Arial"/>
                <w:b w:val="0"/>
                <w:sz w:val="16"/>
              </w:rPr>
              <w:t>OE3</w:t>
            </w:r>
          </w:p>
        </w:tc>
      </w:tr>
      <w:tr>
        <w:tc>
          <w:tcPr>
            <w:tcW w:type="dxa" w:w="2376"/>
            <w:vAlign w:val="center"/>
            <w:shd w:fill="F7FBFE"/>
          </w:tcPr>
          <w:p>
            <w:pPr>
              <w:spacing w:after="20"/>
            </w:pPr>
            <w:r/>
            <w:r>
              <w:rPr>
                <w:rFonts w:ascii="Arial" w:hAnsi="Arial"/>
                <w:b w:val="0"/>
                <w:sz w:val="16"/>
              </w:rPr>
              <w:t>Origen en el reconocimiento</w:t>
            </w:r>
          </w:p>
        </w:tc>
        <w:tc>
          <w:tcPr>
            <w:tcW w:type="dxa" w:w="8568"/>
            <w:vAlign w:val="center"/>
            <w:shd w:fill="F7FBFE"/>
          </w:tcPr>
          <w:p>
            <w:pPr>
              <w:spacing w:after="20"/>
            </w:pPr>
            <w:r/>
            <w:r>
              <w:rPr>
                <w:rFonts w:ascii="Arial" w:hAnsi="Arial"/>
                <w:b w:val="0"/>
                <w:sz w:val="16"/>
              </w:rPr>
              <w:t>E6 y E8: citas por GET con datos sensibles, casilla sin texto y HTTP.</w:t>
            </w:r>
          </w:p>
        </w:tc>
      </w:tr>
      <w:tr>
        <w:tc>
          <w:tcPr>
            <w:tcW w:type="dxa" w:w="2376"/>
            <w:vAlign w:val="center"/>
          </w:tcPr>
          <w:p>
            <w:pPr>
              <w:spacing w:after="20"/>
            </w:pPr>
            <w:r/>
            <w:r>
              <w:rPr>
                <w:rFonts w:ascii="Arial" w:hAnsi="Arial"/>
                <w:b w:val="0"/>
                <w:sz w:val="16"/>
              </w:rPr>
              <w:t>Riesgo que cubre</w:t>
            </w:r>
          </w:p>
        </w:tc>
        <w:tc>
          <w:tcPr>
            <w:tcW w:type="dxa" w:w="8568"/>
            <w:vAlign w:val="center"/>
          </w:tcPr>
          <w:p>
            <w:pPr>
              <w:spacing w:after="20"/>
            </w:pPr>
            <w:r/>
            <w:r>
              <w:rPr>
                <w:rFonts w:ascii="Arial" w:hAnsi="Arial"/>
                <w:b w:val="0"/>
                <w:sz w:val="16"/>
              </w:rPr>
              <w:t>Exposición de datos personales y de salud durante la transmisión o por URL.</w:t>
            </w:r>
          </w:p>
        </w:tc>
      </w:tr>
      <w:tr>
        <w:tc>
          <w:tcPr>
            <w:tcW w:type="dxa" w:w="2376"/>
            <w:vAlign w:val="center"/>
            <w:shd w:fill="F7FBFE"/>
          </w:tcPr>
          <w:p>
            <w:pPr>
              <w:spacing w:after="20"/>
            </w:pPr>
            <w:r/>
            <w:r>
              <w:rPr>
                <w:rFonts w:ascii="Arial" w:hAnsi="Arial"/>
                <w:b w:val="0"/>
                <w:sz w:val="16"/>
              </w:rPr>
              <w:t>Criterio</w:t>
            </w:r>
          </w:p>
        </w:tc>
        <w:tc>
          <w:tcPr>
            <w:tcW w:type="dxa" w:w="8568"/>
            <w:vAlign w:val="center"/>
            <w:shd w:fill="F7FBFE"/>
          </w:tcPr>
          <w:p>
            <w:pPr>
              <w:spacing w:after="20"/>
            </w:pPr>
            <w:r/>
            <w:r>
              <w:rPr>
                <w:rFonts w:ascii="Arial" w:hAnsi="Arial"/>
                <w:b w:val="0"/>
                <w:sz w:val="16"/>
              </w:rPr>
              <w:t>WSTG-INPV; WSTG-CONF-07; ASVS V5 y V13; NTP-ISO/IEC 27001:2022 A.8.24.</w:t>
            </w:r>
          </w:p>
        </w:tc>
      </w:tr>
      <w:tr>
        <w:tc>
          <w:tcPr>
            <w:tcW w:type="dxa" w:w="2376"/>
            <w:vAlign w:val="center"/>
          </w:tcPr>
          <w:p>
            <w:pPr>
              <w:spacing w:after="20"/>
            </w:pPr>
            <w:r/>
            <w:r>
              <w:rPr>
                <w:rFonts w:ascii="Arial" w:hAnsi="Arial"/>
                <w:b w:val="0"/>
                <w:sz w:val="16"/>
              </w:rPr>
              <w:t>Tipo de prueba</w:t>
            </w:r>
          </w:p>
        </w:tc>
        <w:tc>
          <w:tcPr>
            <w:tcW w:type="dxa" w:w="8568"/>
            <w:vAlign w:val="center"/>
          </w:tcPr>
          <w:p>
            <w:pPr>
              <w:spacing w:after="20"/>
            </w:pPr>
            <w:r/>
            <w:r>
              <w:rPr>
                <w:rFonts w:ascii="Arial" w:hAnsi="Arial"/>
                <w:b w:val="0"/>
                <w:sz w:val="16"/>
              </w:rPr>
              <w:t>Inspección, prueba de configuración y revisión de muestras.</w:t>
            </w:r>
          </w:p>
        </w:tc>
      </w:tr>
      <w:tr>
        <w:tc>
          <w:tcPr>
            <w:tcW w:type="dxa" w:w="2376"/>
            <w:vAlign w:val="center"/>
            <w:shd w:fill="F7FBFE"/>
          </w:tcPr>
          <w:p>
            <w:pPr>
              <w:spacing w:after="20"/>
            </w:pPr>
            <w:r/>
            <w:r>
              <w:rPr>
                <w:rFonts w:ascii="Arial" w:hAnsi="Arial"/>
                <w:b w:val="0"/>
                <w:sz w:val="16"/>
              </w:rPr>
              <w:t>Población y muestra</w:t>
            </w:r>
          </w:p>
        </w:tc>
        <w:tc>
          <w:tcPr>
            <w:tcW w:type="dxa" w:w="8568"/>
            <w:vAlign w:val="center"/>
            <w:shd w:fill="F7FBFE"/>
          </w:tcPr>
          <w:p>
            <w:pPr>
              <w:spacing w:after="20"/>
            </w:pPr>
            <w:r/>
            <w:r>
              <w:rPr>
                <w:rFonts w:ascii="Arial" w:hAnsi="Arial"/>
                <w:b w:val="0"/>
                <w:sz w:val="16"/>
              </w:rPr>
              <w:t>100% de formularios de citas, resultados y postulaciones; muestra de 10 transacciones ficticias de citas.</w:t>
            </w:r>
          </w:p>
        </w:tc>
      </w:tr>
      <w:tr>
        <w:tc>
          <w:tcPr>
            <w:tcW w:type="dxa" w:w="2376"/>
            <w:vAlign w:val="center"/>
          </w:tcPr>
          <w:p>
            <w:pPr>
              <w:spacing w:after="20"/>
            </w:pPr>
            <w:r/>
            <w:r>
              <w:rPr>
                <w:rFonts w:ascii="Arial" w:hAnsi="Arial"/>
                <w:b w:val="0"/>
                <w:sz w:val="16"/>
              </w:rPr>
              <w:t>Procedimiento</w:t>
            </w:r>
          </w:p>
        </w:tc>
        <w:tc>
          <w:tcPr>
            <w:tcW w:type="dxa" w:w="8568"/>
            <w:vAlign w:val="center"/>
          </w:tcPr>
          <w:p>
            <w:pPr>
              <w:spacing w:after="20"/>
            </w:pPr>
            <w:r/>
            <w:r>
              <w:rPr>
                <w:rFonts w:ascii="Arial" w:hAnsi="Arial"/>
                <w:b w:val="0"/>
                <w:sz w:val="16"/>
              </w:rPr>
              <w:t>Revise métodos HTTP, campos, textos de consentimiento y cifrado de transporte. Verifique que datos sensibles no viajen en URL, que HTTPS sea obligatorio y que las validaciones del lado servidor registren errores de forma segura. Revise la evidencia de consentimiento.</w:t>
            </w:r>
          </w:p>
        </w:tc>
      </w:tr>
      <w:tr>
        <w:tc>
          <w:tcPr>
            <w:tcW w:type="dxa" w:w="2376"/>
            <w:vAlign w:val="center"/>
            <w:shd w:fill="F7FBFE"/>
          </w:tcPr>
          <w:p>
            <w:pPr>
              <w:spacing w:after="20"/>
            </w:pPr>
            <w:r/>
            <w:r>
              <w:rPr>
                <w:rFonts w:ascii="Arial" w:hAnsi="Arial"/>
                <w:b w:val="0"/>
                <w:sz w:val="16"/>
              </w:rPr>
              <w:t>Evidencia a obtener</w:t>
            </w:r>
          </w:p>
        </w:tc>
        <w:tc>
          <w:tcPr>
            <w:tcW w:type="dxa" w:w="8568"/>
            <w:vAlign w:val="center"/>
            <w:shd w:fill="F7FBFE"/>
          </w:tcPr>
          <w:p>
            <w:pPr>
              <w:spacing w:after="20"/>
            </w:pPr>
            <w:r/>
            <w:r>
              <w:rPr>
                <w:rFonts w:ascii="Arial" w:hAnsi="Arial"/>
                <w:b w:val="0"/>
                <w:sz w:val="16"/>
              </w:rPr>
              <w:t>Configuración TLS, formularios, capturas de solicitudes ficticias, política de privacidad y registros.</w:t>
            </w:r>
          </w:p>
        </w:tc>
      </w:tr>
      <w:tr>
        <w:tc>
          <w:tcPr>
            <w:tcW w:type="dxa" w:w="2376"/>
            <w:vAlign w:val="center"/>
          </w:tcPr>
          <w:p>
            <w:pPr>
              <w:spacing w:after="20"/>
            </w:pPr>
            <w:r/>
            <w:r>
              <w:rPr>
                <w:rFonts w:ascii="Arial" w:hAnsi="Arial"/>
                <w:b w:val="0"/>
                <w:sz w:val="16"/>
              </w:rPr>
              <w:t>Definición de excepción</w:t>
            </w:r>
          </w:p>
        </w:tc>
        <w:tc>
          <w:tcPr>
            <w:tcW w:type="dxa" w:w="8568"/>
            <w:vAlign w:val="center"/>
          </w:tcPr>
          <w:p>
            <w:pPr>
              <w:spacing w:after="20"/>
            </w:pPr>
            <w:r/>
            <w:r>
              <w:rPr>
                <w:rFonts w:ascii="Arial" w:hAnsi="Arial"/>
                <w:b w:val="0"/>
                <w:sz w:val="16"/>
              </w:rPr>
              <w:t>Datos sensibles enviados por GET o HTTP, consentimiento ausente o cifrado no aplicado.</w:t>
            </w:r>
          </w:p>
        </w:tc>
      </w:tr>
      <w:tr>
        <w:tc>
          <w:tcPr>
            <w:tcW w:type="dxa" w:w="2376"/>
            <w:vAlign w:val="center"/>
            <w:shd w:fill="F7FBFE"/>
          </w:tcPr>
          <w:p>
            <w:pPr>
              <w:spacing w:after="20"/>
            </w:pPr>
            <w:r/>
            <w:r>
              <w:rPr>
                <w:rFonts w:ascii="Arial" w:hAnsi="Arial"/>
                <w:b w:val="0"/>
                <w:sz w:val="16"/>
              </w:rPr>
              <w:t>Horas estimadas</w:t>
            </w:r>
          </w:p>
        </w:tc>
        <w:tc>
          <w:tcPr>
            <w:tcW w:type="dxa" w:w="8568"/>
            <w:vAlign w:val="center"/>
            <w:shd w:fill="F7FBFE"/>
          </w:tcPr>
          <w:p>
            <w:pPr>
              <w:spacing w:after="20"/>
            </w:pPr>
            <w:r/>
            <w:r>
              <w:rPr>
                <w:rFonts w:ascii="Arial" w:hAnsi="Arial"/>
                <w:b w:val="0"/>
                <w:sz w:val="16"/>
              </w:rPr>
              <w:t>6</w:t>
            </w:r>
          </w:p>
        </w:tc>
      </w:tr>
    </w:tbl>
    <w:p/>
    <w:p>
      <w:pPr>
        <w:pStyle w:val="Heading1"/>
        <w:spacing w:before="200" w:after="80"/>
      </w:pPr>
      <w:r>
        <w:t>ANEXO A. MATRIZ DE RIESGOS DE LA MATERIA DE CONTROL</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440"/>
        <w:gridCol w:w="1440"/>
        <w:gridCol w:w="1440"/>
        <w:gridCol w:w="1440"/>
      </w:tblGrid>
      <w:tr>
        <w:tc>
          <w:tcPr>
            <w:tcW w:type="dxa" w:w="504"/>
            <w:vAlign w:val="center"/>
            <w:shd w:fill="D9EAF7"/>
          </w:tcPr>
          <w:p>
            <w:pPr>
              <w:spacing w:after="20"/>
            </w:pPr>
            <w:r/>
            <w:r>
              <w:rPr>
                <w:rFonts w:ascii="Arial" w:hAnsi="Arial"/>
                <w:b/>
                <w:sz w:val="14"/>
              </w:rPr>
              <w:t>N.º</w:t>
            </w:r>
          </w:p>
        </w:tc>
        <w:tc>
          <w:tcPr>
            <w:tcW w:type="dxa" w:w="1728"/>
            <w:vAlign w:val="center"/>
            <w:shd w:fill="D9EAF7"/>
          </w:tcPr>
          <w:p>
            <w:pPr>
              <w:spacing w:after="20"/>
            </w:pPr>
            <w:r/>
            <w:r>
              <w:rPr>
                <w:rFonts w:ascii="Arial" w:hAnsi="Arial"/>
                <w:b/>
                <w:sz w:val="14"/>
              </w:rPr>
              <w:t>Riesgo</w:t>
            </w:r>
          </w:p>
        </w:tc>
        <w:tc>
          <w:tcPr>
            <w:tcW w:type="dxa" w:w="2880"/>
            <w:vAlign w:val="center"/>
            <w:shd w:fill="D9EAF7"/>
          </w:tcPr>
          <w:p>
            <w:pPr>
              <w:spacing w:after="20"/>
            </w:pPr>
            <w:r/>
            <w:r>
              <w:rPr>
                <w:rFonts w:ascii="Arial" w:hAnsi="Arial"/>
                <w:b/>
                <w:sz w:val="14"/>
              </w:rPr>
              <w:t>Causa y evidencia</w:t>
            </w:r>
          </w:p>
        </w:tc>
        <w:tc>
          <w:tcPr>
            <w:tcW w:type="dxa" w:w="1944"/>
            <w:vAlign w:val="center"/>
            <w:shd w:fill="D9EAF7"/>
          </w:tcPr>
          <w:p>
            <w:pPr>
              <w:spacing w:after="20"/>
            </w:pPr>
            <w:r/>
            <w:r>
              <w:rPr>
                <w:rFonts w:ascii="Arial" w:hAnsi="Arial"/>
                <w:b/>
                <w:sz w:val="14"/>
              </w:rPr>
              <w:t>Impacto</w:t>
            </w:r>
          </w:p>
        </w:tc>
        <w:tc>
          <w:tcPr>
            <w:tcW w:type="dxa" w:w="792"/>
            <w:vAlign w:val="center"/>
            <w:shd w:fill="D9EAF7"/>
          </w:tcPr>
          <w:p>
            <w:pPr>
              <w:spacing w:after="20"/>
            </w:pPr>
            <w:r/>
            <w:r>
              <w:rPr>
                <w:rFonts w:ascii="Arial" w:hAnsi="Arial"/>
                <w:b/>
                <w:sz w:val="14"/>
              </w:rPr>
              <w:t>Nivel</w:t>
            </w:r>
          </w:p>
        </w:tc>
        <w:tc>
          <w:tcPr>
            <w:tcW w:type="dxa" w:w="1656"/>
            <w:vAlign w:val="center"/>
            <w:shd w:fill="D9EAF7"/>
          </w:tcPr>
          <w:p>
            <w:pPr>
              <w:spacing w:after="20"/>
            </w:pPr>
            <w:r/>
            <w:r>
              <w:rPr>
                <w:rFonts w:ascii="Arial" w:hAnsi="Arial"/>
                <w:b/>
                <w:sz w:val="14"/>
              </w:rPr>
              <w:t>Control existente</w:t>
            </w:r>
          </w:p>
        </w:tc>
        <w:tc>
          <w:tcPr>
            <w:tcW w:type="dxa" w:w="1800"/>
            <w:vAlign w:val="center"/>
            <w:shd w:fill="D9EAF7"/>
          </w:tcPr>
          <w:p>
            <w:pPr>
              <w:spacing w:after="20"/>
            </w:pPr>
            <w:r/>
            <w:r>
              <w:rPr>
                <w:rFonts w:ascii="Arial" w:hAnsi="Arial"/>
                <w:b/>
                <w:sz w:val="14"/>
              </w:rPr>
              <w:t>Control esperado</w:t>
            </w:r>
          </w:p>
        </w:tc>
      </w:tr>
      <w:tr>
        <w:tc>
          <w:tcPr>
            <w:tcW w:type="dxa" w:w="504"/>
            <w:vAlign w:val="center"/>
          </w:tcPr>
          <w:p>
            <w:pPr>
              <w:spacing w:after="20"/>
            </w:pPr>
            <w:r/>
            <w:r>
              <w:rPr>
                <w:rFonts w:ascii="Arial" w:hAnsi="Arial"/>
                <w:b w:val="0"/>
                <w:sz w:val="14"/>
              </w:rPr>
              <w:t>R1</w:t>
            </w:r>
          </w:p>
        </w:tc>
        <w:tc>
          <w:tcPr>
            <w:tcW w:type="dxa" w:w="1728"/>
            <w:vAlign w:val="center"/>
          </w:tcPr>
          <w:p>
            <w:pPr>
              <w:spacing w:after="20"/>
            </w:pPr>
            <w:r/>
            <w:r>
              <w:rPr>
                <w:rFonts w:ascii="Arial" w:hAnsi="Arial"/>
                <w:b w:val="0"/>
                <w:sz w:val="14"/>
              </w:rPr>
              <w:t>Exposición de activos no declarados.</w:t>
            </w:r>
          </w:p>
        </w:tc>
        <w:tc>
          <w:tcPr>
            <w:tcW w:type="dxa" w:w="2880"/>
            <w:vAlign w:val="center"/>
          </w:tcPr>
          <w:p>
            <w:pPr>
              <w:spacing w:after="20"/>
            </w:pPr>
            <w:r/>
            <w:r>
              <w:rPr>
                <w:rFonts w:ascii="Arial" w:hAnsi="Arial"/>
                <w:b w:val="0"/>
                <w:sz w:val="14"/>
              </w:rPr>
              <w:t>E1 identificó portal, pruebas y API; D1 declaró un solo activo.</w:t>
            </w:r>
          </w:p>
        </w:tc>
        <w:tc>
          <w:tcPr>
            <w:tcW w:type="dxa" w:w="1944"/>
            <w:vAlign w:val="center"/>
          </w:tcPr>
          <w:p>
            <w:pPr>
              <w:spacing w:after="20"/>
            </w:pPr>
            <w:r/>
            <w:r>
              <w:rPr>
                <w:rFonts w:ascii="Arial" w:hAnsi="Arial"/>
                <w:b w:val="0"/>
                <w:sz w:val="14"/>
              </w:rPr>
              <w:t>Superficie de ataque no gestionada y acceso no autorizado.</w:t>
            </w:r>
          </w:p>
        </w:tc>
        <w:tc>
          <w:tcPr>
            <w:tcW w:type="dxa" w:w="792"/>
            <w:vAlign w:val="center"/>
          </w:tcPr>
          <w:p>
            <w:pPr>
              <w:spacing w:after="20"/>
            </w:pPr>
            <w:r/>
            <w:r>
              <w:rPr>
                <w:rFonts w:ascii="Arial" w:hAnsi="Arial"/>
                <w:b w:val="0"/>
                <w:sz w:val="14"/>
              </w:rPr>
              <w:t>Alto</w:t>
            </w:r>
          </w:p>
        </w:tc>
        <w:tc>
          <w:tcPr>
            <w:tcW w:type="dxa" w:w="1656"/>
            <w:vAlign w:val="center"/>
          </w:tcPr>
          <w:p>
            <w:pPr>
              <w:spacing w:after="20"/>
            </w:pPr>
            <w:r/>
            <w:r>
              <w:rPr>
                <w:rFonts w:ascii="Arial" w:hAnsi="Arial"/>
                <w:b w:val="0"/>
                <w:sz w:val="14"/>
              </w:rPr>
              <w:t>Inventario declarado incompleto.</w:t>
            </w:r>
          </w:p>
        </w:tc>
        <w:tc>
          <w:tcPr>
            <w:tcW w:type="dxa" w:w="1800"/>
            <w:vAlign w:val="center"/>
          </w:tcPr>
          <w:p>
            <w:pPr>
              <w:spacing w:after="20"/>
            </w:pPr>
            <w:r/>
            <w:r>
              <w:rPr>
                <w:rFonts w:ascii="Arial" w:hAnsi="Arial"/>
                <w:b w:val="0"/>
                <w:sz w:val="14"/>
              </w:rPr>
              <w:t>Inventario completo, propietario y autorización de publicación por activo.</w:t>
            </w:r>
          </w:p>
        </w:tc>
      </w:tr>
      <w:tr>
        <w:tc>
          <w:tcPr>
            <w:tcW w:type="dxa" w:w="504"/>
            <w:vAlign w:val="center"/>
            <w:shd w:fill="F7FBFE"/>
          </w:tcPr>
          <w:p>
            <w:pPr>
              <w:spacing w:after="20"/>
            </w:pPr>
            <w:r/>
            <w:r>
              <w:rPr>
                <w:rFonts w:ascii="Arial" w:hAnsi="Arial"/>
                <w:b w:val="0"/>
                <w:sz w:val="14"/>
              </w:rPr>
              <w:t>R2</w:t>
            </w:r>
          </w:p>
        </w:tc>
        <w:tc>
          <w:tcPr>
            <w:tcW w:type="dxa" w:w="1728"/>
            <w:vAlign w:val="center"/>
            <w:shd w:fill="F7FBFE"/>
          </w:tcPr>
          <w:p>
            <w:pPr>
              <w:spacing w:after="20"/>
            </w:pPr>
            <w:r/>
            <w:r>
              <w:rPr>
                <w:rFonts w:ascii="Arial" w:hAnsi="Arial"/>
                <w:b w:val="0"/>
                <w:sz w:val="14"/>
              </w:rPr>
              <w:t>Divulgación de datos por respaldos expuestos.</w:t>
            </w:r>
          </w:p>
        </w:tc>
        <w:tc>
          <w:tcPr>
            <w:tcW w:type="dxa" w:w="2880"/>
            <w:vAlign w:val="center"/>
            <w:shd w:fill="F7FBFE"/>
          </w:tcPr>
          <w:p>
            <w:pPr>
              <w:spacing w:after="20"/>
            </w:pPr>
            <w:r/>
            <w:r>
              <w:rPr>
                <w:rFonts w:ascii="Arial" w:hAnsi="Arial"/>
                <w:b w:val="0"/>
                <w:sz w:val="14"/>
              </w:rPr>
              <w:t>E7 mostró listado de .sql.gz, .csv y wp-config.php.bak.</w:t>
            </w:r>
          </w:p>
        </w:tc>
        <w:tc>
          <w:tcPr>
            <w:tcW w:type="dxa" w:w="1944"/>
            <w:vAlign w:val="center"/>
            <w:shd w:fill="F7FBFE"/>
          </w:tcPr>
          <w:p>
            <w:pPr>
              <w:spacing w:after="20"/>
            </w:pPr>
            <w:r/>
            <w:r>
              <w:rPr>
                <w:rFonts w:ascii="Arial" w:hAnsi="Arial"/>
                <w:b w:val="0"/>
                <w:sz w:val="14"/>
              </w:rPr>
              <w:t>Exposición masiva de datos, credenciales y configuración.</w:t>
            </w:r>
          </w:p>
        </w:tc>
        <w:tc>
          <w:tcPr>
            <w:tcW w:type="dxa" w:w="792"/>
            <w:vAlign w:val="center"/>
            <w:shd w:fill="F7FBFE"/>
          </w:tcPr>
          <w:p>
            <w:pPr>
              <w:spacing w:after="20"/>
            </w:pPr>
            <w:r/>
            <w:r>
              <w:rPr>
                <w:rFonts w:ascii="Arial" w:hAnsi="Arial"/>
                <w:b w:val="0"/>
                <w:sz w:val="14"/>
              </w:rPr>
              <w:t>Alto</w:t>
            </w:r>
          </w:p>
        </w:tc>
        <w:tc>
          <w:tcPr>
            <w:tcW w:type="dxa" w:w="1656"/>
            <w:vAlign w:val="center"/>
            <w:shd w:fill="F7FBFE"/>
          </w:tcPr>
          <w:p>
            <w:pPr>
              <w:spacing w:after="20"/>
            </w:pPr>
            <w:r/>
            <w:r>
              <w:rPr>
                <w:rFonts w:ascii="Arial" w:hAnsi="Arial"/>
                <w:b w:val="0"/>
                <w:sz w:val="14"/>
              </w:rPr>
              <w:t>Directorio /respaldos/ accesible.</w:t>
            </w:r>
          </w:p>
        </w:tc>
        <w:tc>
          <w:tcPr>
            <w:tcW w:type="dxa" w:w="1800"/>
            <w:vAlign w:val="center"/>
            <w:shd w:fill="F7FBFE"/>
          </w:tcPr>
          <w:p>
            <w:pPr>
              <w:spacing w:after="20"/>
            </w:pPr>
            <w:r/>
            <w:r>
              <w:rPr>
                <w:rFonts w:ascii="Arial" w:hAnsi="Arial"/>
                <w:b w:val="0"/>
                <w:sz w:val="14"/>
              </w:rPr>
              <w:t>Respaldos fuera del web server, cifrados y con acceso restringido.</w:t>
            </w:r>
          </w:p>
        </w:tc>
      </w:tr>
      <w:tr>
        <w:tc>
          <w:tcPr>
            <w:tcW w:type="dxa" w:w="504"/>
            <w:vAlign w:val="center"/>
          </w:tcPr>
          <w:p>
            <w:pPr>
              <w:spacing w:after="20"/>
            </w:pPr>
            <w:r/>
            <w:r>
              <w:rPr>
                <w:rFonts w:ascii="Arial" w:hAnsi="Arial"/>
                <w:b w:val="0"/>
                <w:sz w:val="14"/>
              </w:rPr>
              <w:t>R3</w:t>
            </w:r>
          </w:p>
        </w:tc>
        <w:tc>
          <w:tcPr>
            <w:tcW w:type="dxa" w:w="1728"/>
            <w:vAlign w:val="center"/>
          </w:tcPr>
          <w:p>
            <w:pPr>
              <w:spacing w:after="20"/>
            </w:pPr>
            <w:r/>
            <w:r>
              <w:rPr>
                <w:rFonts w:ascii="Arial" w:hAnsi="Arial"/>
                <w:b w:val="0"/>
                <w:sz w:val="14"/>
              </w:rPr>
              <w:t>Acceso indebido a resultados de laboratorio.</w:t>
            </w:r>
          </w:p>
        </w:tc>
        <w:tc>
          <w:tcPr>
            <w:tcW w:type="dxa" w:w="2880"/>
            <w:vAlign w:val="center"/>
          </w:tcPr>
          <w:p>
            <w:pPr>
              <w:spacing w:after="20"/>
            </w:pPr>
            <w:r/>
            <w:r>
              <w:rPr>
                <w:rFonts w:ascii="Arial" w:hAnsi="Arial"/>
                <w:b w:val="0"/>
                <w:sz w:val="14"/>
              </w:rPr>
              <w:t>Incidente del 08/09/2026; E6 reveló acceso por DNI y clave predecible.</w:t>
            </w:r>
          </w:p>
        </w:tc>
        <w:tc>
          <w:tcPr>
            <w:tcW w:type="dxa" w:w="1944"/>
            <w:vAlign w:val="center"/>
          </w:tcPr>
          <w:p>
            <w:pPr>
              <w:spacing w:after="20"/>
            </w:pPr>
            <w:r/>
            <w:r>
              <w:rPr>
                <w:rFonts w:ascii="Arial" w:hAnsi="Arial"/>
                <w:b w:val="0"/>
                <w:sz w:val="14"/>
              </w:rPr>
              <w:t>Vulneración de confidencialidad de datos de salud.</w:t>
            </w:r>
          </w:p>
        </w:tc>
        <w:tc>
          <w:tcPr>
            <w:tcW w:type="dxa" w:w="792"/>
            <w:vAlign w:val="center"/>
          </w:tcPr>
          <w:p>
            <w:pPr>
              <w:spacing w:after="20"/>
            </w:pPr>
            <w:r/>
            <w:r>
              <w:rPr>
                <w:rFonts w:ascii="Arial" w:hAnsi="Arial"/>
                <w:b w:val="0"/>
                <w:sz w:val="14"/>
              </w:rPr>
              <w:t>Alto</w:t>
            </w:r>
          </w:p>
        </w:tc>
        <w:tc>
          <w:tcPr>
            <w:tcW w:type="dxa" w:w="1656"/>
            <w:vAlign w:val="center"/>
          </w:tcPr>
          <w:p>
            <w:pPr>
              <w:spacing w:after="20"/>
            </w:pPr>
            <w:r/>
            <w:r>
              <w:rPr>
                <w:rFonts w:ascii="Arial" w:hAnsi="Arial"/>
                <w:b w:val="0"/>
                <w:sz w:val="14"/>
              </w:rPr>
              <w:t>Formulario de acceso sin evidencia de controles robustos.</w:t>
            </w:r>
          </w:p>
        </w:tc>
        <w:tc>
          <w:tcPr>
            <w:tcW w:type="dxa" w:w="1800"/>
            <w:vAlign w:val="center"/>
          </w:tcPr>
          <w:p>
            <w:pPr>
              <w:spacing w:after="20"/>
            </w:pPr>
            <w:r/>
            <w:r>
              <w:rPr>
                <w:rFonts w:ascii="Arial" w:hAnsi="Arial"/>
                <w:b w:val="0"/>
                <w:sz w:val="14"/>
              </w:rPr>
              <w:t>Autenticación fuerte, autorización por paciente, trazabilidad y alertas.</w:t>
            </w:r>
          </w:p>
        </w:tc>
      </w:tr>
      <w:tr>
        <w:tc>
          <w:tcPr>
            <w:tcW w:type="dxa" w:w="504"/>
            <w:vAlign w:val="center"/>
            <w:shd w:fill="F7FBFE"/>
          </w:tcPr>
          <w:p>
            <w:pPr>
              <w:spacing w:after="20"/>
            </w:pPr>
            <w:r/>
            <w:r>
              <w:rPr>
                <w:rFonts w:ascii="Arial" w:hAnsi="Arial"/>
                <w:b w:val="0"/>
                <w:sz w:val="14"/>
              </w:rPr>
              <w:t>R4</w:t>
            </w:r>
          </w:p>
        </w:tc>
        <w:tc>
          <w:tcPr>
            <w:tcW w:type="dxa" w:w="1728"/>
            <w:vAlign w:val="center"/>
            <w:shd w:fill="F7FBFE"/>
          </w:tcPr>
          <w:p>
            <w:pPr>
              <w:spacing w:after="20"/>
            </w:pPr>
            <w:r/>
            <w:r>
              <w:rPr>
                <w:rFonts w:ascii="Arial" w:hAnsi="Arial"/>
                <w:b w:val="0"/>
                <w:sz w:val="14"/>
              </w:rPr>
              <w:t>Exposición de información en tránsito y sesión.</w:t>
            </w:r>
          </w:p>
        </w:tc>
        <w:tc>
          <w:tcPr>
            <w:tcW w:type="dxa" w:w="2880"/>
            <w:vAlign w:val="center"/>
            <w:shd w:fill="F7FBFE"/>
          </w:tcPr>
          <w:p>
            <w:pPr>
              <w:spacing w:after="20"/>
            </w:pPr>
            <w:r/>
            <w:r>
              <w:rPr>
                <w:rFonts w:ascii="Arial" w:hAnsi="Arial"/>
                <w:b w:val="0"/>
                <w:sz w:val="14"/>
              </w:rPr>
              <w:t>E8 mostró HTTP y PHPSESSID sin Secure, HttpOnly ni SameSite.</w:t>
            </w:r>
          </w:p>
        </w:tc>
        <w:tc>
          <w:tcPr>
            <w:tcW w:type="dxa" w:w="1944"/>
            <w:vAlign w:val="center"/>
            <w:shd w:fill="F7FBFE"/>
          </w:tcPr>
          <w:p>
            <w:pPr>
              <w:spacing w:after="20"/>
            </w:pPr>
            <w:r/>
            <w:r>
              <w:rPr>
                <w:rFonts w:ascii="Arial" w:hAnsi="Arial"/>
                <w:b w:val="0"/>
                <w:sz w:val="14"/>
              </w:rPr>
              <w:t>Intercepción de datos y secuestro de sesión.</w:t>
            </w:r>
          </w:p>
        </w:tc>
        <w:tc>
          <w:tcPr>
            <w:tcW w:type="dxa" w:w="792"/>
            <w:vAlign w:val="center"/>
            <w:shd w:fill="F7FBFE"/>
          </w:tcPr>
          <w:p>
            <w:pPr>
              <w:spacing w:after="20"/>
            </w:pPr>
            <w:r/>
            <w:r>
              <w:rPr>
                <w:rFonts w:ascii="Arial" w:hAnsi="Arial"/>
                <w:b w:val="0"/>
                <w:sz w:val="14"/>
              </w:rPr>
              <w:t>Alto</w:t>
            </w:r>
          </w:p>
        </w:tc>
        <w:tc>
          <w:tcPr>
            <w:tcW w:type="dxa" w:w="1656"/>
            <w:vAlign w:val="center"/>
            <w:shd w:fill="F7FBFE"/>
          </w:tcPr>
          <w:p>
            <w:pPr>
              <w:spacing w:after="20"/>
            </w:pPr>
            <w:r/>
            <w:r>
              <w:rPr>
                <w:rFonts w:ascii="Arial" w:hAnsi="Arial"/>
                <w:b w:val="0"/>
                <w:sz w:val="14"/>
              </w:rPr>
              <w:t>Cookie de sesión sin atributos de protección.</w:t>
            </w:r>
          </w:p>
        </w:tc>
        <w:tc>
          <w:tcPr>
            <w:tcW w:type="dxa" w:w="1800"/>
            <w:vAlign w:val="center"/>
            <w:shd w:fill="F7FBFE"/>
          </w:tcPr>
          <w:p>
            <w:pPr>
              <w:spacing w:after="20"/>
            </w:pPr>
            <w:r/>
            <w:r>
              <w:rPr>
                <w:rFonts w:ascii="Arial" w:hAnsi="Arial"/>
                <w:b w:val="0"/>
                <w:sz w:val="14"/>
              </w:rPr>
              <w:t>HTTPS obligatorio, HSTS y cookies seguras.</w:t>
            </w:r>
          </w:p>
        </w:tc>
      </w:tr>
      <w:tr>
        <w:tc>
          <w:tcPr>
            <w:tcW w:type="dxa" w:w="504"/>
            <w:vAlign w:val="center"/>
          </w:tcPr>
          <w:p>
            <w:pPr>
              <w:spacing w:after="20"/>
            </w:pPr>
            <w:r/>
            <w:r>
              <w:rPr>
                <w:rFonts w:ascii="Arial" w:hAnsi="Arial"/>
                <w:b w:val="0"/>
                <w:sz w:val="14"/>
              </w:rPr>
              <w:t>R5</w:t>
            </w:r>
          </w:p>
        </w:tc>
        <w:tc>
          <w:tcPr>
            <w:tcW w:type="dxa" w:w="1728"/>
            <w:vAlign w:val="center"/>
          </w:tcPr>
          <w:p>
            <w:pPr>
              <w:spacing w:after="20"/>
            </w:pPr>
            <w:r/>
            <w:r>
              <w:rPr>
                <w:rFonts w:ascii="Arial" w:hAnsi="Arial"/>
                <w:b w:val="0"/>
                <w:sz w:val="14"/>
              </w:rPr>
              <w:t>Explotación de componentes e información interna.</w:t>
            </w:r>
          </w:p>
        </w:tc>
        <w:tc>
          <w:tcPr>
            <w:tcW w:type="dxa" w:w="2880"/>
            <w:vAlign w:val="center"/>
          </w:tcPr>
          <w:p>
            <w:pPr>
              <w:spacing w:after="20"/>
            </w:pPr>
            <w:r/>
            <w:r>
              <w:rPr>
                <w:rFonts w:ascii="Arial" w:hAnsi="Arial"/>
                <w:b w:val="0"/>
                <w:sz w:val="14"/>
              </w:rPr>
              <w:t>E2, E4 y E5 revelaron versiones antiguas, usuario de pruebas e IP interna.</w:t>
            </w:r>
          </w:p>
        </w:tc>
        <w:tc>
          <w:tcPr>
            <w:tcW w:type="dxa" w:w="1944"/>
            <w:vAlign w:val="center"/>
          </w:tcPr>
          <w:p>
            <w:pPr>
              <w:spacing w:after="20"/>
            </w:pPr>
            <w:r/>
            <w:r>
              <w:rPr>
                <w:rFonts w:ascii="Arial" w:hAnsi="Arial"/>
                <w:b w:val="0"/>
                <w:sz w:val="14"/>
              </w:rPr>
              <w:t>Compromiso del portal y movimientos hacia activos internos.</w:t>
            </w:r>
          </w:p>
        </w:tc>
        <w:tc>
          <w:tcPr>
            <w:tcW w:type="dxa" w:w="792"/>
            <w:vAlign w:val="center"/>
          </w:tcPr>
          <w:p>
            <w:pPr>
              <w:spacing w:after="20"/>
            </w:pPr>
            <w:r/>
            <w:r>
              <w:rPr>
                <w:rFonts w:ascii="Arial" w:hAnsi="Arial"/>
                <w:b w:val="0"/>
                <w:sz w:val="14"/>
              </w:rPr>
              <w:t>Alto</w:t>
            </w:r>
          </w:p>
        </w:tc>
        <w:tc>
          <w:tcPr>
            <w:tcW w:type="dxa" w:w="1656"/>
            <w:vAlign w:val="center"/>
          </w:tcPr>
          <w:p>
            <w:pPr>
              <w:spacing w:after="20"/>
            </w:pPr>
            <w:r/>
            <w:r>
              <w:rPr>
                <w:rFonts w:ascii="Arial" w:hAnsi="Arial"/>
                <w:b w:val="0"/>
                <w:sz w:val="14"/>
              </w:rPr>
              <w:t>Actualización declarada no sustentada.</w:t>
            </w:r>
          </w:p>
        </w:tc>
        <w:tc>
          <w:tcPr>
            <w:tcW w:type="dxa" w:w="1800"/>
            <w:vAlign w:val="center"/>
          </w:tcPr>
          <w:p>
            <w:pPr>
              <w:spacing w:after="20"/>
            </w:pPr>
            <w:r/>
            <w:r>
              <w:rPr>
                <w:rFonts w:ascii="Arial" w:hAnsi="Arial"/>
                <w:b w:val="0"/>
                <w:sz w:val="14"/>
              </w:rPr>
              <w:t>Gestión de vulnerabilidades, actualización periódica y eliminación de divulgación técnica.</w:t>
            </w:r>
          </w:p>
        </w:tc>
      </w:tr>
    </w:tbl>
    <w:p/>
    <w:p>
      <w:r>
        <w:t>Elaborado por: [COMPLETAR APELLIDOS Y NOMBRES]    Fecha: 28/10/2026</w:t>
      </w:r>
    </w:p>
    <w:sectPr w:rsidR="00FC693F" w:rsidRPr="0006063C" w:rsidSect="00034616">
      <w:pgSz w:w="12240" w:h="15840"/>
      <w:pgMar w:top="1080"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