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Proyecto LOST — Learning en Mountain Car Continuous</w:t>
      </w:r>
    </w:p>
    <w:p>
      <w:pPr>
        <w:spacing w:after="200"/>
        <w:jc w:val="center"/>
      </w:pPr>
      <w:r>
        <w:rPr>
          <w:color w:val="777777"/>
          <w:sz w:val="20"/>
          <w:szCs w:val="20"/>
        </w:rPr>
        <w:t xml:space="preserve">Integrantes: [completar]   ·   Fecha: [completar]</w:t>
      </w:r>
    </w:p>
    <w:p>
      <w:pPr>
        <w:spacing w:after="120" w:line="276"/>
      </w:pPr>
      <w:r>
        <w:t xml:space="preserve">Este trabajo aborda el problema “Mountain Car Continuous” provisto por Gymnasium mediante Q-Learning. Un eje central del informe es cómo fuimos cambiando la forma de medir los resultados. Partimos de una exploración que solo observaba el resultado final de cada configuración, la corregimos hacia una evaluación iterativa basada en curvas de aprendizaje, y finalmente la validamos entrenando con múltiples semillas aleatorias. Mostramos las tres etapas porque cada una expuso una limitación de la anterior y motivó la siguiente, lo que refleja el razonamiento metodológico tanto como los resultados numéricos.</w:t>
      </w:r>
    </w:p>
    <w:p>
      <w:pPr>
        <w:spacing w:after="60" w:before="80"/>
        <w:jc w:val="center"/>
      </w:pPr>
      <w:r>
        <w:rPr>
          <w:b/>
          <w:bCs/>
          <w:color w:val="1F4E79"/>
        </w:rPr>
        <w:t xml:space="preserve">[insertar gráfica "mountain_car.png"]</w:t>
      </w:r>
    </w:p>
    <w:p>
      <w:pPr>
        <w:spacing w:after="140"/>
        <w:jc w:val="center"/>
      </w:pPr>
      <w:r>
        <w:rPr>
          <w:i/>
          <w:iCs/>
          <w:color w:val="555555"/>
          <w:sz w:val="20"/>
          <w:szCs w:val="20"/>
        </w:rPr>
        <w:t xml:space="preserve">Figura 1.1: Mountain Car Continuous</w:t>
      </w:r>
    </w:p>
    <w:p>
      <w:pPr>
        <w:spacing w:after="120" w:line="276"/>
      </w:pPr>
      <w:r>
        <w:t xml:space="preserve">El problema consiste en un auto situado en un valle que debe alcanzar una bandera en la cima de una de las colinas. El motor no tiene fuerza suficiente para subir directamente; el agente debe aprender que para tener suficiente velocidad para superar la colina debe alejarse de la meta y balancearse.</w:t>
      </w:r>
    </w:p>
    <w:p>
      <w:pPr>
        <w:pStyle w:val="Heading1"/>
      </w:pPr>
      <w:r>
        <w:t xml:space="preserve">Algoritmo</w:t>
      </w:r>
    </w:p>
    <w:p>
      <w:pPr>
        <w:spacing w:after="120" w:line="276"/>
      </w:pPr>
      <w:r>
        <w:t xml:space="preserve">Q-Learning es un algoritmo de aprendizaje por refuerzo que aprende, para cada estado, qué tan buena es cada acción posible. Esa información se guarda en una tabla Q: una entrada Q(s, a) por cada combinación de estado s y acción a, que estima la recompensa total esperada si se toma la acción a en el estado s y a partir de ahí se sigue actuando de la mejor manera.</w:t>
      </w:r>
    </w:p>
    <w:p>
      <w:pPr>
        <w:spacing w:after="120" w:line="276"/>
      </w:pPr>
      <w:r>
        <w:t xml:space="preserve">El agente aprende por prueba y error a lo largo de episodios. En cada paso elige una acción, el entorno le devuelve el siguiente estado y una recompensa, y con eso actualiza la tabla con la regla:</w:t>
      </w:r>
    </w:p>
    <w:p>
      <w:pPr>
        <w:spacing w:after="120"/>
        <w:jc w:val="center"/>
      </w:pPr>
      <w:r>
        <w:rPr>
          <w:i/>
          <w:iCs/>
        </w:rPr>
        <w:t xml:space="preserve">Q(s, a) ← Q(s, a) + α · [ r + γ · maxₐ′ Q(s′, a′) − Q(s, a) ]</w:t>
      </w:r>
    </w:p>
    <w:p>
      <w:pPr>
        <w:spacing w:after="120" w:line="276"/>
      </w:pPr>
      <w:r>
        <w:t xml:space="preserve">donde </w:t>
      </w:r>
      <w:r>
        <w:rPr>
          <w:i/>
          <w:iCs/>
        </w:rPr>
        <w:t xml:space="preserve">α</w:t>
      </w:r>
      <w:r>
        <w:t xml:space="preserve"> (tasa de aprendizaje) controla cuánto se corrige en cada paso y </w:t>
      </w:r>
      <w:r>
        <w:rPr>
          <w:i/>
          <w:iCs/>
        </w:rPr>
        <w:t xml:space="preserve">γ</w:t>
      </w:r>
      <w:r>
        <w:t xml:space="preserve"> (factor de descuento) cuánto pesan las recompensas futuras frente a las inmediatas. El término entre corchetes es el “error”: la diferencia entre lo que el agente esperaba y lo que efectivamente obtuvo. En este entorno la recompensa penaliza la magnitud de la acción en cada paso (proporcional a la acción al cuadrado) y otorga +100 al llegar a la meta.</w:t>
      </w:r>
    </w:p>
    <w:p>
      <w:pPr>
        <w:spacing w:after="120" w:line="276"/>
      </w:pPr>
      <w:r>
        <w:t xml:space="preserve">Para elegir las acciones durante el entrenamiento usamos una política ε-greedy: con probabilidad ε el agente toma una acción al azar (explora) y con probabilidad 1−ε la de mayor valor Q (explota). La exploración es necesaria para descubrir buenas acciones que todavía no conoce. En la evaluación, en cambio, siempre elige la mejor acción según la tabla (greedy, sin explorar), porque ahí lo que queremos medir es lo que realmente aprendió.</w:t>
      </w:r>
    </w:p>
    <w:p>
      <w:pPr>
        <w:spacing w:after="120" w:line="276"/>
      </w:pPr>
      <w:r>
        <w:t xml:space="preserve">Partimos del pseudocódigo visto en clase (la versión 2D del práctico) y lo adaptamos a Mountain Car, siguiendo la documentación de Gymnasium para saber cuándo se considera terminado un episodio: cuando el auto llega a la meta o cuando se agota el límite de pasos.</w:t>
      </w:r>
    </w:p>
    <w:p>
      <w:pPr>
        <w:pStyle w:val="Heading1"/>
      </w:pPr>
      <w:r>
        <w:t xml:space="preserve">Discretización</w:t>
      </w:r>
    </w:p>
    <w:p>
      <w:pPr>
        <w:spacing w:after="120" w:line="276"/>
      </w:pPr>
      <w:r>
        <w:t xml:space="preserve">Q-Learning requiere un espacio de estados discreto, por lo que el primer paso fue discretizar las dimensiones continuas en intervalos (bins). Cada par de bins de posición y velocidad es un estado, obtenidos con np.digitize. Y las acciones sobre el mismo pasan a ser un conjunto discreto (por ejemplo [-1, 0, 1]). La tabla Q tiene dimensión:</w:t>
      </w:r>
    </w:p>
    <w:p>
      <w:pPr>
        <w:spacing w:after="120"/>
        <w:jc w:val="center"/>
      </w:pPr>
      <w:r>
        <w:rPr>
          <w:i/>
          <w:iCs/>
        </w:rPr>
        <w:t xml:space="preserve">dimensión = n_posiciones × n_velocidades × n_acciones</w:t>
      </w:r>
    </w:p>
    <w:p>
      <w:pPr>
        <w:spacing w:after="120" w:line="276"/>
      </w:pPr>
      <w:r>
        <w:t xml:space="preserve">Probamos varias formas de dividir en bins, que se comparan más adelante:</w:t>
      </w:r>
    </w:p>
    <w:p>
      <w:pPr>
        <w:pStyle w:val="ListParagraph"/>
        <w:numPr>
          <w:ilvl w:val="0"/>
          <w:numId w:val="2"/>
        </w:numPr>
        <w:spacing w:after="60"/>
      </w:pPr>
      <w:r>
        <w:rPr>
          <w:b/>
          <w:bCs/>
        </w:rPr>
        <w:t xml:space="preserve">Uniformemente: </w:t>
      </w:r>
      <w:r>
        <w:t xml:space="preserve">variando bins de posición, de velocidad y de ambas a la vez.</w:t>
      </w:r>
    </w:p>
    <w:p>
      <w:pPr>
        <w:pStyle w:val="ListParagraph"/>
        <w:numPr>
          <w:ilvl w:val="0"/>
          <w:numId w:val="2"/>
        </w:numPr>
        <w:spacing w:after="60"/>
      </w:pPr>
      <w:r>
        <w:rPr>
          <w:b/>
          <w:bCs/>
        </w:rPr>
        <w:t xml:space="preserve">No uniformemente: </w:t>
      </w:r>
      <w:r>
        <w:t xml:space="preserve">en velocidad (concentrada en v ≈ 0) y en posición (concentrada cerca de la meta), con distintos tamaños.</w:t>
      </w:r>
    </w:p>
    <w:p>
      <w:pPr>
        <w:pStyle w:val="Heading1"/>
      </w:pPr>
      <w:r>
        <w:t xml:space="preserve">Evolución del proceso</w:t>
      </w:r>
    </w:p>
    <w:p>
      <w:pPr>
        <w:spacing w:after="120" w:line="276"/>
      </w:pPr>
      <w:r>
        <w:t xml:space="preserve">Inicialmente se exploraron numerosas combinaciones de bins, acciones e hiperparámetros entrenando cada configuración completa (hasta 10.000 episodios) y evaluándola una vez al final, registrando la recompensa promedio de unos pocos episodios de test. Si mejoraba respecto a la anterior, conservamos el cambio y si no lo descartamos. La experimentación de la fase 1 puede verse en el Anexo (Figura A1.1).</w:t>
      </w:r>
    </w:p>
    <w:p>
      <w:pPr>
        <w:spacing w:after="120" w:line="276"/>
      </w:pPr>
      <w:r>
        <w:t xml:space="preserve">El problema es que un único número final no dice cuándo ni cómo aprendió el agente, ni si el resultado es estable. Con un solo valor no podemos distinguir si la configuración ya había convergido, si se estancó en un mal punto, o si justo estaba empezando a despegar y le faltaban episodios. Dos configuraciones con el mismo promedio final pueden haber recorrido caminos completamente distintos.</w:t>
      </w:r>
    </w:p>
    <w:p>
      <w:pPr>
        <w:spacing w:after="60" w:before="80"/>
        <w:jc w:val="center"/>
      </w:pPr>
      <w:r>
        <w:rPr>
          <w:b/>
          <w:bCs/>
          <w:color w:val="1F4E79"/>
        </w:rPr>
        <w:t xml:space="preserve">[insertar gráfica "base_posU20_velNU_3acc_reporte.png"]</w:t>
      </w:r>
    </w:p>
    <w:p>
      <w:pPr>
        <w:spacing w:after="140"/>
        <w:jc w:val="center"/>
      </w:pPr>
      <w:r>
        <w:rPr>
          <w:i/>
          <w:iCs/>
          <w:color w:val="555555"/>
          <w:sz w:val="20"/>
          <w:szCs w:val="20"/>
        </w:rPr>
        <w:t xml:space="preserve">Figura 1.2: Ejemplo de curva de aprendizaje</w:t>
      </w:r>
    </w:p>
    <w:p>
      <w:pPr>
        <w:spacing w:after="120" w:line="276"/>
      </w:pPr>
      <w:r>
        <w:t xml:space="preserve">Para resolver esto, en vez de entrenar todo y testear al final, intercalamos entrenamiento y evaluación. Entrenamos un bloque de 1.000 episodios, testeamos 100, guardamos los resultados, y volvemos a entrenar (10 ciclos = 10.000 episodios). La tabla Q se guarda en cada checkpoint, lo que permite reanudar el entrenamiento. Así, en lugar de un número, obtenemos una curva de aprendizaje que muestra la evolución del agente. En cada checkpoint guardamos, además del promedio, la variabilidad (desvío, mínimo y máximo) y la tasa de éxito. En la Figura 1.2 se puede ver un ejemplo de curva de aprendizaje para una configuración.</w:t>
      </w:r>
    </w:p>
    <w:p>
      <w:pPr>
        <w:spacing w:after="120" w:line="276"/>
      </w:pPr>
      <w:r>
        <w:t xml:space="preserve">Después detectamos una segunda debilidad. Una única corrida es engañosa porque el resultado depende de la semilla aleatoria. Decidimos repetir el entrenamiento con 3 semillas y graficamos la banda entre ellas. Esto nos permitió estar más seguros de nuestras conclusiones.</w:t>
      </w:r>
    </w:p>
    <w:p>
      <w:pPr>
        <w:pStyle w:val="Heading1"/>
      </w:pPr>
      <w:r>
        <w:t xml:space="preserve">Exploración</w:t>
      </w:r>
    </w:p>
    <w:p>
      <w:pPr>
        <w:spacing w:after="120" w:line="276"/>
      </w:pPr>
      <w:r>
        <w:t xml:space="preserve">Partimos de la mejor configuración encontrada en la Fase 1 —posición uniforme de 20 bins, velocidad no uniforme (~20 bins), 3 acciones [-1, 0, 1], α = 0,1, γ = 0,999 y ε = 0,9 fijo—, a la que llamamos base. En la Fase 1 ya habíamos comparado de forma más amplia los valores de cada parámetro, pero mirando solo el número final; acá volvemos a comparar cada decisión, variando un factor por vez y dejando el resto en los valores de la base, de modo que cualquier diferencia en las curvas se debe únicamente a ese factor. En todas las figuras la curva azul es la base, que sirve de referencia común, y se usa la banda entre semillas.</w:t>
      </w:r>
    </w:p>
    <w:p>
      <w:pPr>
        <w:pStyle w:val="Heading2"/>
      </w:pPr>
      <w:r>
        <w:t xml:space="preserve">Discretización de posición</w:t>
      </w:r>
    </w:p>
    <w:p>
      <w:pPr>
        <w:spacing w:after="60" w:before="80"/>
        <w:jc w:val="center"/>
      </w:pPr>
      <w:r>
        <w:rPr>
          <w:b/>
          <w:bCs/>
          <w:color w:val="1F4E79"/>
        </w:rPr>
        <w:t xml:space="preserve">[insertar gráfica "grupo_posicion_bins.png"]</w:t>
      </w:r>
    </w:p>
    <w:p>
      <w:pPr>
        <w:spacing w:after="140"/>
        <w:jc w:val="center"/>
      </w:pPr>
      <w:r>
        <w:rPr>
          <w:i/>
          <w:iCs/>
          <w:color w:val="555555"/>
          <w:sz w:val="20"/>
          <w:szCs w:val="20"/>
        </w:rPr>
        <w:t xml:space="preserve">Comparación de 10, 20, 30 y 100 bins de posición (banda entre semillas).</w:t>
      </w:r>
    </w:p>
    <w:p>
      <w:pPr>
        <w:spacing w:after="120" w:line="276"/>
      </w:pPr>
      <w:r>
        <w:t xml:space="preserve">Probamos 10, 20, 30 y 100 bins. Con 10 el agente pierde resolución (estados muy distintos caen en el mismo casillero): la política se vuelve gruesa y la curva es inestable, con bandas anchas y caídas. Con 20 y 30 aprende rápido (~2.000 episodios) y de forma estable. Con 100 aprende mucho más tarde (~7.000 episodios), porque la tabla es más grande y necesita más visitas para llenarse, aunque después es muy estable. Es interesante que este 100 sí aprende, a diferencia del 100×100×10 de la Fase 1 que no lo hacía: lo que frena el aprendizaje no es un eje suelto sino el tamaño total de la tabla.</w:t>
      </w:r>
    </w:p>
    <w:p>
      <w:pPr>
        <w:pStyle w:val="Heading2"/>
      </w:pPr>
      <w:r>
        <w:t xml:space="preserve">Discretización de velocidad</w:t>
      </w:r>
    </w:p>
    <w:p>
      <w:pPr>
        <w:spacing w:after="60" w:before="80"/>
        <w:jc w:val="center"/>
      </w:pPr>
      <w:r>
        <w:rPr>
          <w:b/>
          <w:bCs/>
          <w:color w:val="1F4E79"/>
        </w:rPr>
        <w:t xml:space="preserve">[insertar gráfica "grupo_velocidad_disc.png"]</w:t>
      </w:r>
    </w:p>
    <w:p>
      <w:pPr>
        <w:spacing w:after="140"/>
        <w:jc w:val="center"/>
      </w:pPr>
      <w:r>
        <w:rPr>
          <w:i/>
          <w:iCs/>
          <w:color w:val="555555"/>
          <w:sz w:val="20"/>
          <w:szCs w:val="20"/>
        </w:rPr>
        <w:t xml:space="preserve">Velocidad uniforme vs no uniforme (banda entre semillas).</w:t>
      </w:r>
    </w:p>
    <w:p>
      <w:pPr>
        <w:spacing w:after="120" w:line="276"/>
      </w:pPr>
      <w:r>
        <w:t xml:space="preserve">Comparamos la velocidad uniforme contra la no uniforme (con más bins cerca de v ≈ 0). La no uniforme gana casi todo el recorrido: aprende antes, llega más alto y varía menos. La razón es que concentra resolución justo donde el auto cambia de dirección (v ≈ 0), que es donde la acción a elegir es más sensible, en vez de gastar bins en velocidades extremas donde la decisión casi no cambia.</w:t>
      </w:r>
    </w:p>
    <w:p>
      <w:pPr>
        <w:pStyle w:val="Heading2"/>
      </w:pPr>
      <w:r>
        <w:t xml:space="preserve">Cantidad de acciones discretas</w:t>
      </w:r>
    </w:p>
    <w:p>
      <w:pPr>
        <w:spacing w:after="60" w:before="80"/>
        <w:jc w:val="center"/>
      </w:pPr>
      <w:r>
        <w:rPr>
          <w:b/>
          <w:bCs/>
          <w:color w:val="1F4E79"/>
        </w:rPr>
        <w:t xml:space="preserve">[insertar gráfica "grupo_acciones.png"]</w:t>
      </w:r>
    </w:p>
    <w:p>
      <w:pPr>
        <w:spacing w:after="140"/>
        <w:jc w:val="center"/>
      </w:pPr>
      <w:r>
        <w:rPr>
          <w:i/>
          <w:iCs/>
          <w:color w:val="555555"/>
          <w:sz w:val="20"/>
          <w:szCs w:val="20"/>
        </w:rPr>
        <w:t xml:space="preserve">Comparación de 2, 3 y 5 acciones (banda entre semillas).</w:t>
      </w:r>
    </w:p>
    <w:p>
      <w:pPr>
        <w:spacing w:after="120" w:line="276"/>
      </w:pPr>
      <w:r>
        <w:t xml:space="preserve">Probamos 2, 3 y 5 acciones. Con 2 ([-1, 1], bang-bang) aprende rapidísimo pero, al no poder soltar el acelerador, gasta más energía y su recompensa final queda algo más baja. Con 5 la tabla crece y se vuelve muy inestable, con bandas amplias y caídas. Con 3 ([-1, 0, 1]) conseguimos el mejor equilibrio: la acción 0 permite no empujar y ahorrar energía (recordar que la recompensa penaliza la acción al cuadrado), llegando a una recompensa final más alta sin la inestabilidad de 5.</w:t>
      </w:r>
    </w:p>
    <w:p>
      <w:pPr>
        <w:pStyle w:val="Heading2"/>
      </w:pPr>
      <w:r>
        <w:t xml:space="preserve">Factor de descuento γ</w:t>
      </w:r>
    </w:p>
    <w:p>
      <w:pPr>
        <w:spacing w:after="60" w:before="80"/>
        <w:jc w:val="center"/>
      </w:pPr>
      <w:r>
        <w:rPr>
          <w:b/>
          <w:bCs/>
          <w:color w:val="1F4E79"/>
        </w:rPr>
        <w:t xml:space="preserve">[insertar gráfica "grupo_gamma.png"]</w:t>
      </w:r>
    </w:p>
    <w:p>
      <w:pPr>
        <w:spacing w:after="140"/>
        <w:jc w:val="center"/>
      </w:pPr>
      <w:r>
        <w:rPr>
          <w:i/>
          <w:iCs/>
          <w:color w:val="555555"/>
          <w:sz w:val="20"/>
          <w:szCs w:val="20"/>
        </w:rPr>
        <w:t xml:space="preserve">Factor de descuento 0,9 vs 0,999 (banda entre semillas).</w:t>
      </w:r>
    </w:p>
    <w:p>
      <w:pPr>
        <w:spacing w:after="120" w:line="276"/>
      </w:pPr>
      <w:r>
        <w:t xml:space="preserve">Es la decisión más drástica. Con γ = 0,9 la curva queda plana en 0 y 0 % de éxito durante los 10.000 episodios; con γ = 0,999 sube a ~93. Pasa porque la recompensa está muy lejos: con γ = 0,9 el +100 de la meta, visto desde el inicio (a ~150 pasos), vale 0,9¹⁵⁰ ≈ 0, así que el agente ni lo “ve”. Con γ = 0,999 ese premio todavía vale (0,999¹⁵⁰ ≈ 0,86) y sí aprende. En problemas de recompensa diferida como este, γ tiene que ser cercano a 1.</w:t>
      </w:r>
    </w:p>
    <w:p>
      <w:pPr>
        <w:pStyle w:val="Heading2"/>
      </w:pPr>
      <w:r>
        <w:t xml:space="preserve">Tasa de aprendizaje α</w:t>
      </w:r>
    </w:p>
    <w:p>
      <w:pPr>
        <w:spacing w:after="60" w:before="80"/>
        <w:jc w:val="center"/>
      </w:pPr>
      <w:r>
        <w:rPr>
          <w:b/>
          <w:bCs/>
          <w:color w:val="1F4E79"/>
        </w:rPr>
        <w:t xml:space="preserve">[insertar gráfica "grupo_alpha.png"]</w:t>
      </w:r>
    </w:p>
    <w:p>
      <w:pPr>
        <w:spacing w:after="140"/>
        <w:jc w:val="center"/>
      </w:pPr>
      <w:r>
        <w:rPr>
          <w:i/>
          <w:iCs/>
          <w:color w:val="555555"/>
          <w:sz w:val="20"/>
          <w:szCs w:val="20"/>
        </w:rPr>
        <w:t xml:space="preserve">Tasa de aprendizaje 0,05, 0,1 y 0,2 (banda entre semillas).</w:t>
      </w:r>
    </w:p>
    <w:p>
      <w:pPr>
        <w:spacing w:after="120" w:line="276"/>
      </w:pPr>
      <w:r>
        <w:t xml:space="preserve">α decide cuánto se corrige la tabla en cada paso. Con 0,05 aprende lento pero firme; con 0,2 arranca rápido pero oscila y se degrada al final, porque las correcciones grandes hacen que la tabla se “pase de rosca”. El valor 0,1 da el mejor equilibrio entre velocidad y estabilidad.</w:t>
      </w:r>
    </w:p>
    <w:p>
      <w:pPr>
        <w:pStyle w:val="Heading2"/>
      </w:pPr>
      <w:r>
        <w:t xml:space="preserve">Estrategia de exploración ε</w:t>
      </w:r>
    </w:p>
    <w:p>
      <w:pPr>
        <w:spacing w:after="60" w:before="80"/>
        <w:jc w:val="center"/>
      </w:pPr>
      <w:r>
        <w:rPr>
          <w:b/>
          <w:bCs/>
          <w:color w:val="1F4E79"/>
        </w:rPr>
        <w:t xml:space="preserve">[insertar gráfica "grupo_epsilon.png"]</w:t>
      </w:r>
    </w:p>
    <w:p>
      <w:pPr>
        <w:spacing w:after="140"/>
        <w:jc w:val="center"/>
      </w:pPr>
      <w:r>
        <w:rPr>
          <w:i/>
          <w:iCs/>
          <w:color w:val="555555"/>
          <w:sz w:val="20"/>
          <w:szCs w:val="20"/>
        </w:rPr>
        <w:t xml:space="preserve">ε fijo vs ε con decaimiento (banda entre semillas).</w:t>
      </w:r>
    </w:p>
    <w:p>
      <w:pPr>
        <w:spacing w:after="120" w:line="276"/>
      </w:pPr>
      <w:r>
        <w:t xml:space="preserve">Comparamos ε = 0,9 fijo contra ε con decaimiento. Llegan a una recompensa final parecida, pero con decaimiento la recompensa de entrenamiento sube de forma clara: a medida que ε baja, el agente deja de explorar y empieza a aprovechar lo que aprendió (la transición de exploración a explotación). Además tiende a estabilizarse un poco mejor, algo que retomamos al elegir la configuración final.</w:t>
      </w:r>
    </w:p>
    <w:p>
      <w:pPr>
        <w:pStyle w:val="Heading1"/>
      </w:pPr>
      <w:r>
        <w:t xml:space="preserve">Configuración final</w:t>
      </w:r>
    </w:p>
    <w:p>
      <w:pPr>
        <w:spacing w:after="120" w:line="276"/>
      </w:pPr>
      <w:r>
        <w:t xml:space="preserve">Una vez justificada cada decisión por separado, quisimos combinar los dos cambios que dieron más estabilidad (posición 30 + ε con decaimiento) en una sola configuración. El primer intento falló de forma instructiva.</w:t>
      </w:r>
    </w:p>
    <w:p>
      <w:pPr>
        <w:spacing w:after="120" w:line="276"/>
      </w:pPr>
      <w:r>
        <w:rPr>
          <w:b/>
          <w:bCs/>
        </w:rPr>
        <w:t xml:space="preserve">Intento naive — no aprende. </w:t>
      </w:r>
      <w:r>
        <w:t xml:space="preserve">Al juntar 30 bins con el decaimiento rápido (que estaba calibrado para 20 bins) la configuración quedó clavada en 0 y 0 % de éxito en las tres semillas. La tabla más grande de 30 bins necesita más exploración para llenarse, pero ese decaimiento la cortaba antes de que el agente descubriera la meta. Es un ejemplo de que los óptimos de cada parámetro por separado no siempre se combinan: hay una interacción entre el tamaño de la discretización y la exploración.</w:t>
      </w:r>
    </w:p>
    <w:p>
      <w:pPr>
        <w:spacing w:after="60" w:before="80"/>
        <w:jc w:val="center"/>
      </w:pPr>
      <w:r>
        <w:rPr>
          <w:b/>
          <w:bCs/>
          <w:color w:val="1F4E79"/>
        </w:rPr>
        <w:t xml:space="preserve">[insertar gráfica "final_v2_pos30_velNU_3acc_epsdecay_multiseed.png"]</w:t>
      </w:r>
    </w:p>
    <w:p>
      <w:pPr>
        <w:spacing w:after="140"/>
        <w:jc w:val="center"/>
      </w:pPr>
      <w:r>
        <w:rPr>
          <w:i/>
          <w:iCs/>
          <w:color w:val="555555"/>
          <w:sz w:val="20"/>
          <w:szCs w:val="20"/>
        </w:rPr>
        <w:t xml:space="preserve">Configuración final naive: no aprende.</w:t>
      </w:r>
    </w:p>
    <w:p>
      <w:pPr>
        <w:spacing w:after="120" w:line="276"/>
      </w:pPr>
      <w:r>
        <w:rPr>
          <w:b/>
          <w:bCs/>
        </w:rPr>
        <w:t xml:space="preserve">Corrección. </w:t>
      </w:r>
      <w:r>
        <w:t xml:space="preserve">Estiramos el decaimiento (de 0,9995 a 0,9998, con ε mínimo 0,1) para mantener exploración suficiente. La configuración corregida aprende a los ~2.000 episodios y se mantiene estable al 100 % de éxito.</w:t>
      </w:r>
    </w:p>
    <w:p>
      <w:pPr>
        <w:spacing w:after="60" w:before="80"/>
        <w:jc w:val="center"/>
      </w:pPr>
      <w:r>
        <w:rPr>
          <w:b/>
          <w:bCs/>
          <w:color w:val="1F4E79"/>
        </w:rPr>
        <w:t xml:space="preserve">[insertar gráfica "final_v2_pos30_velNU_3acc_epsdecay_slow_multiseed.png"]</w:t>
      </w:r>
    </w:p>
    <w:p>
      <w:pPr>
        <w:spacing w:after="140"/>
        <w:jc w:val="center"/>
      </w:pPr>
      <w:r>
        <w:rPr>
          <w:i/>
          <w:iCs/>
          <w:color w:val="555555"/>
          <w:sz w:val="20"/>
          <w:szCs w:val="20"/>
        </w:rPr>
        <w:t xml:space="preserve">Configuración final corregida (decaimiento lento).</w:t>
      </w:r>
    </w:p>
    <w:p>
      <w:pPr>
        <w:pStyle w:val="Heading1"/>
      </w:pPr>
      <w:r>
        <w:t xml:space="preserve">Validación y desempate</w:t>
      </w:r>
    </w:p>
    <w:p>
      <w:pPr>
        <w:spacing w:after="120" w:line="276"/>
      </w:pPr>
      <w:r>
        <w:t xml:space="preserve">Al entrenar con 3 semillas, las conclusiones por parámetro se mantienen: γ = 0,9 no aprende en ninguna, la velocidad no uniforme le gana a la uniforme, acciones 5 y posición 10 son las más inestables, y α = 0,2 se degrada al final. Pero la multi-semilla también matizó algo: la caída que la base mostraba alrededor de los 7.000 episodios con una sola semilla era en buena parte cosa de esa semilla; promediando tres, la base termina estable.</w:t>
      </w:r>
    </w:p>
    <w:p>
      <w:pPr>
        <w:spacing w:after="120" w:line="276"/>
      </w:pPr>
      <w:r>
        <w:t xml:space="preserve">De hecho, base, posición 30, ε-decay y la final corregida convergen a un rendimiento equivalente (~93, 100 % de éxito): las diferencias que veíamos con una sola corrida estaban dentro del ruido del azar. Para desempatar entrenamos más tiempo (hasta 20.000 episodios) comparando base, la final corregida y posición 100.</w:t>
      </w:r>
    </w:p>
    <w:p>
      <w:pPr>
        <w:spacing w:after="60" w:before="80"/>
        <w:jc w:val="center"/>
      </w:pPr>
      <w:r>
        <w:rPr>
          <w:b/>
          <w:bCs/>
          <w:color w:val="1F4E79"/>
        </w:rPr>
        <w:t xml:space="preserve">[insertar gráfica "duel_extendido.png"]</w:t>
      </w:r>
    </w:p>
    <w:p>
      <w:pPr>
        <w:spacing w:after="140"/>
        <w:jc w:val="center"/>
      </w:pPr>
      <w:r>
        <w:rPr>
          <w:i/>
          <w:iCs/>
          <w:color w:val="555555"/>
          <w:sz w:val="20"/>
          <w:szCs w:val="20"/>
        </w:rPr>
        <w:t xml:space="preserve">Entrenamiento extendido — desempate por estabilidad a largo plazo.</w:t>
      </w:r>
    </w:p>
    <w:p>
      <w:pPr>
        <w:spacing w:after="120" w:line="276"/>
      </w:pPr>
      <w:r>
        <w:t xml:space="preserve">No hay un único ganador, sino un compromiso entre tres cosas: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9"/>
                <w:szCs w:val="19"/>
              </w:rPr>
              <w:t xml:space="preserve">Configuración</w:t>
            </w:r>
          </w:p>
        </w:tc>
        <w:tc>
          <w:tcPr>
            <w:tcW w:type="dxa" w:w="23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9"/>
                <w:szCs w:val="19"/>
              </w:rPr>
              <w:t xml:space="preserve">Velocidad de aprendizaje</w:t>
            </w:r>
          </w:p>
        </w:tc>
        <w:tc>
          <w:tcPr>
            <w:tcW w:type="dxa" w:w="23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9"/>
                <w:szCs w:val="19"/>
              </w:rPr>
              <w:t xml:space="preserve">Estabilidad a largo plazo</w:t>
            </w:r>
          </w:p>
        </w:tc>
        <w:tc>
          <w:tcPr>
            <w:tcW w:type="dxa" w:w="23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9"/>
                <w:szCs w:val="19"/>
              </w:rPr>
              <w:t xml:space="preserve">Costo (tamaño de tabla)</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base (pos 20, ε fijo)</w:t>
            </w:r>
          </w:p>
        </w:tc>
        <w:tc>
          <w:tcPr>
            <w:tcW w:type="dxa" w:w="23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rápida (~2.000)</w:t>
            </w:r>
          </w:p>
        </w:tc>
        <w:tc>
          <w:tcPr>
            <w:tcW w:type="dxa" w:w="23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la peor (caída ancha ~19k)</w:t>
            </w:r>
          </w:p>
        </w:tc>
        <w:tc>
          <w:tcPr>
            <w:tcW w:type="dxa" w:w="23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la más barata (~1.200 estados)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final corregida (pos 30, decay)</w:t>
            </w:r>
          </w:p>
        </w:tc>
        <w:tc>
          <w:tcPr>
            <w:tcW w:type="dxa" w:w="23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rápida (~2.000)</w:t>
            </w:r>
          </w:p>
        </w:tc>
        <w:tc>
          <w:tcPr>
            <w:tcW w:type="dxa" w:w="23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buena</w:t>
            </w:r>
          </w:p>
        </w:tc>
        <w:tc>
          <w:tcPr>
            <w:tcW w:type="dxa" w:w="23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media (~1.800 estados)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pos 100 (ε fijo)</w:t>
            </w:r>
          </w:p>
        </w:tc>
        <w:tc>
          <w:tcPr>
            <w:tcW w:type="dxa" w:w="23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lenta (~7.000)</w:t>
            </w:r>
          </w:p>
        </w:tc>
        <w:tc>
          <w:tcPr>
            <w:tcW w:type="dxa" w:w="23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la mejor (banda muy angosta)</w:t>
            </w:r>
          </w:p>
        </w:tc>
        <w:tc>
          <w:tcPr>
            <w:tcW w:type="dxa" w:w="23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la más cara (~5.800 estados)</w:t>
            </w:r>
          </w:p>
        </w:tc>
      </w:tr>
    </w:tbl>
    <w:p>
      <w:pPr>
        <w:spacing w:after="120" w:line="276"/>
      </w:pPr>
      <w:r>
        <w:rPr>
          <w:b/>
          <w:bCs/>
        </w:rPr>
        <w:t xml:space="preserve">Elegimos como configuración final la corregida (posición 30, velocidad no uniforme, 3 acciones, α = 0,1, γ = 0,999, ε con decaimiento lento). </w:t>
      </w:r>
      <w:r>
        <w:t xml:space="preserve">No por ser la más estable —eso lo logra posición 100, pero pagando 3,5× más episodios para aprender y una tabla 5× más grande— sino por ser el mejor compromiso: aprende rápido, es estable y tiene un costo razonable. Cabe aclarar que con solo 3 semillas las caídas tardías son en parte de una sola semilla, así que el desempate es orientativo, no definitivo.</w:t>
      </w:r>
    </w:p>
    <w:p>
      <w:pPr>
        <w:pStyle w:val="Heading1"/>
      </w:pPr>
      <w:r>
        <w:t xml:space="preserve">Conclusiones</w:t>
      </w:r>
    </w:p>
    <w:p>
      <w:pPr>
        <w:pStyle w:val="ListParagraph"/>
        <w:numPr>
          <w:ilvl w:val="0"/>
          <w:numId w:val="2"/>
        </w:numPr>
        <w:spacing w:after="60"/>
      </w:pPr>
      <w:r>
        <w:t xml:space="preserve">Evaluar mirando solo el número final es engañoso; la evaluación iterativa con curvas muestra cuándo, cómo y con qué estabilidad aprende el agente.</w:t>
      </w:r>
    </w:p>
    <w:p>
      <w:pPr>
        <w:pStyle w:val="ListParagraph"/>
        <w:numPr>
          <w:ilvl w:val="0"/>
          <w:numId w:val="2"/>
        </w:numPr>
        <w:spacing w:after="60"/>
      </w:pPr>
      <w:r>
        <w:t xml:space="preserve">Por ser un problema de recompensa diferida, γ tiene que ser cercano a 1, y la discretización no uniforme de la velocidad ayuda de forma clara.</w:t>
      </w:r>
    </w:p>
    <w:p>
      <w:pPr>
        <w:pStyle w:val="ListParagraph"/>
        <w:numPr>
          <w:ilvl w:val="0"/>
          <w:numId w:val="2"/>
        </w:numPr>
        <w:spacing w:after="60"/>
      </w:pPr>
      <w:r>
        <w:t xml:space="preserve">Los mejores valores de cada parámetro por separado no siempre se combinan: la interacción posición × exploración nos obligó a recalibrar el decaimiento.</w:t>
      </w:r>
    </w:p>
    <w:p>
      <w:pPr>
        <w:pStyle w:val="ListParagraph"/>
        <w:numPr>
          <w:ilvl w:val="0"/>
          <w:numId w:val="2"/>
        </w:numPr>
        <w:spacing w:after="60"/>
      </w:pPr>
      <w:r>
        <w:t xml:space="preserve">Repetir con varias semillas es necesario para no confundir el azar con un efecto real; mostró que varias configuraciones son equivalentes.</w:t>
      </w:r>
    </w:p>
    <w:p>
      <w:pPr>
        <w:pStyle w:val="ListParagraph"/>
        <w:numPr>
          <w:ilvl w:val="0"/>
          <w:numId w:val="2"/>
        </w:numPr>
        <w:spacing w:after="60"/>
      </w:pPr>
      <w:r>
        <w:t xml:space="preserve">No hay una “mejor” configuración absoluta, sino un compromiso entre velocidad de aprendizaje, estabilidad y costo.</w:t>
      </w:r>
    </w:p>
    <w:p>
      <w:pPr>
        <w:pStyle w:val="Heading1"/>
        <w:pageBreakBefore/>
      </w:pPr>
      <w:r>
        <w:t xml:space="preserve">Anexo</w:t>
      </w:r>
    </w:p>
    <w:p>
      <w:pPr>
        <w:spacing w:after="20" w:before="40"/>
      </w:pPr>
      <w:r>
        <w:rPr>
          <w:b/>
          <w:bCs/>
          <w:sz w:val="20"/>
          <w:szCs w:val="20"/>
        </w:rPr>
        <w:t xml:space="preserve">Figura A1.1. Tabla del barrido inicial (Fase 1), evaluación por resultado final.</w:t>
      </w:r>
    </w:p>
    <w:p>
      <w:pPr>
        <w:spacing w:after="60" w:before="80"/>
        <w:jc w:val="center"/>
      </w:pPr>
      <w:r>
        <w:rPr>
          <w:b/>
          <w:bCs/>
          <w:color w:val="1F4E79"/>
        </w:rPr>
        <w:t xml:space="preserve">[insertar gráfica "qlearning_experimentos.xlsx (captura)"]</w:t>
      </w:r>
    </w:p>
    <w:p>
      <w:pPr>
        <w:spacing w:after="20" w:before="40"/>
      </w:pPr>
      <w:r>
        <w:rPr>
          <w:b/>
          <w:bCs/>
          <w:sz w:val="20"/>
          <w:szCs w:val="20"/>
        </w:rPr>
        <w:t xml:space="preserve">Figura A1.2. Reporte multi-semilla de la configuración base.</w:t>
      </w:r>
    </w:p>
    <w:p>
      <w:pPr>
        <w:spacing w:after="60" w:before="80"/>
        <w:jc w:val="center"/>
      </w:pPr>
      <w:r>
        <w:rPr>
          <w:b/>
          <w:bCs/>
          <w:color w:val="1F4E79"/>
        </w:rPr>
        <w:t xml:space="preserve">[insertar gráfica "base_posU20_velNU_3acc_multiseed.png"]</w:t>
      </w:r>
    </w:p>
    <w:p>
      <w:pPr>
        <w:spacing w:after="120" w:line="276"/>
      </w:pPr>
      <w:r>
        <w:rPr>
          <w:i/>
          <w:iCs/>
          <w:sz w:val="20"/>
          <w:szCs w:val="20"/>
        </w:rPr>
        <w:t xml:space="preserve">El reporte multi-semilla de cualquier otra configuración está disponible con el mismo formato &lt;nombre&gt;_multiseed.png en la carpeta de resultados.</w:t>
      </w:r>
    </w:p>
    <w:sectPr>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60" w:before="140"/>
      <w:outlineLvl w:val="1"/>
    </w:pPr>
    <w:rPr>
      <w:rFonts w:ascii="Arial" w:cs="Arial" w:eastAsia="Arial" w:hAnsi="Arial"/>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2026-06-11T22:48:10.955Z</dcterms:created>
  <dcterms:modified xsi:type="dcterms:W3CDTF">2026-06-11T22:48:10.955Z</dcterms:modified>
</cp:coreProperties>
</file>

<file path=docProps/custom.xml><?xml version="1.0" encoding="utf-8"?>
<Properties xmlns="http://schemas.openxmlformats.org/officeDocument/2006/custom-properties" xmlns:vt="http://schemas.openxmlformats.org/officeDocument/2006/docPropsVTypes"/>
</file>