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Access Control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Chief Information Security Officer (CISO)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This Access Control Policy establishes requirements for managing access to Guatemaltek's information systems and data to ensure only authorized individuals can access resources appropriate to their role and responsibilities.</w:t>
      </w:r>
    </w:p>
    <w:p>
      <w:pPr>
        <w:pStyle w:val="Heading1"/>
      </w:pPr>
      <w:r>
        <w:t>Scope</w:t>
      </w:r>
    </w:p>
    <w:p>
      <w:pPr/>
      <w:r>
        <w:t>Applies to all Guatemaltek employees, contractors, and third parties requiring access to information systems, applications, networks, and data.</w:t>
      </w:r>
    </w:p>
    <w:p>
      <w:pPr>
        <w:pStyle w:val="Heading1"/>
      </w:pPr>
      <w:r>
        <w:t>Policy</w:t>
      </w:r>
    </w:p>
    <w:p>
      <w:pPr>
        <w:pStyle w:val="Heading2"/>
      </w:pPr>
      <w:r>
        <w:t>User Account Management</w:t>
      </w:r>
    </w:p>
    <w:p>
      <w:pPr>
        <w:pStyle w:val="ListNumber"/>
        <w:ind w:left="360"/>
      </w:pPr>
      <w:r>
        <w:t>Unique Accounts: Each user must have a unique account - no shared credentials</w:t>
      </w:r>
    </w:p>
    <w:p>
      <w:pPr>
        <w:pStyle w:val="ListNumber"/>
        <w:ind w:left="360"/>
      </w:pPr>
      <w:r>
        <w:t>Provisioning: Access requests require manager approval</w:t>
      </w:r>
    </w:p>
    <w:p>
      <w:pPr>
        <w:pStyle w:val="ListNumber"/>
        <w:ind w:left="360"/>
      </w:pPr>
      <w:r>
        <w:t>Least Privilege: Users granted minimum access required for job functions</w:t>
      </w:r>
    </w:p>
    <w:p>
      <w:pPr>
        <w:pStyle w:val="ListNumber"/>
        <w:ind w:left="360"/>
      </w:pPr>
      <w:r>
        <w:t>Review: Access rights reviewed quarterly for privileged users, annually for standard users</w:t>
      </w:r>
    </w:p>
    <w:p>
      <w:pPr>
        <w:pStyle w:val="ListNumber"/>
        <w:ind w:left="360"/>
      </w:pPr>
      <w:r>
        <w:t>Termination: Access revoked immediately upon termination or role change</w:t>
      </w:r>
    </w:p>
    <w:p>
      <w:pPr>
        <w:pStyle w:val="Heading2"/>
      </w:pPr>
      <w:r>
        <w:t>Authentication</w:t>
      </w:r>
    </w:p>
    <w:p>
      <w:pPr>
        <w:pStyle w:val="ListNumber"/>
        <w:ind w:left="360"/>
      </w:pPr>
      <w:r>
        <w:t>Passwords: Minimum 12 characters, complexity requirements per Password Policy</w:t>
      </w:r>
    </w:p>
    <w:p>
      <w:pPr>
        <w:pStyle w:val="ListNumber"/>
        <w:ind w:left="360"/>
      </w:pPr>
      <w:r>
        <w:t>Multi-Factor Authentication (MFA): Required for:</w:t>
      </w:r>
    </w:p>
    <w:p>
      <w:pPr>
        <w:pStyle w:val="ListBullet"/>
        <w:ind w:left="792"/>
      </w:pPr>
      <w:r>
        <w:t>Remote access (VPN)</w:t>
      </w:r>
    </w:p>
    <w:p>
      <w:pPr>
        <w:pStyle w:val="ListBullet"/>
        <w:ind w:left="792"/>
      </w:pPr>
      <w:r>
        <w:t>Email systems</w:t>
      </w:r>
    </w:p>
    <w:p>
      <w:pPr>
        <w:pStyle w:val="ListBullet"/>
        <w:ind w:left="792"/>
      </w:pPr>
      <w:r>
        <w:t>Administrative accounts</w:t>
      </w:r>
    </w:p>
    <w:p>
      <w:pPr>
        <w:pStyle w:val="ListBullet"/>
        <w:ind w:left="792"/>
      </w:pPr>
      <w:r>
        <w:t>Cloud services</w:t>
      </w:r>
    </w:p>
    <w:p>
      <w:pPr>
        <w:pStyle w:val="ListBullet"/>
        <w:ind w:left="792"/>
      </w:pPr>
      <w:r>
        <w:t>Financial systems</w:t>
      </w:r>
    </w:p>
    <w:p>
      <w:pPr>
        <w:pStyle w:val="ListNumber"/>
        <w:ind w:left="360"/>
      </w:pPr>
      <w:r>
        <w:t>Session Management:</w:t>
      </w:r>
    </w:p>
    <w:p>
      <w:pPr>
        <w:pStyle w:val="ListBullet"/>
        <w:ind w:left="792"/>
      </w:pPr>
      <w:r>
        <w:t>Auto-logout after 15 minutes inactivity</w:t>
      </w:r>
    </w:p>
    <w:p>
      <w:pPr>
        <w:pStyle w:val="ListBullet"/>
        <w:ind w:left="792"/>
      </w:pPr>
      <w:r>
        <w:t>Screen lock after 10 minutes</w:t>
      </w:r>
    </w:p>
    <w:p>
      <w:pPr>
        <w:pStyle w:val="ListBullet"/>
        <w:ind w:left="792"/>
      </w:pPr>
      <w:r>
        <w:t>No concurrent sessions from different locations</w:t>
      </w:r>
    </w:p>
    <w:p>
      <w:pPr>
        <w:pStyle w:val="Heading2"/>
      </w:pPr>
      <w:r>
        <w:t>Privileged Access</w:t>
      </w:r>
    </w:p>
    <w:p>
      <w:pPr>
        <w:pStyle w:val="ListNumber"/>
        <w:ind w:left="360"/>
      </w:pPr>
      <w:r>
        <w:t>Separate Accounts: Administrative tasks require separate privileged accounts</w:t>
      </w:r>
    </w:p>
    <w:p>
      <w:pPr>
        <w:pStyle w:val="ListNumber"/>
        <w:ind w:left="360"/>
      </w:pPr>
      <w:r>
        <w:t>Approval: Privileged access requires CISO approval</w:t>
      </w:r>
    </w:p>
    <w:p>
      <w:pPr>
        <w:pStyle w:val="ListNumber"/>
        <w:ind w:left="360"/>
      </w:pPr>
      <w:r>
        <w:t>Monitoring: All privileged actions logged and reviewed monthly</w:t>
      </w:r>
    </w:p>
    <w:p>
      <w:pPr>
        <w:pStyle w:val="ListNumber"/>
        <w:ind w:left="360"/>
      </w:pPr>
      <w:r>
        <w:t>Just-in-Time: Temporary elevation for specific tasks when possible</w:t>
      </w:r>
    </w:p>
    <w:p>
      <w:pPr>
        <w:pStyle w:val="Heading2"/>
      </w:pPr>
      <w:r>
        <w:t>Access Control Lists (ACLs)</w:t>
      </w:r>
    </w:p>
    <w:p>
      <w:pPr>
        <w:pStyle w:val="ListNumber"/>
        <w:ind w:left="360"/>
      </w:pPr>
      <w:r>
        <w:t>Role-Based: Access based on job role, not individual</w:t>
      </w:r>
    </w:p>
    <w:p>
      <w:pPr>
        <w:pStyle w:val="ListNumber"/>
        <w:ind w:left="360"/>
      </w:pPr>
      <w:r>
        <w:t>Documentation: All ACLs documented and maintained</w:t>
      </w:r>
    </w:p>
    <w:p>
      <w:pPr>
        <w:pStyle w:val="ListNumber"/>
        <w:ind w:left="360"/>
      </w:pPr>
      <w:r>
        <w:t>Default Deny: Access denied unless explicitly granted</w:t>
      </w:r>
    </w:p>
    <w:p>
      <w:pPr>
        <w:pStyle w:val="ListNumber"/>
        <w:ind w:left="360"/>
      </w:pPr>
      <w:r>
        <w:t>Segregation of Duties: Critical functions require multiple people</w:t>
      </w:r>
    </w:p>
    <w:p>
      <w:pPr>
        <w:pStyle w:val="Heading1"/>
      </w:pPr>
      <w:r>
        <w:t>Compliance</w:t>
      </w:r>
    </w:p>
    <w:p>
      <w:pPr/>
      <w:r>
        <w:t>ISO 27001: A.9.1, A.9.2, A.9.3, A.9.4 (User access management)</w:t>
      </w:r>
    </w:p>
    <w:p>
      <w:pPr/>
      <w:r>
        <w:t>NIST CSF: PR.AC-1 through PR.AC-7 (Identity management, authentication)</w:t>
      </w:r>
    </w:p>
    <w:p>
      <w:pPr/>
      <w:r>
        <w:t>Approved by: CISO | Date: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Access Control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