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Acceptable Use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CISO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Defines acceptable use of Guatemaltek IT resources to protect against security risks, legal issues, and inappropriate use.</w:t>
      </w:r>
    </w:p>
    <w:p>
      <w:pPr>
        <w:pStyle w:val="Heading1"/>
      </w:pPr>
      <w:r>
        <w:t>Scope</w:t>
      </w:r>
    </w:p>
    <w:p>
      <w:pPr/>
      <w:r>
        <w:t>All employees, contractors, and third parties using Guatemaltek IT resources.</w:t>
      </w:r>
    </w:p>
    <w:p>
      <w:pPr>
        <w:pStyle w:val="Heading1"/>
      </w:pPr>
      <w:r>
        <w:t>Policy</w:t>
      </w:r>
    </w:p>
    <w:p>
      <w:pPr>
        <w:pStyle w:val="Heading2"/>
      </w:pPr>
      <w:r>
        <w:t>General Use</w:t>
      </w:r>
    </w:p>
    <w:p>
      <w:pPr>
        <w:pStyle w:val="ListNumber"/>
        <w:ind w:left="360"/>
      </w:pPr>
      <w:r>
        <w:t>IT resources are company property for business purposes</w:t>
      </w:r>
    </w:p>
    <w:p>
      <w:pPr>
        <w:pStyle w:val="ListNumber"/>
        <w:ind w:left="360"/>
      </w:pPr>
      <w:r>
        <w:t>Limited personal use acceptable if it doesn't interfere with work</w:t>
      </w:r>
    </w:p>
    <w:p>
      <w:pPr>
        <w:pStyle w:val="ListNumber"/>
        <w:ind w:left="360"/>
      </w:pPr>
      <w:r>
        <w:t>Users responsible for all activity under their accounts</w:t>
      </w:r>
    </w:p>
    <w:p>
      <w:pPr>
        <w:pStyle w:val="ListNumber"/>
        <w:ind w:left="360"/>
      </w:pPr>
      <w:r>
        <w:t>Company may monitor all IT resource usage</w:t>
      </w:r>
    </w:p>
    <w:p>
      <w:pPr>
        <w:pStyle w:val="Heading2"/>
      </w:pPr>
      <w:r>
        <w:t>Security Requirements</w:t>
      </w:r>
    </w:p>
    <w:p>
      <w:pPr>
        <w:pStyle w:val="ListNumber"/>
        <w:ind w:left="360"/>
      </w:pPr>
      <w:r>
        <w:t>Comply with Password Policy and security standards</w:t>
      </w:r>
    </w:p>
    <w:p>
      <w:pPr>
        <w:pStyle w:val="ListNumber"/>
        <w:ind w:left="360"/>
      </w:pPr>
      <w:r>
        <w:t>Lock screen when leaving workstation (max 10 min)</w:t>
      </w:r>
    </w:p>
    <w:p>
      <w:pPr>
        <w:pStyle w:val="ListNumber"/>
        <w:ind w:left="360"/>
      </w:pPr>
      <w:r>
        <w:t>Report security incidents immediately</w:t>
      </w:r>
    </w:p>
    <w:p>
      <w:pPr>
        <w:pStyle w:val="ListNumber"/>
        <w:ind w:left="360"/>
      </w:pPr>
      <w:r>
        <w:t>No circumventing security controls</w:t>
      </w:r>
    </w:p>
    <w:p>
      <w:pPr>
        <w:pStyle w:val="ListNumber"/>
        <w:ind w:left="360"/>
      </w:pPr>
      <w:r>
        <w:t>Use only approved software and services</w:t>
      </w:r>
    </w:p>
    <w:p>
      <w:pPr>
        <w:pStyle w:val="Heading2"/>
      </w:pPr>
      <w:r>
        <w:t>Prohibited Activities</w:t>
      </w:r>
    </w:p>
    <w:p>
      <w:pPr>
        <w:pStyle w:val="ListNumber"/>
        <w:ind w:left="360"/>
      </w:pPr>
      <w:r>
        <w:t>Illegal activities or policy violations</w:t>
      </w:r>
    </w:p>
    <w:p>
      <w:pPr>
        <w:pStyle w:val="ListNumber"/>
        <w:ind w:left="360"/>
      </w:pPr>
      <w:r>
        <w:t>Unauthorized access to systems or data</w:t>
      </w:r>
    </w:p>
    <w:p>
      <w:pPr>
        <w:pStyle w:val="ListNumber"/>
        <w:ind w:left="360"/>
      </w:pPr>
      <w:r>
        <w:t>Sharing credentials or allowing unauthorized access</w:t>
      </w:r>
    </w:p>
    <w:p>
      <w:pPr>
        <w:pStyle w:val="ListNumber"/>
        <w:ind w:left="360"/>
      </w:pPr>
      <w:r>
        <w:t>Installing unauthorized software</w:t>
      </w:r>
    </w:p>
    <w:p>
      <w:pPr>
        <w:pStyle w:val="ListNumber"/>
        <w:ind w:left="360"/>
      </w:pPr>
      <w:r>
        <w:t>Connecting unauthorized devices</w:t>
      </w:r>
    </w:p>
    <w:p>
      <w:pPr>
        <w:pStyle w:val="ListNumber"/>
        <w:ind w:left="360"/>
      </w:pPr>
      <w:r>
        <w:t>Storing/transmitting confidential data on personal devices</w:t>
      </w:r>
    </w:p>
    <w:p>
      <w:pPr>
        <w:pStyle w:val="ListNumber"/>
        <w:ind w:left="360"/>
      </w:pPr>
      <w:r>
        <w:t>Bypassing security controls</w:t>
      </w:r>
    </w:p>
    <w:p>
      <w:pPr>
        <w:pStyle w:val="ListNumber"/>
        <w:ind w:left="360"/>
      </w:pPr>
      <w:r>
        <w:t>Malicious software introduction</w:t>
      </w:r>
    </w:p>
    <w:p>
      <w:pPr>
        <w:pStyle w:val="ListNumber"/>
        <w:ind w:left="360"/>
      </w:pPr>
      <w:r>
        <w:t>Excessive personal use interfering with duties</w:t>
      </w:r>
    </w:p>
    <w:p>
      <w:pPr>
        <w:pStyle w:val="ListNumber"/>
        <w:ind w:left="360"/>
      </w:pPr>
      <w:r>
        <w:t>Harassment, discrimination, or offensive content</w:t>
      </w:r>
    </w:p>
    <w:p>
      <w:pPr>
        <w:pStyle w:val="Heading2"/>
      </w:pPr>
      <w:r>
        <w:t>Email and Communications</w:t>
      </w:r>
    </w:p>
    <w:p>
      <w:pPr>
        <w:pStyle w:val="ListNumber"/>
        <w:ind w:left="360"/>
      </w:pPr>
      <w:r>
        <w:t>Professional tone in business communications</w:t>
      </w:r>
    </w:p>
    <w:p>
      <w:pPr>
        <w:pStyle w:val="ListNumber"/>
        <w:ind w:left="360"/>
      </w:pPr>
      <w:r>
        <w:t>No spam or chain letters</w:t>
      </w:r>
    </w:p>
    <w:p>
      <w:pPr>
        <w:pStyle w:val="ListNumber"/>
        <w:ind w:left="360"/>
      </w:pPr>
      <w:r>
        <w:t>Exercise caution with attachments and links</w:t>
      </w:r>
    </w:p>
    <w:p>
      <w:pPr>
        <w:pStyle w:val="ListNumber"/>
        <w:ind w:left="360"/>
      </w:pPr>
      <w:r>
        <w:t>Company email signature required for external communication</w:t>
      </w:r>
    </w:p>
    <w:p>
      <w:pPr>
        <w:pStyle w:val="Heading2"/>
      </w:pPr>
      <w:r>
        <w:t>Internet Use</w:t>
      </w:r>
    </w:p>
    <w:p>
      <w:pPr>
        <w:pStyle w:val="ListNumber"/>
        <w:ind w:left="360"/>
      </w:pPr>
      <w:r>
        <w:t>Business purposes primary; limited personal use acceptable</w:t>
      </w:r>
    </w:p>
    <w:p>
      <w:pPr>
        <w:pStyle w:val="ListNumber"/>
        <w:ind w:left="360"/>
      </w:pPr>
      <w:r>
        <w:t>No accessing inappropriate content</w:t>
      </w:r>
    </w:p>
    <w:p>
      <w:pPr>
        <w:pStyle w:val="ListNumber"/>
        <w:ind w:left="360"/>
      </w:pPr>
      <w:r>
        <w:t>No illegal downloading</w:t>
      </w:r>
    </w:p>
    <w:p>
      <w:pPr>
        <w:pStyle w:val="ListNumber"/>
        <w:ind w:left="360"/>
      </w:pPr>
      <w:r>
        <w:t>Bandwidth-intensive personal use prohibited during business hours</w:t>
      </w:r>
    </w:p>
    <w:p>
      <w:pPr>
        <w:pStyle w:val="Heading2"/>
      </w:pPr>
      <w:r>
        <w:t>Social Media</w:t>
      </w:r>
    </w:p>
    <w:p>
      <w:pPr>
        <w:pStyle w:val="ListNumber"/>
        <w:ind w:left="360"/>
      </w:pPr>
      <w:r>
        <w:t>Personal opinions must not represent company</w:t>
      </w:r>
    </w:p>
    <w:p>
      <w:pPr>
        <w:pStyle w:val="ListNumber"/>
        <w:ind w:left="360"/>
      </w:pPr>
      <w:r>
        <w:t>No sharing confidential company information</w:t>
      </w:r>
    </w:p>
    <w:p>
      <w:pPr>
        <w:pStyle w:val="ListNumber"/>
        <w:ind w:left="360"/>
      </w:pPr>
      <w:r>
        <w:t>No disparaging company, customers, or partners</w:t>
      </w:r>
    </w:p>
    <w:p>
      <w:pPr>
        <w:pStyle w:val="ListNumber"/>
        <w:ind w:left="360"/>
      </w:pPr>
      <w:r>
        <w:t>Follow company social media guidelines</w:t>
      </w:r>
    </w:p>
    <w:p>
      <w:pPr>
        <w:pStyle w:val="Heading2"/>
      </w:pPr>
      <w:r>
        <w:t>Remote Work</w:t>
      </w:r>
    </w:p>
    <w:p>
      <w:pPr>
        <w:pStyle w:val="ListNumber"/>
        <w:ind w:left="360"/>
      </w:pPr>
      <w:r>
        <w:t>Secure home network required</w:t>
      </w:r>
    </w:p>
    <w:p>
      <w:pPr>
        <w:pStyle w:val="ListNumber"/>
        <w:ind w:left="360"/>
      </w:pPr>
      <w:r>
        <w:t>VPN mandatory for company resource access</w:t>
      </w:r>
    </w:p>
    <w:p>
      <w:pPr>
        <w:pStyle w:val="ListNumber"/>
        <w:ind w:left="360"/>
      </w:pPr>
      <w:r>
        <w:t>Physical security of company equipment</w:t>
      </w:r>
    </w:p>
    <w:p>
      <w:pPr>
        <w:pStyle w:val="ListNumber"/>
        <w:ind w:left="360"/>
      </w:pPr>
      <w:r>
        <w:t>No family/friend use of company devices</w:t>
      </w:r>
    </w:p>
    <w:p>
      <w:pPr>
        <w:pStyle w:val="Heading1"/>
      </w:pPr>
      <w:r>
        <w:t>Compliance</w:t>
      </w:r>
    </w:p>
    <w:p>
      <w:pPr/>
      <w:r>
        <w:t>Approved: CISO |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Acceptable Use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