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Incident Response Policy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color w:val="003366"/>
              </w:rPr>
              <w:t>Company</w:t>
            </w:r>
          </w:p>
        </w:tc>
        <w:tc>
          <w:tcPr>
            <w:tcW w:type="dxa" w:w="4680"/>
          </w:tcPr>
          <w:p>
            <w:r>
              <w:t>Guatemaltek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Version</w:t>
            </w:r>
          </w:p>
        </w:tc>
        <w:tc>
          <w:tcPr>
            <w:tcW w:type="dxa" w:w="4680"/>
          </w:tcPr>
          <w:p>
            <w:r>
              <w:t>1.0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Effective Date</w:t>
            </w:r>
          </w:p>
        </w:tc>
        <w:tc>
          <w:tcPr>
            <w:tcW w:type="dxa" w:w="4680"/>
          </w:tcPr>
          <w:p>
            <w:r>
              <w:t>2026-01-01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Review Schedule</w:t>
            </w:r>
          </w:p>
        </w:tc>
        <w:tc>
          <w:tcPr>
            <w:tcW w:type="dxa" w:w="4680"/>
          </w:tcPr>
          <w:p>
            <w:r>
              <w:t>Annually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Responsible Officer</w:t>
            </w:r>
          </w:p>
        </w:tc>
        <w:tc>
          <w:tcPr>
            <w:tcW w:type="dxa" w:w="4680"/>
          </w:tcPr>
          <w:p>
            <w:r>
              <w:t>CISO</w:t>
            </w:r>
          </w:p>
        </w:tc>
      </w:tr>
    </w:tbl>
    <w:p/>
    <w:p>
      <w:pPr>
        <w:pStyle w:val="Heading1"/>
      </w:pPr>
      <w:r>
        <w:t>Purpose</w:t>
      </w:r>
    </w:p>
    <w:p>
      <w:pPr/>
      <w:r>
        <w:t>Establishes procedures for detecting, reporting, responding to, and recovering from security incidents.</w:t>
      </w:r>
    </w:p>
    <w:p>
      <w:pPr>
        <w:pStyle w:val="Heading1"/>
      </w:pPr>
      <w:r>
        <w:t>Scope</w:t>
      </w:r>
    </w:p>
    <w:p>
      <w:pPr/>
      <w:r>
        <w:t>All Guatemaltek employees, contractors, IT systems, and security events.</w:t>
      </w:r>
    </w:p>
    <w:p>
      <w:pPr>
        <w:pStyle w:val="Heading1"/>
      </w:pPr>
      <w:r>
        <w:t>Policy</w:t>
      </w:r>
    </w:p>
    <w:p>
      <w:pPr>
        <w:pStyle w:val="Heading2"/>
      </w:pPr>
      <w:r>
        <w:t>Incident Definition</w:t>
      </w:r>
    </w:p>
    <w:p>
      <w:pPr/>
      <w:r>
        <w:t>Security incident: Any event that compromises confidentiality, integrity, or availability of information or systems.</w:t>
      </w:r>
    </w:p>
    <w:p>
      <w:pPr>
        <w:pStyle w:val="Heading2"/>
      </w:pPr>
      <w:r>
        <w:t>Incident Response Team</w:t>
      </w:r>
    </w:p>
    <w:p>
      <w:pPr>
        <w:pStyle w:val="ListBullet"/>
        <w:ind w:left="360"/>
      </w:pPr>
      <w:r>
        <w:t>CISO: Team lead, overall coordination</w:t>
      </w:r>
    </w:p>
    <w:p>
      <w:pPr>
        <w:pStyle w:val="ListBullet"/>
        <w:ind w:left="360"/>
      </w:pPr>
      <w:r>
        <w:t>IT Department: Technical response and recovery</w:t>
      </w:r>
    </w:p>
    <w:p>
      <w:pPr>
        <w:pStyle w:val="ListBullet"/>
        <w:ind w:left="360"/>
      </w:pPr>
      <w:r>
        <w:t>Legal: Legal/regulatory guidance</w:t>
      </w:r>
    </w:p>
    <w:p>
      <w:pPr>
        <w:pStyle w:val="ListBullet"/>
        <w:ind w:left="360"/>
      </w:pPr>
      <w:r>
        <w:t>HR: Employee-related incidents</w:t>
      </w:r>
    </w:p>
    <w:p>
      <w:pPr>
        <w:pStyle w:val="ListBullet"/>
        <w:ind w:left="360"/>
      </w:pPr>
      <w:r>
        <w:t>Communications: External communication (if needed)</w:t>
      </w:r>
    </w:p>
    <w:p>
      <w:pPr>
        <w:pStyle w:val="Heading2"/>
      </w:pPr>
      <w:r>
        <w:t>Incident Classification</w:t>
      </w:r>
    </w:p>
    <w:p>
      <w:pPr>
        <w:pStyle w:val="ListBullet"/>
        <w:ind w:left="360"/>
      </w:pPr>
      <w:r>
        <w:t>Data breach affecting customer/employee data</w:t>
      </w:r>
    </w:p>
    <w:p>
      <w:pPr>
        <w:pStyle w:val="ListBullet"/>
        <w:ind w:left="360"/>
      </w:pPr>
      <w:r>
        <w:t>Ransomware/cryptolocker attack</w:t>
      </w:r>
    </w:p>
    <w:p>
      <w:pPr>
        <w:pStyle w:val="ListBullet"/>
        <w:ind w:left="360"/>
      </w:pPr>
      <w:r>
        <w:t>Complete system compromise</w:t>
      </w:r>
    </w:p>
    <w:p>
      <w:pPr>
        <w:pStyle w:val="ListBullet"/>
        <w:ind w:left="360"/>
      </w:pPr>
      <w:r>
        <w:t>Active attacks in progress</w:t>
      </w:r>
    </w:p>
    <w:p>
      <w:pPr>
        <w:pStyle w:val="ListBullet"/>
        <w:ind w:left="360"/>
      </w:pPr>
      <w:r>
        <w:t>Malware infection</w:t>
      </w:r>
    </w:p>
    <w:p>
      <w:pPr>
        <w:pStyle w:val="ListBullet"/>
        <w:ind w:left="360"/>
      </w:pPr>
      <w:r>
        <w:t>Unauthorized access attempts</w:t>
      </w:r>
    </w:p>
    <w:p>
      <w:pPr>
        <w:pStyle w:val="ListBullet"/>
        <w:ind w:left="360"/>
      </w:pPr>
      <w:r>
        <w:t>Service degradation affecting business</w:t>
      </w:r>
    </w:p>
    <w:p>
      <w:pPr>
        <w:pStyle w:val="ListBullet"/>
        <w:ind w:left="360"/>
      </w:pPr>
      <w:r>
        <w:t>Lost/stolen devices with sensitive data</w:t>
      </w:r>
    </w:p>
    <w:p>
      <w:pPr>
        <w:pStyle w:val="ListBullet"/>
        <w:ind w:left="360"/>
      </w:pPr>
      <w:r>
        <w:t>Policy violations</w:t>
      </w:r>
    </w:p>
    <w:p>
      <w:pPr>
        <w:pStyle w:val="ListBullet"/>
        <w:ind w:left="360"/>
      </w:pPr>
      <w:r>
        <w:t>Suspicious activity</w:t>
      </w:r>
    </w:p>
    <w:p>
      <w:pPr>
        <w:pStyle w:val="ListBullet"/>
        <w:ind w:left="360"/>
      </w:pPr>
      <w:r>
        <w:t>Minor security control failures</w:t>
      </w:r>
    </w:p>
    <w:p>
      <w:pPr>
        <w:pStyle w:val="ListBullet"/>
        <w:ind w:left="360"/>
      </w:pPr>
      <w:r>
        <w:t>Failed login attempts</w:t>
      </w:r>
    </w:p>
    <w:p>
      <w:pPr>
        <w:pStyle w:val="ListBullet"/>
        <w:ind w:left="360"/>
      </w:pPr>
      <w:r>
        <w:t>Spam/phishing emails</w:t>
      </w:r>
    </w:p>
    <w:p>
      <w:pPr>
        <w:pStyle w:val="ListBullet"/>
        <w:ind w:left="360"/>
      </w:pPr>
      <w:r>
        <w:t>Minor configuration issues</w:t>
      </w:r>
    </w:p>
    <w:p>
      <w:pPr>
        <w:pStyle w:val="Heading2"/>
      </w:pPr>
      <w:r>
        <w:t>Incident Response Process</w:t>
      </w:r>
    </w:p>
    <w:p>
      <w:pPr>
        <w:pStyle w:val="ListBullet"/>
        <w:ind w:left="360"/>
      </w:pPr>
      <w:r>
        <w:t>24/7 reporting: security@guatemaltek.com or call IT Department</w:t>
      </w:r>
    </w:p>
    <w:p>
      <w:pPr>
        <w:pStyle w:val="ListBullet"/>
        <w:ind w:left="360"/>
      </w:pPr>
      <w:r>
        <w:t>Report immediately - don't investigate alone</w:t>
      </w:r>
    </w:p>
    <w:p>
      <w:pPr>
        <w:pStyle w:val="ListBullet"/>
        <w:ind w:left="360"/>
      </w:pPr>
      <w:r>
        <w:t>Preserve evidence - don't delete or modify</w:t>
      </w:r>
    </w:p>
    <w:p>
      <w:pPr>
        <w:pStyle w:val="ListBullet"/>
        <w:ind w:left="360"/>
      </w:pPr>
      <w:r>
        <w:t>Classify severity</w:t>
      </w:r>
    </w:p>
    <w:p>
      <w:pPr>
        <w:pStyle w:val="ListBullet"/>
        <w:ind w:left="360"/>
      </w:pPr>
      <w:r>
        <w:t>Activate incident response team</w:t>
      </w:r>
    </w:p>
    <w:p>
      <w:pPr>
        <w:pStyle w:val="ListBullet"/>
        <w:ind w:left="360"/>
      </w:pPr>
      <w:r>
        <w:t>Document initial findings</w:t>
      </w:r>
    </w:p>
    <w:p>
      <w:pPr>
        <w:pStyle w:val="ListBullet"/>
        <w:ind w:left="360"/>
      </w:pPr>
      <w:r>
        <w:t>Isolate affected systems</w:t>
      </w:r>
    </w:p>
    <w:p>
      <w:pPr>
        <w:pStyle w:val="ListBullet"/>
        <w:ind w:left="360"/>
      </w:pPr>
      <w:r>
        <w:t>Prevent spread</w:t>
      </w:r>
    </w:p>
    <w:p>
      <w:pPr>
        <w:pStyle w:val="ListBullet"/>
        <w:ind w:left="360"/>
      </w:pPr>
      <w:r>
        <w:t>Preserve evidence for investigation</w:t>
      </w:r>
    </w:p>
    <w:p>
      <w:pPr>
        <w:pStyle w:val="ListBullet"/>
        <w:ind w:left="360"/>
      </w:pPr>
      <w:r>
        <w:t>Remove threat/vulnerability</w:t>
      </w:r>
    </w:p>
    <w:p>
      <w:pPr>
        <w:pStyle w:val="ListBullet"/>
        <w:ind w:left="360"/>
      </w:pPr>
      <w:r>
        <w:t>Patch systems</w:t>
      </w:r>
    </w:p>
    <w:p>
      <w:pPr>
        <w:pStyle w:val="ListBullet"/>
        <w:ind w:left="360"/>
      </w:pPr>
      <w:r>
        <w:t>Reset compromised credentials</w:t>
      </w:r>
    </w:p>
    <w:p>
      <w:pPr>
        <w:pStyle w:val="ListBullet"/>
        <w:ind w:left="360"/>
      </w:pPr>
      <w:r>
        <w:t>Restore systems from clean backups</w:t>
      </w:r>
    </w:p>
    <w:p>
      <w:pPr>
        <w:pStyle w:val="ListBullet"/>
        <w:ind w:left="360"/>
      </w:pPr>
      <w:r>
        <w:t>Verify system integrity</w:t>
      </w:r>
    </w:p>
    <w:p>
      <w:pPr>
        <w:pStyle w:val="ListBullet"/>
        <w:ind w:left="360"/>
      </w:pPr>
      <w:r>
        <w:t>Monitor for recurrence</w:t>
      </w:r>
    </w:p>
    <w:p>
      <w:pPr>
        <w:pStyle w:val="ListBullet"/>
        <w:ind w:left="360"/>
      </w:pPr>
      <w:r>
        <w:t>Document lessons learned</w:t>
      </w:r>
    </w:p>
    <w:p>
      <w:pPr>
        <w:pStyle w:val="ListBullet"/>
        <w:ind w:left="360"/>
      </w:pPr>
      <w:r>
        <w:t>Update procedures</w:t>
      </w:r>
    </w:p>
    <w:p>
      <w:pPr>
        <w:pStyle w:val="ListBullet"/>
        <w:ind w:left="360"/>
      </w:pPr>
      <w:r>
        <w:t>Implement preventive measures</w:t>
      </w:r>
    </w:p>
    <w:p>
      <w:pPr>
        <w:pStyle w:val="ListBullet"/>
        <w:ind w:left="360"/>
      </w:pPr>
      <w:r>
        <w:t>Report to management</w:t>
      </w:r>
    </w:p>
    <w:p>
      <w:pPr>
        <w:pStyle w:val="Heading2"/>
      </w:pPr>
      <w:r>
        <w:t>Reporting Requirements</w:t>
      </w:r>
    </w:p>
    <w:p>
      <w:pPr>
        <w:pStyle w:val="ListBullet"/>
        <w:ind w:left="360"/>
      </w:pPr>
      <w:r>
        <w:t>All incidents reported to CISO within 1 hour of detection</w:t>
      </w:r>
    </w:p>
    <w:p>
      <w:pPr>
        <w:pStyle w:val="ListBullet"/>
        <w:ind w:left="360"/>
      </w:pPr>
      <w:r>
        <w:t>P1/P2 incidents: CISO notifies executive management immediately</w:t>
      </w:r>
    </w:p>
    <w:p>
      <w:pPr>
        <w:pStyle w:val="ListBullet"/>
        <w:ind w:left="360"/>
      </w:pPr>
      <w:r>
        <w:t>Customers: Within 72 hours for data breaches</w:t>
      </w:r>
    </w:p>
    <w:p>
      <w:pPr>
        <w:pStyle w:val="ListBullet"/>
        <w:ind w:left="360"/>
      </w:pPr>
      <w:r>
        <w:t>Regulators: Per regulatory requirements</w:t>
      </w:r>
    </w:p>
    <w:p>
      <w:pPr>
        <w:pStyle w:val="ListBullet"/>
        <w:ind w:left="360"/>
      </w:pPr>
      <w:r>
        <w:t>Law Enforcement: For criminal activity</w:t>
      </w:r>
    </w:p>
    <w:p>
      <w:pPr>
        <w:pStyle w:val="Heading2"/>
      </w:pPr>
      <w:r>
        <w:t>Documentation</w:t>
      </w:r>
    </w:p>
    <w:p>
      <w:pPr>
        <w:pStyle w:val="ListBullet"/>
        <w:ind w:left="360"/>
      </w:pPr>
      <w:r>
        <w:t>Incident log maintained by IT Department</w:t>
      </w:r>
    </w:p>
    <w:p>
      <w:pPr>
        <w:pStyle w:val="ListBullet"/>
        <w:ind w:left="360"/>
      </w:pPr>
      <w:r>
        <w:t>All actions documented with timestamps</w:t>
      </w:r>
    </w:p>
    <w:p>
      <w:pPr>
        <w:pStyle w:val="ListBullet"/>
        <w:ind w:left="360"/>
      </w:pPr>
      <w:r>
        <w:t>Evidence preserved for analysis</w:t>
      </w:r>
    </w:p>
    <w:p>
      <w:pPr>
        <w:pStyle w:val="ListBullet"/>
        <w:ind w:left="360"/>
      </w:pPr>
      <w:r>
        <w:t>Monthly incident summary to management</w:t>
      </w:r>
    </w:p>
    <w:p>
      <w:pPr>
        <w:pStyle w:val="Heading1"/>
      </w:pPr>
      <w:r>
        <w:t>Compliance</w:t>
      </w:r>
    </w:p>
    <w:p>
      <w:pPr/>
      <w:r>
        <w:t>Approved: CISO | 2026-01-01 | Next Review: 2027-01-01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2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8640" w:val="right"/>
      </w:tabs>
      <w:jc w:val="left"/>
    </w:pPr>
    <w:r>
      <w:rPr>
        <w:color w:val="404040"/>
        <w:sz w:val="20"/>
      </w:rPr>
      <w:t>Guatemaltek</w:t>
    </w:r>
    <w:r>
      <w:tab/>
    </w:r>
    <w:r>
      <w:rPr>
        <w:color w:val="404040"/>
        <w:sz w:val="20"/>
      </w:rPr>
      <w:t>Incident Response Policy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 w:ascii="Calibri" w:hAnsi="Calibri"/>
      <w:b/>
      <w:bCs/>
      <w:color w:val="004C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60"/>
      <w:outlineLvl w:val="2"/>
    </w:pPr>
    <w:rPr>
      <w:rFonts w:asciiTheme="majorHAnsi" w:eastAsiaTheme="majorEastAsia" w:hAnsiTheme="majorHAnsi" w:cstheme="majorBidi" w:ascii="Calibri" w:hAnsi="Calibri"/>
      <w:b/>
      <w:bCs/>
      <w:color w:val="0066C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 w:before="0"/>
    </w:pPr>
    <w:rPr>
      <w:rFonts w:ascii="Calibri" w:hAnsi="Calibri"/>
      <w:b/>
      <w:color w:val="003366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