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Data Classification Policy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rPr>
                <w:b/>
                <w:color w:val="003366"/>
              </w:rPr>
              <w:t>Company</w:t>
            </w:r>
          </w:p>
        </w:tc>
        <w:tc>
          <w:tcPr>
            <w:tcW w:type="dxa" w:w="4680"/>
          </w:tcPr>
          <w:p>
            <w:r>
              <w:t>Guatemaltek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Version</w:t>
            </w:r>
          </w:p>
        </w:tc>
        <w:tc>
          <w:tcPr>
            <w:tcW w:type="dxa" w:w="4680"/>
          </w:tcPr>
          <w:p>
            <w:r>
              <w:t>1.0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Effective Date</w:t>
            </w:r>
          </w:p>
        </w:tc>
        <w:tc>
          <w:tcPr>
            <w:tcW w:type="dxa" w:w="4680"/>
          </w:tcPr>
          <w:p>
            <w:r>
              <w:t>2026-01-01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Review Schedule</w:t>
            </w:r>
          </w:p>
        </w:tc>
        <w:tc>
          <w:tcPr>
            <w:tcW w:type="dxa" w:w="4680"/>
          </w:tcPr>
          <w:p>
            <w:r>
              <w:t>Annually</w:t>
            </w:r>
          </w:p>
        </w:tc>
      </w:tr>
      <w:tr>
        <w:tc>
          <w:tcPr>
            <w:tcW w:type="dxa" w:w="4680"/>
          </w:tcPr>
          <w:p>
            <w:r>
              <w:rPr>
                <w:b/>
                <w:color w:val="003366"/>
              </w:rPr>
              <w:t>Responsible Officer</w:t>
            </w:r>
          </w:p>
        </w:tc>
        <w:tc>
          <w:tcPr>
            <w:tcW w:type="dxa" w:w="4680"/>
          </w:tcPr>
          <w:p>
            <w:r>
              <w:t>CISO</w:t>
            </w:r>
          </w:p>
        </w:tc>
      </w:tr>
    </w:tbl>
    <w:p/>
    <w:p>
      <w:pPr>
        <w:pStyle w:val="Heading1"/>
      </w:pPr>
      <w:r>
        <w:t>Purpose</w:t>
      </w:r>
    </w:p>
    <w:p>
      <w:pPr/>
      <w:r>
        <w:t>Establishes data classification framework to ensure appropriate protection based on sensitivity and business value.</w:t>
      </w:r>
    </w:p>
    <w:p>
      <w:pPr>
        <w:pStyle w:val="Heading1"/>
      </w:pPr>
      <w:r>
        <w:t>Scope</w:t>
      </w:r>
    </w:p>
    <w:p>
      <w:pPr/>
      <w:r>
        <w:t>All Guatemaltek data in any format: electronic, paper, verbal communication.</w:t>
      </w:r>
    </w:p>
    <w:p>
      <w:pPr>
        <w:pStyle w:val="Heading1"/>
      </w:pPr>
      <w:r>
        <w:t>Policy</w:t>
      </w:r>
    </w:p>
    <w:p>
      <w:pPr>
        <w:pStyle w:val="Heading2"/>
      </w:pPr>
      <w:r>
        <w:t>Classification Levels</w:t>
      </w:r>
    </w:p>
    <w:p>
      <w:pPr>
        <w:pStyle w:val="ListBullet"/>
        <w:ind w:left="360"/>
      </w:pPr>
      <w:r>
        <w:t>Marketing materials, public website content, job postings</w:t>
      </w:r>
    </w:p>
    <w:p>
      <w:pPr>
        <w:pStyle w:val="ListBullet"/>
        <w:ind w:left="360"/>
      </w:pPr>
      <w:r>
        <w:t>Handling: No restrictions</w:t>
      </w:r>
    </w:p>
    <w:p>
      <w:pPr>
        <w:pStyle w:val="ListBullet"/>
        <w:ind w:left="360"/>
      </w:pPr>
      <w:r>
        <w:t>Storage: Any location</w:t>
      </w:r>
    </w:p>
    <w:p>
      <w:pPr>
        <w:pStyle w:val="ListBullet"/>
        <w:ind w:left="360"/>
      </w:pPr>
      <w:r>
        <w:t>Transmission: Any method</w:t>
      </w:r>
    </w:p>
    <w:p>
      <w:pPr>
        <w:pStyle w:val="ListBullet"/>
        <w:ind w:left="360"/>
      </w:pPr>
      <w:r>
        <w:t>Disposal: Standard deletion/recycling</w:t>
      </w:r>
    </w:p>
    <w:p>
      <w:pPr>
        <w:pStyle w:val="ListBullet"/>
        <w:ind w:left="360"/>
      </w:pPr>
      <w:r>
        <w:t>Internal procedures, org charts, internal communications</w:t>
      </w:r>
    </w:p>
    <w:p>
      <w:pPr>
        <w:pStyle w:val="ListBullet"/>
        <w:ind w:left="360"/>
      </w:pPr>
      <w:r>
        <w:t>Handling: Guatemaltek personnel only</w:t>
      </w:r>
    </w:p>
    <w:p>
      <w:pPr>
        <w:pStyle w:val="ListBullet"/>
        <w:ind w:left="360"/>
      </w:pPr>
      <w:r>
        <w:t>Storage: Company approved systems</w:t>
      </w:r>
    </w:p>
    <w:p>
      <w:pPr>
        <w:pStyle w:val="ListBullet"/>
        <w:ind w:left="360"/>
      </w:pPr>
      <w:r>
        <w:t>Transmission: Encrypted for external transmission</w:t>
      </w:r>
    </w:p>
    <w:p>
      <w:pPr>
        <w:pStyle w:val="ListBullet"/>
        <w:ind w:left="360"/>
      </w:pPr>
      <w:r>
        <w:t>Disposal: Secure deletion/shredding</w:t>
      </w:r>
    </w:p>
    <w:p>
      <w:pPr>
        <w:pStyle w:val="ListBullet"/>
        <w:ind w:left="360"/>
      </w:pPr>
      <w:r>
        <w:t>Customer data, employee PII, financial records, contracts, source code</w:t>
      </w:r>
    </w:p>
    <w:p>
      <w:pPr>
        <w:pStyle w:val="ListBullet"/>
        <w:ind w:left="360"/>
      </w:pPr>
      <w:r>
        <w:t>Handling: Authorized personnel only, need-to-know</w:t>
      </w:r>
    </w:p>
    <w:p>
      <w:pPr>
        <w:pStyle w:val="ListBullet"/>
        <w:ind w:left="360"/>
      </w:pPr>
      <w:r>
        <w:t>Storage: Encrypted company systems only</w:t>
      </w:r>
    </w:p>
    <w:p>
      <w:pPr>
        <w:pStyle w:val="ListBullet"/>
        <w:ind w:left="360"/>
      </w:pPr>
      <w:r>
        <w:t>Transmission: Encryption required</w:t>
      </w:r>
    </w:p>
    <w:p>
      <w:pPr>
        <w:pStyle w:val="ListBullet"/>
        <w:ind w:left="360"/>
      </w:pPr>
      <w:r>
        <w:t>Access: MFA required, logged and audited</w:t>
      </w:r>
    </w:p>
    <w:p>
      <w:pPr>
        <w:pStyle w:val="ListBullet"/>
        <w:ind w:left="360"/>
      </w:pPr>
      <w:r>
        <w:t>Labeling: Mark as "CONFIDENTIAL"</w:t>
      </w:r>
    </w:p>
    <w:p>
      <w:pPr>
        <w:pStyle w:val="ListBullet"/>
        <w:ind w:left="360"/>
      </w:pPr>
      <w:r>
        <w:t>Disposal: Certified secure destruction</w:t>
      </w:r>
    </w:p>
    <w:p>
      <w:pPr>
        <w:pStyle w:val="ListBullet"/>
        <w:ind w:left="360"/>
      </w:pPr>
      <w:r>
        <w:t>Passwords/credentials, encryption keys, trade secrets, M&amp;A information</w:t>
      </w:r>
    </w:p>
    <w:p>
      <w:pPr>
        <w:pStyle w:val="ListBullet"/>
        <w:ind w:left="360"/>
      </w:pPr>
      <w:r>
        <w:t>Handling: Strictly limited access, specific authorization</w:t>
      </w:r>
    </w:p>
    <w:p>
      <w:pPr>
        <w:pStyle w:val="ListBullet"/>
        <w:ind w:left="360"/>
      </w:pPr>
      <w:r>
        <w:t>Storage: Encrypted with strong controls</w:t>
      </w:r>
    </w:p>
    <w:p>
      <w:pPr>
        <w:pStyle w:val="ListBullet"/>
        <w:ind w:left="360"/>
      </w:pPr>
      <w:r>
        <w:t>Transmission: Encrypted only, secure channels</w:t>
      </w:r>
    </w:p>
    <w:p>
      <w:pPr>
        <w:pStyle w:val="ListBullet"/>
        <w:ind w:left="360"/>
      </w:pPr>
      <w:r>
        <w:t>Access: MFA mandatory, all access logged and reviewed</w:t>
      </w:r>
    </w:p>
    <w:p>
      <w:pPr>
        <w:pStyle w:val="ListBullet"/>
        <w:ind w:left="360"/>
      </w:pPr>
      <w:r>
        <w:t>Labeling: Mark as "RESTRICTED - DO NOT DISTRIBUTE"</w:t>
      </w:r>
    </w:p>
    <w:p>
      <w:pPr>
        <w:pStyle w:val="ListBullet"/>
        <w:ind w:left="360"/>
      </w:pPr>
      <w:r>
        <w:t>Disposal: Certified secure destruction with certificate</w:t>
      </w:r>
    </w:p>
    <w:p>
      <w:pPr>
        <w:pStyle w:val="Heading2"/>
      </w:pPr>
      <w:r>
        <w:t>Handling Requirements Matrix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type="dxa" w:w="1872"/>
          </w:tcPr>
          <w:p>
            <w:r>
              <w:rPr>
                <w:b/>
              </w:rPr>
              <w:t>Requirement</w:t>
            </w:r>
          </w:p>
        </w:tc>
        <w:tc>
          <w:tcPr>
            <w:tcW w:type="dxa" w:w="1872"/>
          </w:tcPr>
          <w:p>
            <w:r>
              <w:rPr>
                <w:b/>
              </w:rPr>
              <w:t>PUBLIC</w:t>
            </w:r>
          </w:p>
        </w:tc>
        <w:tc>
          <w:tcPr>
            <w:tcW w:type="dxa" w:w="1872"/>
          </w:tcPr>
          <w:p>
            <w:r>
              <w:rPr>
                <w:b/>
              </w:rPr>
              <w:t>INTERNAL</w:t>
            </w:r>
          </w:p>
        </w:tc>
        <w:tc>
          <w:tcPr>
            <w:tcW w:type="dxa" w:w="1872"/>
          </w:tcPr>
          <w:p>
            <w:r>
              <w:rPr>
                <w:b/>
              </w:rPr>
              <w:t>CONFIDENTIAL</w:t>
            </w:r>
          </w:p>
        </w:tc>
        <w:tc>
          <w:tcPr>
            <w:tcW w:type="dxa" w:w="1872"/>
          </w:tcPr>
          <w:p>
            <w:r>
              <w:rPr>
                <w:b/>
              </w:rPr>
              <w:t>RESTRICTED</w:t>
            </w:r>
          </w:p>
        </w:tc>
      </w:tr>
      <w:tr>
        <w:tc>
          <w:tcPr>
            <w:tcW w:type="dxa" w:w="1872"/>
          </w:tcPr>
          <w:p>
            <w:r>
              <w:t>**Encryption (at rest)**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Recommended</w:t>
            </w:r>
          </w:p>
        </w:tc>
        <w:tc>
          <w:tcPr>
            <w:tcW w:type="dxa" w:w="1872"/>
          </w:tcPr>
          <w:p>
            <w:r>
              <w:t>Required</w:t>
            </w:r>
          </w:p>
        </w:tc>
        <w:tc>
          <w:tcPr>
            <w:tcW w:type="dxa" w:w="1872"/>
          </w:tcPr>
          <w:p>
            <w:r>
              <w:t>Required (strong)</w:t>
            </w:r>
          </w:p>
        </w:tc>
      </w:tr>
      <w:tr>
        <w:tc>
          <w:tcPr>
            <w:tcW w:type="dxa" w:w="1872"/>
          </w:tcPr>
          <w:p>
            <w:r>
              <w:t>**Encryption (in transit)**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For external</w:t>
            </w:r>
          </w:p>
        </w:tc>
        <w:tc>
          <w:tcPr>
            <w:tcW w:type="dxa" w:w="1872"/>
          </w:tcPr>
          <w:p>
            <w:r>
              <w:t>Required</w:t>
            </w:r>
          </w:p>
        </w:tc>
        <w:tc>
          <w:tcPr>
            <w:tcW w:type="dxa" w:w="1872"/>
          </w:tcPr>
          <w:p>
            <w:r>
              <w:t>Required</w:t>
            </w:r>
          </w:p>
        </w:tc>
      </w:tr>
      <w:tr>
        <w:tc>
          <w:tcPr>
            <w:tcW w:type="dxa" w:w="1872"/>
          </w:tcPr>
          <w:p>
            <w:r>
              <w:t>**MFA**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Recommended</w:t>
            </w:r>
          </w:p>
        </w:tc>
        <w:tc>
          <w:tcPr>
            <w:tcW w:type="dxa" w:w="1872"/>
          </w:tcPr>
          <w:p>
            <w:r>
              <w:t>Required</w:t>
            </w:r>
          </w:p>
        </w:tc>
      </w:tr>
      <w:tr>
        <w:tc>
          <w:tcPr>
            <w:tcW w:type="dxa" w:w="1872"/>
          </w:tcPr>
          <w:p>
            <w:r>
              <w:t>**Access Logging**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Required</w:t>
            </w:r>
          </w:p>
        </w:tc>
        <w:tc>
          <w:tcPr>
            <w:tcW w:type="dxa" w:w="1872"/>
          </w:tcPr>
          <w:p>
            <w:r>
              <w:t>Required + Review</w:t>
            </w:r>
          </w:p>
        </w:tc>
      </w:tr>
      <w:tr>
        <w:tc>
          <w:tcPr>
            <w:tcW w:type="dxa" w:w="1872"/>
          </w:tcPr>
          <w:p>
            <w:r>
              <w:t>**Labeling**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Required</w:t>
            </w:r>
          </w:p>
        </w:tc>
        <w:tc>
          <w:tcPr>
            <w:tcW w:type="dxa" w:w="1872"/>
          </w:tcPr>
          <w:p>
            <w:r>
              <w:t>Required</w:t>
            </w:r>
          </w:p>
        </w:tc>
      </w:tr>
      <w:tr>
        <w:tc>
          <w:tcPr>
            <w:tcW w:type="dxa" w:w="1872"/>
          </w:tcPr>
          <w:p>
            <w:r>
              <w:t>**DLP Monitoring**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Recommended</w:t>
            </w:r>
          </w:p>
        </w:tc>
        <w:tc>
          <w:tcPr>
            <w:tcW w:type="dxa" w:w="1872"/>
          </w:tcPr>
          <w:p>
            <w:r>
              <w:t>Required</w:t>
            </w:r>
          </w:p>
        </w:tc>
      </w:tr>
      <w:tr>
        <w:tc>
          <w:tcPr>
            <w:tcW w:type="dxa" w:w="1872"/>
          </w:tcPr>
          <w:p>
            <w:r>
              <w:t>**Secure Disposal**</w:t>
            </w:r>
          </w:p>
        </w:tc>
        <w:tc>
          <w:tcPr>
            <w:tcW w:type="dxa" w:w="1872"/>
          </w:tcPr>
          <w:p>
            <w:r>
              <w:t>No</w:t>
            </w:r>
          </w:p>
        </w:tc>
        <w:tc>
          <w:tcPr>
            <w:tcW w:type="dxa" w:w="1872"/>
          </w:tcPr>
          <w:p>
            <w:r>
              <w:t>Yes</w:t>
            </w:r>
          </w:p>
        </w:tc>
        <w:tc>
          <w:tcPr>
            <w:tcW w:type="dxa" w:w="1872"/>
          </w:tcPr>
          <w:p>
            <w:r>
              <w:t>Certified</w:t>
            </w:r>
          </w:p>
        </w:tc>
        <w:tc>
          <w:tcPr>
            <w:tcW w:type="dxa" w:w="1872"/>
          </w:tcPr>
          <w:p>
            <w:r>
              <w:t>Certified + Log</w:t>
            </w:r>
          </w:p>
        </w:tc>
      </w:tr>
    </w:tbl>
    <w:p>
      <w:pPr>
        <w:pStyle w:val="Heading2"/>
      </w:pPr>
      <w:r>
        <w:t>Classification Process</w:t>
      </w:r>
    </w:p>
    <w:p>
      <w:pPr>
        <w:pStyle w:val="ListNumber"/>
        <w:ind w:left="360"/>
      </w:pPr>
      <w:r>
        <w:t>Data Owner classifies data upon creation</w:t>
      </w:r>
    </w:p>
    <w:p>
      <w:pPr>
        <w:pStyle w:val="ListNumber"/>
        <w:ind w:left="360"/>
      </w:pPr>
      <w:r>
        <w:t>Apply appropriate labels/markings</w:t>
      </w:r>
    </w:p>
    <w:p>
      <w:pPr>
        <w:pStyle w:val="ListNumber"/>
        <w:ind w:left="360"/>
      </w:pPr>
      <w:r>
        <w:t>Review classification when data changes significantly</w:t>
      </w:r>
    </w:p>
    <w:p>
      <w:pPr>
        <w:pStyle w:val="ListNumber"/>
        <w:ind w:left="360"/>
      </w:pPr>
      <w:r>
        <w:t>Annual review of CONFIDENTIAL/RESTRICTED data</w:t>
      </w:r>
    </w:p>
    <w:p>
      <w:pPr>
        <w:pStyle w:val="ListNumber"/>
        <w:ind w:left="360"/>
      </w:pPr>
      <w:r>
        <w:t>Declassify when sensitivity decreases (with approval)</w:t>
      </w:r>
    </w:p>
    <w:p>
      <w:pPr>
        <w:pStyle w:val="Heading2"/>
      </w:pPr>
      <w:r>
        <w:t>Responsibilities</w:t>
      </w:r>
    </w:p>
    <w:p>
      <w:pPr>
        <w:pStyle w:val="Heading1"/>
      </w:pPr>
      <w:r>
        <w:t>Compliance</w:t>
      </w:r>
    </w:p>
    <w:p>
      <w:pPr/>
      <w:r>
        <w:t>Approved: CISO | 2026-01-01 | Next Review: 2027-01-01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color w:val="808080"/>
        <w:sz w:val="20"/>
      </w:rPr>
      <w:fldChar w:fldCharType="begin"/>
      <w:instrText xml:space="preserve">PAGE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tabs>
        <w:tab w:pos="8640" w:val="right"/>
      </w:tabs>
      <w:jc w:val="left"/>
    </w:pPr>
    <w:r>
      <w:rPr>
        <w:color w:val="404040"/>
        <w:sz w:val="20"/>
      </w:rPr>
      <w:t>Guatemaltek</w:t>
    </w:r>
    <w:r>
      <w:tab/>
    </w:r>
    <w:r>
      <w:rPr>
        <w:color w:val="404040"/>
        <w:sz w:val="20"/>
      </w:rPr>
      <w:t>Data Classification Policy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120" w:line="276" w:lineRule="auto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 w:ascii="Calibri" w:hAnsi="Calibri"/>
      <w:b/>
      <w:bCs/>
      <w:color w:val="003366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40" w:after="80"/>
      <w:outlineLvl w:val="1"/>
    </w:pPr>
    <w:rPr>
      <w:rFonts w:asciiTheme="majorHAnsi" w:eastAsiaTheme="majorEastAsia" w:hAnsiTheme="majorHAnsi" w:cstheme="majorBidi" w:ascii="Calibri" w:hAnsi="Calibri"/>
      <w:b/>
      <w:bCs/>
      <w:color w:val="004C99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160" w:after="60"/>
      <w:outlineLvl w:val="2"/>
    </w:pPr>
    <w:rPr>
      <w:rFonts w:asciiTheme="majorHAnsi" w:eastAsiaTheme="majorEastAsia" w:hAnsiTheme="majorHAnsi" w:cstheme="majorBidi" w:ascii="Calibri" w:hAnsi="Calibri"/>
      <w:b/>
      <w:bCs/>
      <w:color w:val="0066CC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Title">
    <w:name w:val="CustomTitle"/>
    <w:pPr>
      <w:spacing w:after="240" w:before="0"/>
    </w:pPr>
    <w:rPr>
      <w:rFonts w:ascii="Calibri" w:hAnsi="Calibri"/>
      <w:b/>
      <w:color w:val="003366"/>
      <w:sz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