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Business Continuity Policy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</w:rPr>
              <w:t>Company</w:t>
            </w:r>
          </w:p>
        </w:tc>
        <w:tc>
          <w:tcPr>
            <w:tcW w:type="dxa" w:w="4680"/>
          </w:tcPr>
          <w:p>
            <w:r>
              <w:t>Guatemaltek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4680"/>
          </w:tcPr>
          <w:p>
            <w:r>
              <w:t>1.0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Effective Date</w:t>
            </w:r>
          </w:p>
        </w:tc>
        <w:tc>
          <w:tcPr>
            <w:tcW w:type="dxa" w:w="4680"/>
          </w:tcPr>
          <w:p>
            <w:r>
              <w:t>2026-01-01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Review Schedule</w:t>
            </w:r>
          </w:p>
        </w:tc>
        <w:tc>
          <w:tcPr>
            <w:tcW w:type="dxa" w:w="4680"/>
          </w:tcPr>
          <w:p>
            <w:r>
              <w:t>Annually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Responsible Officer</w:t>
            </w:r>
          </w:p>
        </w:tc>
        <w:tc>
          <w:tcPr>
            <w:tcW w:type="dxa" w:w="4680"/>
          </w:tcPr>
          <w:p>
            <w:r>
              <w:t>CISO</w:t>
            </w:r>
          </w:p>
        </w:tc>
      </w:tr>
    </w:tbl>
    <w:p/>
    <w:p>
      <w:pPr>
        <w:pStyle w:val="Heading1"/>
      </w:pPr>
      <w:r>
        <w:t>Purpose</w:t>
      </w:r>
    </w:p>
    <w:p>
      <w:pPr/>
      <w:r>
        <w:t>Ensures Guatemaltek can maintain or rapidly resume critical business operations following disruptive events.</w:t>
      </w:r>
    </w:p>
    <w:p>
      <w:pPr>
        <w:pStyle w:val="Heading1"/>
      </w:pPr>
      <w:r>
        <w:t>Scope</w:t>
      </w:r>
    </w:p>
    <w:p>
      <w:pPr/>
      <w:r>
        <w:t>All Guatemaltek systems, data, personnel, and business processes.</w:t>
      </w:r>
    </w:p>
    <w:p>
      <w:pPr>
        <w:pStyle w:val="Heading1"/>
      </w:pPr>
      <w:r>
        <w:t>Policy</w:t>
      </w:r>
    </w:p>
    <w:p>
      <w:pPr>
        <w:pStyle w:val="Heading2"/>
      </w:pPr>
      <w:r>
        <w:t>Business Impact Analysis</w:t>
      </w:r>
    </w:p>
    <w:p>
      <w:pPr/>
      <w:r>
        <w:t>Annual BIA identifies:</w:t>
      </w:r>
    </w:p>
    <w:p>
      <w:pPr>
        <w:pStyle w:val="ListBullet"/>
        <w:ind w:left="360"/>
      </w:pPr>
      <w:r>
        <w:t>Critical business functions</w:t>
      </w:r>
    </w:p>
    <w:p>
      <w:pPr>
        <w:pStyle w:val="ListBullet"/>
        <w:ind w:left="360"/>
      </w:pPr>
      <w:r>
        <w:t>Recovery Time Objectives (RTO)</w:t>
      </w:r>
    </w:p>
    <w:p>
      <w:pPr>
        <w:pStyle w:val="ListBullet"/>
        <w:ind w:left="360"/>
      </w:pPr>
      <w:r>
        <w:t>Recovery Point Objectives (RPO)</w:t>
      </w:r>
    </w:p>
    <w:p>
      <w:pPr>
        <w:pStyle w:val="ListBullet"/>
        <w:ind w:left="360"/>
      </w:pPr>
      <w:r>
        <w:t>Resource requirements</w:t>
      </w:r>
    </w:p>
    <w:p>
      <w:pPr>
        <w:pStyle w:val="ListBullet"/>
        <w:ind w:left="360"/>
      </w:pPr>
      <w:r>
        <w:t>Dependencies</w:t>
      </w:r>
    </w:p>
    <w:p>
      <w:pPr>
        <w:pStyle w:val="Heading2"/>
      </w:pPr>
      <w:r>
        <w:t>Recovery Objectives</w:t>
      </w:r>
    </w:p>
    <w:p>
      <w:pPr>
        <w:pStyle w:val="ListBullet"/>
        <w:ind w:left="360"/>
      </w:pPr>
      <w:r>
        <w:t>RTO: 4 hours - System must be operational</w:t>
      </w:r>
    </w:p>
    <w:p>
      <w:pPr>
        <w:pStyle w:val="ListBullet"/>
        <w:ind w:left="360"/>
      </w:pPr>
      <w:r>
        <w:t>RPO: 1 hour - Maximum acceptable data loss</w:t>
      </w:r>
    </w:p>
    <w:p>
      <w:pPr>
        <w:pStyle w:val="ListBullet"/>
        <w:ind w:left="360"/>
      </w:pPr>
      <w:r>
        <w:t>Examples: Customer database, email, production applications</w:t>
      </w:r>
    </w:p>
    <w:p>
      <w:pPr>
        <w:pStyle w:val="ListBullet"/>
        <w:ind w:left="360"/>
      </w:pPr>
      <w:r>
        <w:t>RTO: 24 hours</w:t>
      </w:r>
    </w:p>
    <w:p>
      <w:pPr>
        <w:pStyle w:val="ListBullet"/>
        <w:ind w:left="360"/>
      </w:pPr>
      <w:r>
        <w:t>RPO: 24 hours</w:t>
      </w:r>
    </w:p>
    <w:p>
      <w:pPr>
        <w:pStyle w:val="ListBullet"/>
        <w:ind w:left="360"/>
      </w:pPr>
      <w:r>
        <w:t>Examples: File servers, internal applications</w:t>
      </w:r>
    </w:p>
    <w:p>
      <w:pPr>
        <w:pStyle w:val="ListBullet"/>
        <w:ind w:left="360"/>
      </w:pPr>
      <w:r>
        <w:t>RTO: 72 hours</w:t>
      </w:r>
    </w:p>
    <w:p>
      <w:pPr>
        <w:pStyle w:val="ListBullet"/>
        <w:ind w:left="360"/>
      </w:pPr>
      <w:r>
        <w:t>RPO: 1 week</w:t>
      </w:r>
    </w:p>
    <w:p>
      <w:pPr>
        <w:pStyle w:val="ListBullet"/>
        <w:ind w:left="360"/>
      </w:pPr>
      <w:r>
        <w:t>Examples: Archives, non-production systems</w:t>
      </w:r>
    </w:p>
    <w:p>
      <w:pPr>
        <w:pStyle w:val="Heading2"/>
      </w:pPr>
      <w:r>
        <w:t>Backup Strategy (3-2-1 Rule)</w:t>
      </w:r>
    </w:p>
    <w:p>
      <w:pPr>
        <w:pStyle w:val="ListBullet"/>
        <w:ind w:left="360"/>
      </w:pPr>
      <w:r>
        <w:t>3 copies of data (1 primary + 2 backups)</w:t>
      </w:r>
    </w:p>
    <w:p>
      <w:pPr>
        <w:pStyle w:val="ListBullet"/>
        <w:ind w:left="360"/>
      </w:pPr>
      <w:r>
        <w:t>2 different storage media types</w:t>
      </w:r>
    </w:p>
    <w:p>
      <w:pPr>
        <w:pStyle w:val="ListBullet"/>
        <w:ind w:left="360"/>
      </w:pPr>
      <w:r>
        <w:t>1 off-site backup copy</w:t>
      </w:r>
    </w:p>
    <w:p>
      <w:pPr>
        <w:pStyle w:val="ListBullet"/>
        <w:ind w:left="360"/>
      </w:pPr>
      <w:r>
        <w:t>Critical systems: Daily full backup + continuous/hourly incremental</w:t>
      </w:r>
    </w:p>
    <w:p>
      <w:pPr>
        <w:pStyle w:val="ListBullet"/>
        <w:ind w:left="360"/>
      </w:pPr>
      <w:r>
        <w:t>Important systems: Daily incremental, weekly full</w:t>
      </w:r>
    </w:p>
    <w:p>
      <w:pPr>
        <w:pStyle w:val="ListBullet"/>
        <w:ind w:left="360"/>
      </w:pPr>
      <w:r>
        <w:t>Standard systems: Weekly incremental, monthly full</w:t>
      </w:r>
    </w:p>
    <w:p>
      <w:pPr>
        <w:pStyle w:val="ListBullet"/>
        <w:ind w:left="360"/>
      </w:pPr>
      <w:r>
        <w:t>Critical systems: Quarterly restore test</w:t>
      </w:r>
    </w:p>
    <w:p>
      <w:pPr>
        <w:pStyle w:val="ListBullet"/>
        <w:ind w:left="360"/>
      </w:pPr>
      <w:r>
        <w:t>Important systems: Semi-annual restore test</w:t>
      </w:r>
    </w:p>
    <w:p>
      <w:pPr>
        <w:pStyle w:val="ListBullet"/>
        <w:ind w:left="360"/>
      </w:pPr>
      <w:r>
        <w:t>Standard systems: Annual restore test</w:t>
      </w:r>
    </w:p>
    <w:p>
      <w:pPr>
        <w:pStyle w:val="ListBullet"/>
        <w:ind w:left="360"/>
      </w:pPr>
      <w:r>
        <w:t>Document all test results</w:t>
      </w:r>
    </w:p>
    <w:p>
      <w:pPr>
        <w:pStyle w:val="Heading2"/>
      </w:pPr>
      <w:r>
        <w:t>Backup Retention</w:t>
      </w:r>
    </w:p>
    <w:p>
      <w:pPr>
        <w:pStyle w:val="ListBullet"/>
        <w:ind w:left="360"/>
      </w:pPr>
      <w:r>
        <w:t>Daily backups: 30 days</w:t>
      </w:r>
    </w:p>
    <w:p>
      <w:pPr>
        <w:pStyle w:val="ListBullet"/>
        <w:ind w:left="360"/>
      </w:pPr>
      <w:r>
        <w:t>Weekly backups: 90 days</w:t>
      </w:r>
    </w:p>
    <w:p>
      <w:pPr>
        <w:pStyle w:val="ListBullet"/>
        <w:ind w:left="360"/>
      </w:pPr>
      <w:r>
        <w:t>Monthly backups: 1 year</w:t>
      </w:r>
    </w:p>
    <w:p>
      <w:pPr>
        <w:pStyle w:val="ListBullet"/>
        <w:ind w:left="360"/>
      </w:pPr>
      <w:r>
        <w:t>Annual backups: 7 years (or per regulatory requirements)</w:t>
      </w:r>
    </w:p>
    <w:p>
      <w:pPr>
        <w:pStyle w:val="Heading2"/>
      </w:pPr>
      <w:r>
        <w:t>Disaster Recovery</w:t>
      </w:r>
    </w:p>
    <w:p>
      <w:pPr>
        <w:pStyle w:val="ListBullet"/>
        <w:ind w:left="360"/>
      </w:pPr>
      <w:r>
        <w:t>Emergency contact list (updated quarterly)</w:t>
      </w:r>
    </w:p>
    <w:p>
      <w:pPr>
        <w:pStyle w:val="ListBullet"/>
        <w:ind w:left="360"/>
      </w:pPr>
      <w:r>
        <w:t>System recovery procedures</w:t>
      </w:r>
    </w:p>
    <w:p>
      <w:pPr>
        <w:pStyle w:val="ListBullet"/>
        <w:ind w:left="360"/>
      </w:pPr>
      <w:r>
        <w:t>Alternative work locations</w:t>
      </w:r>
    </w:p>
    <w:p>
      <w:pPr>
        <w:pStyle w:val="ListBullet"/>
        <w:ind w:left="360"/>
      </w:pPr>
      <w:r>
        <w:t>Communication plans</w:t>
      </w:r>
    </w:p>
    <w:p>
      <w:pPr>
        <w:pStyle w:val="ListBullet"/>
        <w:ind w:left="360"/>
      </w:pPr>
      <w:r>
        <w:t>Vendor contact information</w:t>
      </w:r>
    </w:p>
    <w:p>
      <w:pPr>
        <w:pStyle w:val="ListBullet"/>
        <w:ind w:left="360"/>
      </w:pPr>
      <w:r>
        <w:t>Annual full DR test/exercise</w:t>
      </w:r>
    </w:p>
    <w:p>
      <w:pPr>
        <w:pStyle w:val="ListBullet"/>
        <w:ind w:left="360"/>
      </w:pPr>
      <w:r>
        <w:t>Semi-annual tabletop exercises</w:t>
      </w:r>
    </w:p>
    <w:p>
      <w:pPr>
        <w:pStyle w:val="ListBullet"/>
        <w:ind w:left="360"/>
      </w:pPr>
      <w:r>
        <w:t>Document lessons learned and improve</w:t>
      </w:r>
    </w:p>
    <w:p>
      <w:pPr>
        <w:pStyle w:val="Heading2"/>
      </w:pPr>
      <w:r>
        <w:t>Continuity Procedures</w:t>
      </w:r>
    </w:p>
    <w:p>
      <w:pPr>
        <w:pStyle w:val="ListNumber"/>
        <w:ind w:left="360"/>
      </w:pPr>
      <w:r>
        <w:t>Activate Business Continuity Plan</w:t>
      </w:r>
    </w:p>
    <w:p>
      <w:pPr>
        <w:pStyle w:val="ListNumber"/>
        <w:ind w:left="360"/>
      </w:pPr>
      <w:r>
        <w:t>Notify stakeholders per communication plan</w:t>
      </w:r>
    </w:p>
    <w:p>
      <w:pPr>
        <w:pStyle w:val="ListNumber"/>
        <w:ind w:left="360"/>
      </w:pPr>
      <w:r>
        <w:t>Move to alternative location if needed</w:t>
      </w:r>
    </w:p>
    <w:p>
      <w:pPr>
        <w:pStyle w:val="ListNumber"/>
        <w:ind w:left="360"/>
      </w:pPr>
      <w:r>
        <w:t>Restore systems per priority (Critical → Important → Standard)</w:t>
      </w:r>
    </w:p>
    <w:p>
      <w:pPr>
        <w:pStyle w:val="ListNumber"/>
        <w:ind w:left="360"/>
      </w:pPr>
      <w:r>
        <w:t>Verify data integrity after restoration</w:t>
      </w:r>
    </w:p>
    <w:p>
      <w:pPr>
        <w:pStyle w:val="ListNumber"/>
        <w:ind w:left="360"/>
      </w:pPr>
      <w:r>
        <w:t>Life safety (always first priority)</w:t>
      </w:r>
    </w:p>
    <w:p>
      <w:pPr>
        <w:pStyle w:val="ListNumber"/>
        <w:ind w:left="360"/>
      </w:pPr>
      <w:r>
        <w:t>Critical systems restoration</w:t>
      </w:r>
    </w:p>
    <w:p>
      <w:pPr>
        <w:pStyle w:val="ListNumber"/>
        <w:ind w:left="360"/>
      </w:pPr>
      <w:r>
        <w:t>Customer communication</w:t>
      </w:r>
    </w:p>
    <w:p>
      <w:pPr>
        <w:pStyle w:val="ListNumber"/>
        <w:ind w:left="360"/>
      </w:pPr>
      <w:r>
        <w:t>Important systems restoration</w:t>
      </w:r>
    </w:p>
    <w:p>
      <w:pPr>
        <w:pStyle w:val="ListNumber"/>
        <w:ind w:left="360"/>
      </w:pPr>
      <w:r>
        <w:t>Return to normal operations</w:t>
      </w:r>
    </w:p>
    <w:p>
      <w:pPr>
        <w:pStyle w:val="Heading2"/>
      </w:pPr>
      <w:r>
        <w:t>Alternate Processing</w:t>
      </w:r>
    </w:p>
    <w:p>
      <w:pPr>
        <w:pStyle w:val="ListBullet"/>
        <w:ind w:left="360"/>
      </w:pPr>
      <w:r>
        <w:t>Cloud-based backup and recovery infrastructure</w:t>
      </w:r>
    </w:p>
    <w:p>
      <w:pPr>
        <w:pStyle w:val="ListBullet"/>
        <w:ind w:left="360"/>
      </w:pPr>
      <w:r>
        <w:t>Work-from-home capabilities for all personnel</w:t>
      </w:r>
    </w:p>
    <w:p>
      <w:pPr>
        <w:pStyle w:val="ListBullet"/>
        <w:ind w:left="360"/>
      </w:pPr>
      <w:r>
        <w:t>Documented recovery procedures for each critical system</w:t>
      </w:r>
    </w:p>
    <w:p>
      <w:pPr>
        <w:pStyle w:val="Heading2"/>
      </w:pPr>
      <w:r>
        <w:t>Pandemic/Remote Work</w:t>
      </w:r>
    </w:p>
    <w:p>
      <w:pPr>
        <w:pStyle w:val="ListBullet"/>
        <w:ind w:left="360"/>
      </w:pPr>
      <w:r>
        <w:t>All employees equipped for remote work</w:t>
      </w:r>
    </w:p>
    <w:p>
      <w:pPr>
        <w:pStyle w:val="ListBullet"/>
        <w:ind w:left="360"/>
      </w:pPr>
      <w:r>
        <w:t>VPN capacity for 100% remote workforce</w:t>
      </w:r>
    </w:p>
    <w:p>
      <w:pPr>
        <w:pStyle w:val="ListBullet"/>
        <w:ind w:left="360"/>
      </w:pPr>
      <w:r>
        <w:t>Collaboration tools licensed for all personnel</w:t>
      </w:r>
    </w:p>
    <w:p>
      <w:pPr>
        <w:pStyle w:val="ListBullet"/>
        <w:ind w:left="360"/>
      </w:pPr>
      <w:r>
        <w:t>Regular remote work drills</w:t>
      </w:r>
    </w:p>
    <w:p>
      <w:pPr>
        <w:pStyle w:val="Heading1"/>
      </w:pPr>
      <w:r>
        <w:t>Compliance</w:t>
      </w:r>
    </w:p>
    <w:p>
      <w:pPr/>
      <w:r>
        <w:t>Approved: CISO | 2026-01-01 | Next Review: 2027-01-01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2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8640" w:val="right"/>
      </w:tabs>
      <w:jc w:val="left"/>
    </w:pPr>
    <w:r>
      <w:rPr>
        <w:color w:val="404040"/>
        <w:sz w:val="20"/>
      </w:rPr>
      <w:t>Guatemaltek</w:t>
    </w:r>
    <w:r>
      <w:tab/>
    </w:r>
    <w:r>
      <w:rPr>
        <w:color w:val="404040"/>
        <w:sz w:val="20"/>
      </w:rPr>
      <w:t>Business Continuity Policy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 w:ascii="Calibri" w:hAnsi="Calibri"/>
      <w:b/>
      <w:bCs/>
      <w:color w:val="004C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0066C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 w:before="0"/>
    </w:pPr>
    <w:rPr>
      <w:rFonts w:ascii="Calibri" w:hAnsi="Calibri"/>
      <w:b/>
      <w:color w:val="003366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